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6428A">
      <w:pPr>
        <w:rPr>
          <w:rFonts w:hint="eastAsia"/>
          <w:b/>
          <w:bCs/>
          <w:sz w:val="32"/>
          <w:szCs w:val="40"/>
          <w:lang w:val="en-US" w:eastAsia="zh-CN"/>
        </w:rPr>
      </w:pPr>
      <w:bookmarkStart w:id="0" w:name="_GoBack"/>
      <w:r>
        <w:rPr>
          <w:rFonts w:hint="eastAsia"/>
          <w:b/>
          <w:bCs/>
          <w:sz w:val="32"/>
          <w:szCs w:val="40"/>
          <w:lang w:val="en-US" w:eastAsia="zh-CN"/>
        </w:rPr>
        <w:t>颌骨骨髓炎</w:t>
      </w:r>
    </w:p>
    <w:bookmarkEnd w:id="0"/>
    <w:p w14:paraId="51C48842">
      <w:pPr>
        <w:rPr>
          <w:rFonts w:hint="eastAsia"/>
          <w:highlight w:val="yellow"/>
          <w:lang w:val="en-US" w:eastAsia="zh-CN"/>
        </w:rPr>
      </w:pPr>
      <w:r>
        <w:rPr>
          <w:rFonts w:hint="default"/>
          <w:b/>
          <w:bCs/>
          <w:sz w:val="32"/>
          <w:szCs w:val="40"/>
          <w:highlight w:val="yellow"/>
          <w:lang w:val="en-US" w:eastAsia="zh-CN"/>
        </w:rPr>
        <w:pict>
          <v:shape id="_x0000_s1026" o:spid="_x0000_s1026" o:spt="75" alt="" type="#_x0000_t75" style="position:absolute;left:0pt;margin-left:166.3pt;margin-top:6.85pt;height:52.45pt;width:56.75pt;mso-wrap-distance-bottom:0pt;mso-wrap-distance-left:9pt;mso-wrap-distance-right:9pt;mso-wrap-distance-top:0pt;z-index:251659264;mso-width-relative:page;mso-height-relative:page;" o:ole="t" filled="f" o:preferrelative="t" stroked="f" coordsize="21600,21600">
            <v:path/>
            <v:fill on="f" focussize="0,0"/>
            <v:stroke on="f"/>
            <v:imagedata r:id="rId7" o:title=""/>
            <o:lock v:ext="edit" aspectratio="t"/>
            <w10:wrap type="square"/>
          </v:shape>
          <o:OLEObject Type="Embed" ProgID="Package" ShapeID="_x0000_s1026" DrawAspect="Icon" ObjectID="_1468075725" r:id="rId6">
            <o:LockedField>false</o:LockedField>
          </o:OLEObject>
        </w:pict>
      </w:r>
      <w:r>
        <w:rPr>
          <w:rFonts w:hint="eastAsia"/>
          <w:highlight w:val="yellow"/>
          <w:lang w:val="en-US" w:eastAsia="zh-CN"/>
        </w:rPr>
        <w:t>1.</w:t>
      </w:r>
    </w:p>
    <w:p w14:paraId="78488766">
      <w:pPr>
        <w:rPr>
          <w:rFonts w:hint="eastAsia"/>
          <w:lang w:val="en-US" w:eastAsia="zh-CN"/>
        </w:rPr>
      </w:pPr>
      <w:r>
        <w:rPr>
          <w:rFonts w:hint="eastAsia"/>
          <w:b/>
          <w:bCs/>
          <w:lang w:val="en-US" w:eastAsia="zh-CN"/>
        </w:rPr>
        <w:t>期刊名：</w:t>
      </w:r>
      <w:r>
        <w:rPr>
          <w:rFonts w:hint="eastAsia"/>
          <w:lang w:val="en-US" w:eastAsia="zh-CN"/>
        </w:rPr>
        <w:t>BMC Oral Health</w:t>
      </w:r>
    </w:p>
    <w:p w14:paraId="470FDFDF">
      <w:pPr>
        <w:rPr>
          <w:rFonts w:hint="eastAsia"/>
          <w:lang w:val="en-US" w:eastAsia="zh-CN"/>
        </w:rPr>
      </w:pPr>
      <w:r>
        <w:rPr>
          <w:rFonts w:hint="eastAsia"/>
          <w:b/>
          <w:bCs/>
          <w:lang w:val="en-US" w:eastAsia="zh-CN"/>
        </w:rPr>
        <w:t>发表年份：</w:t>
      </w:r>
      <w:r>
        <w:rPr>
          <w:rFonts w:hint="eastAsia"/>
          <w:lang w:val="en-US" w:eastAsia="zh-CN"/>
        </w:rPr>
        <w:t>2025 年</w:t>
      </w:r>
    </w:p>
    <w:p w14:paraId="33F15EAC">
      <w:pPr>
        <w:bidi w:val="0"/>
        <w:rPr>
          <w:rFonts w:hint="eastAsia"/>
          <w:lang w:val="en-US" w:eastAsia="zh-CN"/>
        </w:rPr>
      </w:pPr>
      <w:r>
        <w:rPr>
          <w:rFonts w:hint="eastAsia"/>
          <w:b/>
          <w:bCs/>
          <w:lang w:val="en-US" w:eastAsia="zh-CN"/>
        </w:rPr>
        <w:t>文献标题：</w:t>
      </w:r>
      <w:r>
        <w:rPr>
          <w:rFonts w:hint="eastAsia"/>
          <w:lang w:val="en-US" w:eastAsia="zh-CN"/>
        </w:rPr>
        <w:t>Automated detection and classification of osteolytic lesions in panoramic radiographs using CNNs and vision transformers</w:t>
      </w:r>
    </w:p>
    <w:p w14:paraId="151C287F">
      <w:pPr>
        <w:rPr>
          <w:rFonts w:hint="default"/>
          <w:b/>
          <w:bCs/>
          <w:lang w:val="en-US" w:eastAsia="zh-CN"/>
        </w:rPr>
      </w:pPr>
      <w:r>
        <w:rPr>
          <w:rFonts w:hint="default"/>
          <w:b/>
          <w:bCs/>
          <w:lang w:val="en-US" w:eastAsia="zh-CN"/>
        </w:rPr>
        <w:t>文献主要内容</w:t>
      </w:r>
    </w:p>
    <w:p w14:paraId="6C53A44A">
      <w:pPr>
        <w:ind w:firstLine="420" w:firstLineChars="200"/>
        <w:rPr>
          <w:rFonts w:hint="default"/>
          <w:lang w:val="en-US" w:eastAsia="zh-CN"/>
        </w:rPr>
      </w:pPr>
      <w:r>
        <w:rPr>
          <w:rFonts w:hint="default"/>
          <w:lang w:val="en-US" w:eastAsia="zh-CN"/>
        </w:rPr>
        <w:t>本研究旨在开发并评估深度学习模型，用于在全景 X 光片（PRs）中自动检测颌骨溶骨性病变，并对其进行分类（分为边界清晰 /well-defined 与边界不清 /ill-defined 两类），以辅助缺乏足够训练的牙医进行早期诊断。</w:t>
      </w:r>
    </w:p>
    <w:p w14:paraId="23EDE00E">
      <w:pPr>
        <w:rPr>
          <w:rFonts w:hint="default"/>
          <w:b/>
          <w:bCs/>
          <w:lang w:val="en-US" w:eastAsia="zh-CN"/>
        </w:rPr>
      </w:pPr>
      <w:r>
        <w:rPr>
          <w:rFonts w:hint="default"/>
          <w:b/>
          <w:bCs/>
          <w:lang w:val="en-US" w:eastAsia="zh-CN"/>
        </w:rPr>
        <w:t>研究背景：</w:t>
      </w:r>
    </w:p>
    <w:p w14:paraId="5E65D152">
      <w:pPr>
        <w:ind w:firstLine="420" w:firstLineChars="200"/>
        <w:rPr>
          <w:rFonts w:hint="default"/>
          <w:lang w:val="en-US" w:eastAsia="zh-CN"/>
        </w:rPr>
      </w:pPr>
      <w:r>
        <w:rPr>
          <w:rFonts w:hint="default"/>
          <w:lang w:val="en-US" w:eastAsia="zh-CN"/>
        </w:rPr>
        <w:t>颌骨溶骨性病变（如骨髓炎或恶性病变）常无明显症状，易延误诊断。有经验的牙医可在全景片上早期发现，但多数牙医缺乏相关训练，因此需要自动化检测工具辅助。</w:t>
      </w:r>
    </w:p>
    <w:p w14:paraId="4D4A9FEF">
      <w:pPr>
        <w:rPr>
          <w:rFonts w:hint="default"/>
          <w:b/>
          <w:bCs/>
          <w:lang w:val="en-US" w:eastAsia="zh-CN"/>
        </w:rPr>
      </w:pPr>
      <w:r>
        <w:rPr>
          <w:rFonts w:hint="default"/>
          <w:b/>
          <w:bCs/>
          <w:lang w:val="en-US" w:eastAsia="zh-CN"/>
        </w:rPr>
        <w:t>数据集：</w:t>
      </w:r>
    </w:p>
    <w:p w14:paraId="0267F29F">
      <w:pPr>
        <w:ind w:firstLine="420" w:firstLineChars="200"/>
        <w:rPr>
          <w:rFonts w:hint="default"/>
          <w:lang w:val="en-US" w:eastAsia="zh-CN"/>
        </w:rPr>
      </w:pPr>
      <w:r>
        <w:rPr>
          <w:rFonts w:hint="default"/>
          <w:lang w:val="en-US" w:eastAsia="zh-CN"/>
        </w:rPr>
        <w:t>676 张全景 X 光片（165 个边界清晰病变、181 个边界不清病变、330 个正常对照），来自德国夏里特柏林大学口腔颌面外科。病变被像素级分割并标注。</w:t>
      </w:r>
    </w:p>
    <w:p w14:paraId="205ABF5F">
      <w:pPr>
        <w:rPr>
          <w:rFonts w:hint="default"/>
          <w:b/>
          <w:bCs/>
          <w:lang w:val="en-US" w:eastAsia="zh-CN"/>
        </w:rPr>
      </w:pPr>
      <w:r>
        <w:rPr>
          <w:rFonts w:hint="default"/>
          <w:b/>
          <w:bCs/>
          <w:lang w:val="en-US" w:eastAsia="zh-CN"/>
        </w:rPr>
        <w:t>评估方法：</w:t>
      </w:r>
    </w:p>
    <w:p w14:paraId="05A0443B">
      <w:pPr>
        <w:ind w:firstLine="420" w:firstLineChars="200"/>
        <w:rPr>
          <w:rFonts w:hint="default"/>
          <w:lang w:val="en-US" w:eastAsia="zh-CN"/>
        </w:rPr>
      </w:pPr>
      <w:r>
        <w:rPr>
          <w:rFonts w:hint="default"/>
          <w:lang w:val="en-US" w:eastAsia="zh-CN"/>
        </w:rPr>
        <w:t>采用</w:t>
      </w:r>
      <w:r>
        <w:rPr>
          <w:rFonts w:hint="default"/>
          <w:b/>
          <w:bCs/>
          <w:lang w:val="en-US" w:eastAsia="zh-CN"/>
        </w:rPr>
        <w:t>五折交叉验证</w:t>
      </w:r>
      <w:r>
        <w:rPr>
          <w:rFonts w:hint="default"/>
          <w:lang w:val="en-US" w:eastAsia="zh-CN"/>
        </w:rPr>
        <w:t>，通过</w:t>
      </w:r>
      <w:r>
        <w:rPr>
          <w:rFonts w:hint="default"/>
          <w:b/>
          <w:bCs/>
          <w:lang w:val="en-US" w:eastAsia="zh-CN"/>
        </w:rPr>
        <w:t xml:space="preserve">灵敏度、特异性、F1-score、AUC </w:t>
      </w:r>
      <w:r>
        <w:rPr>
          <w:rFonts w:hint="default"/>
          <w:lang w:val="en-US" w:eastAsia="zh-CN"/>
        </w:rPr>
        <w:t>等指标评估模型性能，并分析模型失败案例。</w:t>
      </w:r>
    </w:p>
    <w:p w14:paraId="6CB07E3E">
      <w:pPr>
        <w:rPr>
          <w:rFonts w:hint="default"/>
          <w:b/>
          <w:bCs/>
          <w:lang w:val="en-US" w:eastAsia="zh-CN"/>
        </w:rPr>
      </w:pPr>
      <w:r>
        <w:rPr>
          <w:rFonts w:hint="default"/>
          <w:b/>
          <w:bCs/>
          <w:lang w:val="en-US" w:eastAsia="zh-CN"/>
        </w:rPr>
        <w:t>主要创新点/亮点</w:t>
      </w:r>
    </w:p>
    <w:p w14:paraId="5940916D">
      <w:pPr>
        <w:rPr>
          <w:rFonts w:hint="default"/>
          <w:lang w:val="en-US" w:eastAsia="zh-CN"/>
        </w:rPr>
      </w:pPr>
      <w:r>
        <w:rPr>
          <w:rFonts w:hint="default"/>
          <w:lang w:val="en-US" w:eastAsia="zh-CN"/>
        </w:rPr>
        <w:t>1.首次系统对比CNN与Vision Transformer在全景片溶骨性病变检测中的性能:明确验证了</w:t>
      </w:r>
      <w:r>
        <w:rPr>
          <w:rFonts w:hint="default"/>
          <w:b/>
          <w:bCs/>
          <w:lang w:val="en-US" w:eastAsia="zh-CN"/>
        </w:rPr>
        <w:t>Vision</w:t>
      </w:r>
      <w:r>
        <w:rPr>
          <w:rFonts w:hint="eastAsia"/>
          <w:b/>
          <w:bCs/>
          <w:lang w:val="en-US" w:eastAsia="zh-CN"/>
        </w:rPr>
        <w:t xml:space="preserve"> </w:t>
      </w:r>
      <w:r>
        <w:rPr>
          <w:rFonts w:hint="default"/>
          <w:b/>
          <w:bCs/>
          <w:lang w:val="en-US" w:eastAsia="zh-CN"/>
        </w:rPr>
        <w:t>Transformer组件(如Swin-Tiny)</w:t>
      </w:r>
      <w:r>
        <w:rPr>
          <w:rFonts w:hint="default"/>
          <w:lang w:val="en-US" w:eastAsia="zh-CN"/>
        </w:rPr>
        <w:t>相比传统CNN(ResNet-50)在该任务上的显著优势</w:t>
      </w:r>
    </w:p>
    <w:p w14:paraId="737C5216">
      <w:pPr>
        <w:rPr>
          <w:rFonts w:hint="default"/>
          <w:lang w:val="en-US" w:eastAsia="zh-CN"/>
        </w:rPr>
      </w:pPr>
      <w:r>
        <w:rPr>
          <w:rFonts w:hint="default"/>
          <w:lang w:val="en-US" w:eastAsia="zh-CN"/>
        </w:rPr>
        <w:t>2.多模型架构的全面评估:对比了</w:t>
      </w:r>
      <w:r>
        <w:rPr>
          <w:rFonts w:hint="default"/>
          <w:b/>
          <w:bCs/>
          <w:lang w:val="en-US" w:eastAsia="zh-CN"/>
        </w:rPr>
        <w:t>Mask R-CNN(两种骨干网络)、Mask DINO、YOLOv5</w:t>
      </w:r>
      <w:r>
        <w:rPr>
          <w:rFonts w:hint="default"/>
          <w:lang w:val="en-US" w:eastAsia="zh-CN"/>
        </w:rPr>
        <w:t>四种主流实例分割模型,为口腔影像Al模型选型提供了直接依据。</w:t>
      </w:r>
    </w:p>
    <w:p w14:paraId="3654C3B5">
      <w:pPr>
        <w:rPr>
          <w:rFonts w:hint="default"/>
          <w:lang w:val="en-US" w:eastAsia="zh-CN"/>
        </w:rPr>
      </w:pPr>
      <w:r>
        <w:rPr>
          <w:rFonts w:hint="default"/>
          <w:lang w:val="en-US" w:eastAsia="zh-CN"/>
        </w:rPr>
        <w:t>3.针对两类病变的精细化分类:模型不仅能检测病变,还能区分边界清晰(如良性囊肿样病变)与边界不清(如骨髓炎、恶性病变)的病变,为临床风险分层提供关键信息。</w:t>
      </w:r>
    </w:p>
    <w:p w14:paraId="3EFC7B21">
      <w:pPr>
        <w:rPr>
          <w:rFonts w:hint="default"/>
          <w:lang w:val="en-US" w:eastAsia="zh-CN"/>
        </w:rPr>
      </w:pPr>
      <w:r>
        <w:rPr>
          <w:rFonts w:hint="default"/>
          <w:lang w:val="en-US" w:eastAsia="zh-CN"/>
        </w:rPr>
        <w:t>4.临床可解释性分析:报告了模型常见的误判场景(如上颌窦区、拔牙窝、放射性骨坏死区域),为后续优化模型和临床应用提供了明确的改进方向。</w:t>
      </w:r>
    </w:p>
    <w:tbl>
      <w:tblPr>
        <w:tblStyle w:val="3"/>
        <w:tblW w:w="10207" w:type="dxa"/>
        <w:tblInd w:w="-8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8"/>
        <w:gridCol w:w="2858"/>
        <w:gridCol w:w="1101"/>
        <w:gridCol w:w="4800"/>
      </w:tblGrid>
      <w:tr w14:paraId="0671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0" w:hRule="atLeast"/>
        </w:trPr>
        <w:tc>
          <w:tcPr>
            <w:tcW w:w="1448" w:type="dxa"/>
            <w:vAlign w:val="center"/>
          </w:tcPr>
          <w:p w14:paraId="5EA39070">
            <w:pPr>
              <w:bidi w:val="0"/>
              <w:ind w:left="0" w:leftChars="0" w:firstLine="0" w:firstLineChars="0"/>
              <w:jc w:val="center"/>
              <w:rPr>
                <w:rFonts w:hint="default"/>
                <w:lang w:val="en-US" w:eastAsia="zh-CN"/>
              </w:rPr>
            </w:pPr>
            <w:r>
              <w:rPr>
                <w:rFonts w:hint="eastAsia"/>
              </w:rPr>
              <w:t>模型架构</w:t>
            </w:r>
          </w:p>
        </w:tc>
        <w:tc>
          <w:tcPr>
            <w:tcW w:w="2858" w:type="dxa"/>
            <w:vAlign w:val="center"/>
          </w:tcPr>
          <w:p w14:paraId="722AA463">
            <w:pPr>
              <w:bidi w:val="0"/>
              <w:ind w:left="0" w:leftChars="0" w:firstLine="0" w:firstLineChars="0"/>
              <w:jc w:val="center"/>
              <w:rPr>
                <w:rFonts w:hint="default"/>
                <w:lang w:val="en-US" w:eastAsia="zh-CN"/>
              </w:rPr>
            </w:pPr>
            <w:r>
              <w:rPr>
                <w:rFonts w:hint="eastAsia"/>
              </w:rPr>
              <w:t>骨干网络</w:t>
            </w:r>
            <w:r>
              <w:rPr>
                <w:rFonts w:hint="eastAsia"/>
                <w:lang w:val="en-US" w:eastAsia="zh-CN"/>
              </w:rPr>
              <w:t>/</w:t>
            </w:r>
            <w:r>
              <w:rPr>
                <w:rFonts w:hint="eastAsia"/>
              </w:rPr>
              <w:t>核心组件</w:t>
            </w:r>
          </w:p>
        </w:tc>
        <w:tc>
          <w:tcPr>
            <w:tcW w:w="1101" w:type="dxa"/>
            <w:vAlign w:val="center"/>
          </w:tcPr>
          <w:p w14:paraId="7C28DB14">
            <w:pPr>
              <w:bidi w:val="0"/>
              <w:ind w:left="0" w:leftChars="0" w:firstLine="0" w:firstLineChars="0"/>
              <w:jc w:val="center"/>
              <w:rPr>
                <w:rFonts w:hint="default"/>
                <w:lang w:val="en-US" w:eastAsia="zh-CN"/>
              </w:rPr>
            </w:pPr>
            <w:r>
              <w:rPr>
                <w:rFonts w:hint="eastAsia"/>
              </w:rPr>
              <w:t>任务类型</w:t>
            </w:r>
          </w:p>
        </w:tc>
        <w:tc>
          <w:tcPr>
            <w:tcW w:w="4800" w:type="dxa"/>
            <w:vAlign w:val="center"/>
          </w:tcPr>
          <w:p w14:paraId="5C6DA91D">
            <w:pPr>
              <w:bidi w:val="0"/>
              <w:ind w:left="0" w:leftChars="0" w:firstLine="0" w:firstLineChars="0"/>
              <w:jc w:val="center"/>
              <w:rPr>
                <w:rFonts w:hint="default"/>
                <w:lang w:val="en-US" w:eastAsia="zh-CN"/>
              </w:rPr>
            </w:pPr>
            <w:r>
              <w:rPr>
                <w:rFonts w:hint="eastAsia"/>
              </w:rPr>
              <w:t>关键优势</w:t>
            </w:r>
          </w:p>
        </w:tc>
      </w:tr>
      <w:tr w14:paraId="5DF5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8" w:type="dxa"/>
            <w:vAlign w:val="center"/>
          </w:tcPr>
          <w:p w14:paraId="6591A7AB">
            <w:pPr>
              <w:bidi w:val="0"/>
              <w:ind w:left="0" w:leftChars="0" w:firstLine="0" w:firstLineChars="0"/>
              <w:jc w:val="center"/>
              <w:rPr>
                <w:rFonts w:hint="default"/>
                <w:b/>
                <w:bCs/>
                <w:lang w:val="en-US" w:eastAsia="zh-CN"/>
              </w:rPr>
            </w:pPr>
            <w:r>
              <w:rPr>
                <w:rFonts w:hint="eastAsia"/>
                <w:b/>
                <w:bCs/>
              </w:rPr>
              <w:t>Mask R-CNN</w:t>
            </w:r>
          </w:p>
        </w:tc>
        <w:tc>
          <w:tcPr>
            <w:tcW w:w="2858" w:type="dxa"/>
            <w:vAlign w:val="center"/>
          </w:tcPr>
          <w:p w14:paraId="578798B4">
            <w:pPr>
              <w:bidi w:val="0"/>
              <w:ind w:left="0" w:leftChars="0" w:firstLine="0" w:firstLineChars="0"/>
              <w:jc w:val="center"/>
              <w:rPr>
                <w:rFonts w:hint="default"/>
                <w:b/>
                <w:bCs/>
                <w:lang w:val="en-US" w:eastAsia="zh-CN"/>
              </w:rPr>
            </w:pPr>
            <w:r>
              <w:rPr>
                <w:rFonts w:hint="eastAsia"/>
                <w:b/>
                <w:bCs/>
              </w:rPr>
              <w:t>Swin-Tiny</w:t>
            </w:r>
            <w:r>
              <w:rPr>
                <w:rFonts w:hint="eastAsia"/>
                <w:b/>
                <w:bCs/>
                <w:lang w:val="en-US" w:eastAsia="zh-CN"/>
              </w:rPr>
              <w:t xml:space="preserve"> </w:t>
            </w:r>
            <w:r>
              <w:rPr>
                <w:rFonts w:hint="eastAsia"/>
                <w:b/>
                <w:bCs/>
              </w:rPr>
              <w:t>Vision Transformer</w:t>
            </w:r>
          </w:p>
        </w:tc>
        <w:tc>
          <w:tcPr>
            <w:tcW w:w="1101" w:type="dxa"/>
            <w:vAlign w:val="center"/>
          </w:tcPr>
          <w:p w14:paraId="2E5FB48B">
            <w:pPr>
              <w:bidi w:val="0"/>
              <w:ind w:left="0" w:leftChars="0" w:firstLine="0" w:firstLineChars="0"/>
              <w:jc w:val="center"/>
              <w:rPr>
                <w:rFonts w:hint="default"/>
                <w:lang w:val="en-US" w:eastAsia="zh-CN"/>
              </w:rPr>
            </w:pPr>
            <w:r>
              <w:rPr>
                <w:rFonts w:hint="eastAsia"/>
              </w:rPr>
              <w:t>实例分割</w:t>
            </w:r>
          </w:p>
        </w:tc>
        <w:tc>
          <w:tcPr>
            <w:tcW w:w="4800" w:type="dxa"/>
            <w:vAlign w:val="center"/>
          </w:tcPr>
          <w:p w14:paraId="5F64C220">
            <w:pPr>
              <w:bidi w:val="0"/>
              <w:ind w:left="0" w:leftChars="0" w:firstLine="0" w:firstLineChars="0"/>
              <w:jc w:val="center"/>
              <w:rPr>
                <w:rFonts w:hint="default"/>
                <w:lang w:val="en-US" w:eastAsia="zh-CN"/>
              </w:rPr>
            </w:pPr>
            <w:r>
              <w:rPr>
                <w:rFonts w:hint="eastAsia"/>
              </w:rPr>
              <w:t>本研究中表现最优，边界不清病变（类似骨髓炎）F1=0.904、AUC=0.971。Transformer 骨干对边缘模糊、形态不规则的病变特征提取能力更强，非常适合骨髓炎这类边界不清的病变检测。</w:t>
            </w:r>
          </w:p>
        </w:tc>
      </w:tr>
      <w:tr w14:paraId="1290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8" w:type="dxa"/>
            <w:vAlign w:val="center"/>
          </w:tcPr>
          <w:p w14:paraId="63EDA297">
            <w:pPr>
              <w:bidi w:val="0"/>
              <w:ind w:left="0" w:leftChars="0" w:firstLine="0" w:firstLineChars="0"/>
              <w:jc w:val="center"/>
              <w:rPr>
                <w:rFonts w:hint="default"/>
                <w:b/>
                <w:bCs/>
                <w:lang w:val="en-US" w:eastAsia="zh-CN"/>
              </w:rPr>
            </w:pPr>
            <w:r>
              <w:rPr>
                <w:rFonts w:hint="eastAsia"/>
                <w:b/>
                <w:bCs/>
              </w:rPr>
              <w:t>Mask R-CNN</w:t>
            </w:r>
          </w:p>
        </w:tc>
        <w:tc>
          <w:tcPr>
            <w:tcW w:w="2858" w:type="dxa"/>
            <w:vAlign w:val="center"/>
          </w:tcPr>
          <w:p w14:paraId="0DD8B711">
            <w:pPr>
              <w:bidi w:val="0"/>
              <w:ind w:left="0" w:leftChars="0" w:firstLine="0" w:firstLineChars="0"/>
              <w:jc w:val="center"/>
              <w:rPr>
                <w:rFonts w:hint="default"/>
                <w:b/>
                <w:bCs/>
                <w:lang w:val="en-US" w:eastAsia="zh-CN"/>
              </w:rPr>
            </w:pPr>
            <w:r>
              <w:rPr>
                <w:rFonts w:hint="eastAsia"/>
                <w:b/>
                <w:bCs/>
              </w:rPr>
              <w:t>ResNet-50 (CNN)</w:t>
            </w:r>
          </w:p>
        </w:tc>
        <w:tc>
          <w:tcPr>
            <w:tcW w:w="1101" w:type="dxa"/>
            <w:vAlign w:val="center"/>
          </w:tcPr>
          <w:p w14:paraId="443FB7AF">
            <w:pPr>
              <w:bidi w:val="0"/>
              <w:ind w:left="0" w:leftChars="0" w:firstLine="0" w:firstLineChars="0"/>
              <w:jc w:val="center"/>
              <w:rPr>
                <w:rFonts w:hint="default"/>
                <w:lang w:val="en-US" w:eastAsia="zh-CN"/>
              </w:rPr>
            </w:pPr>
            <w:r>
              <w:rPr>
                <w:rFonts w:hint="eastAsia"/>
              </w:rPr>
              <w:t>实例分割</w:t>
            </w:r>
          </w:p>
        </w:tc>
        <w:tc>
          <w:tcPr>
            <w:tcW w:w="4800" w:type="dxa"/>
            <w:vAlign w:val="center"/>
          </w:tcPr>
          <w:p w14:paraId="26AF5792">
            <w:pPr>
              <w:bidi w:val="0"/>
              <w:ind w:left="0" w:leftChars="0" w:firstLine="0" w:firstLineChars="0"/>
              <w:jc w:val="center"/>
              <w:rPr>
                <w:rFonts w:hint="default"/>
                <w:lang w:val="en-US" w:eastAsia="zh-CN"/>
              </w:rPr>
            </w:pPr>
            <w:r>
              <w:rPr>
                <w:rFonts w:hint="eastAsia"/>
              </w:rPr>
              <w:t>传统 CNN 基线模型，性能弱于 Transformer 骨干。可作为对比基线，验证你后续优化模型的提升效果。</w:t>
            </w:r>
          </w:p>
        </w:tc>
      </w:tr>
      <w:tr w14:paraId="3251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8" w:type="dxa"/>
            <w:vAlign w:val="center"/>
          </w:tcPr>
          <w:p w14:paraId="581431FA">
            <w:pPr>
              <w:bidi w:val="0"/>
              <w:ind w:left="0" w:leftChars="0" w:firstLine="0" w:firstLineChars="0"/>
              <w:jc w:val="center"/>
              <w:rPr>
                <w:rFonts w:hint="default"/>
                <w:b/>
                <w:bCs/>
                <w:lang w:val="en-US" w:eastAsia="zh-CN"/>
              </w:rPr>
            </w:pPr>
            <w:r>
              <w:rPr>
                <w:rFonts w:hint="eastAsia"/>
                <w:b/>
                <w:bCs/>
              </w:rPr>
              <w:t>Mask DINO</w:t>
            </w:r>
          </w:p>
        </w:tc>
        <w:tc>
          <w:tcPr>
            <w:tcW w:w="2858" w:type="dxa"/>
            <w:vAlign w:val="center"/>
          </w:tcPr>
          <w:p w14:paraId="4B9B76F0">
            <w:pPr>
              <w:bidi w:val="0"/>
              <w:ind w:left="0" w:leftChars="0" w:firstLine="0" w:firstLineChars="0"/>
              <w:jc w:val="center"/>
              <w:rPr>
                <w:rFonts w:hint="default"/>
                <w:b/>
                <w:bCs/>
                <w:lang w:val="en-US" w:eastAsia="zh-CN"/>
              </w:rPr>
            </w:pPr>
            <w:r>
              <w:rPr>
                <w:rFonts w:hint="eastAsia"/>
                <w:b/>
                <w:bCs/>
              </w:rPr>
              <w:t>Vision Transformer-based</w:t>
            </w:r>
          </w:p>
        </w:tc>
        <w:tc>
          <w:tcPr>
            <w:tcW w:w="1101" w:type="dxa"/>
            <w:vAlign w:val="center"/>
          </w:tcPr>
          <w:p w14:paraId="316819B9">
            <w:pPr>
              <w:bidi w:val="0"/>
              <w:ind w:left="0" w:leftChars="0" w:firstLine="0" w:firstLineChars="0"/>
              <w:jc w:val="center"/>
              <w:rPr>
                <w:rFonts w:hint="default"/>
                <w:lang w:val="en-US" w:eastAsia="zh-CN"/>
              </w:rPr>
            </w:pPr>
            <w:r>
              <w:rPr>
                <w:rFonts w:hint="eastAsia"/>
              </w:rPr>
              <w:t>实例分割</w:t>
            </w:r>
          </w:p>
        </w:tc>
        <w:tc>
          <w:tcPr>
            <w:tcW w:w="4800" w:type="dxa"/>
            <w:vAlign w:val="center"/>
          </w:tcPr>
          <w:p w14:paraId="0D8E8367">
            <w:pPr>
              <w:bidi w:val="0"/>
              <w:ind w:left="0" w:leftChars="0" w:firstLine="0" w:firstLineChars="0"/>
              <w:jc w:val="center"/>
              <w:rPr>
                <w:rFonts w:hint="default"/>
                <w:lang w:val="en-US" w:eastAsia="zh-CN"/>
              </w:rPr>
            </w:pPr>
            <w:r>
              <w:rPr>
                <w:rFonts w:hint="eastAsia"/>
              </w:rPr>
              <w:t>性能同样优于纯 CNN 模型，是目前先进的端到端实例分割框架，可直接迁移用于骨髓炎病变的分割任务。</w:t>
            </w:r>
          </w:p>
        </w:tc>
      </w:tr>
      <w:tr w14:paraId="2B4BC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8" w:type="dxa"/>
            <w:vAlign w:val="center"/>
          </w:tcPr>
          <w:p w14:paraId="06ADC84F">
            <w:pPr>
              <w:bidi w:val="0"/>
              <w:ind w:left="0" w:leftChars="0" w:firstLine="0" w:firstLineChars="0"/>
              <w:jc w:val="center"/>
              <w:rPr>
                <w:rFonts w:hint="default"/>
                <w:b/>
                <w:bCs/>
                <w:lang w:val="en-US" w:eastAsia="zh-CN"/>
              </w:rPr>
            </w:pPr>
            <w:r>
              <w:rPr>
                <w:rFonts w:hint="eastAsia"/>
                <w:b/>
                <w:bCs/>
              </w:rPr>
              <w:t>YOLOv5</w:t>
            </w:r>
          </w:p>
        </w:tc>
        <w:tc>
          <w:tcPr>
            <w:tcW w:w="2858" w:type="dxa"/>
            <w:vAlign w:val="center"/>
          </w:tcPr>
          <w:p w14:paraId="3E1EB8E8">
            <w:pPr>
              <w:bidi w:val="0"/>
              <w:ind w:left="0" w:leftChars="0" w:firstLine="0" w:firstLineChars="0"/>
              <w:jc w:val="center"/>
              <w:rPr>
                <w:rFonts w:hint="default"/>
                <w:b/>
                <w:bCs/>
                <w:lang w:val="en-US" w:eastAsia="zh-CN"/>
              </w:rPr>
            </w:pPr>
            <w:r>
              <w:rPr>
                <w:rFonts w:hint="eastAsia"/>
                <w:b/>
                <w:bCs/>
              </w:rPr>
              <w:t>CNN-based</w:t>
            </w:r>
          </w:p>
        </w:tc>
        <w:tc>
          <w:tcPr>
            <w:tcW w:w="1101" w:type="dxa"/>
            <w:vAlign w:val="center"/>
          </w:tcPr>
          <w:p w14:paraId="6E374306">
            <w:pPr>
              <w:bidi w:val="0"/>
              <w:ind w:left="0" w:leftChars="0" w:firstLine="0" w:firstLineChars="0"/>
              <w:jc w:val="center"/>
              <w:rPr>
                <w:rFonts w:hint="default"/>
                <w:lang w:val="en-US" w:eastAsia="zh-CN"/>
              </w:rPr>
            </w:pPr>
            <w:r>
              <w:rPr>
                <w:rFonts w:hint="eastAsia"/>
              </w:rPr>
              <w:t>目标检测</w:t>
            </w:r>
          </w:p>
        </w:tc>
        <w:tc>
          <w:tcPr>
            <w:tcW w:w="4800" w:type="dxa"/>
            <w:vAlign w:val="center"/>
          </w:tcPr>
          <w:p w14:paraId="3716DE19">
            <w:pPr>
              <w:bidi w:val="0"/>
              <w:ind w:left="0" w:leftChars="0" w:firstLine="0" w:firstLineChars="0"/>
              <w:jc w:val="center"/>
              <w:rPr>
                <w:rFonts w:hint="default"/>
                <w:lang w:val="en-US" w:eastAsia="zh-CN"/>
              </w:rPr>
            </w:pPr>
            <w:r>
              <w:rPr>
                <w:rFonts w:hint="eastAsia"/>
              </w:rPr>
              <w:t>速度快，但在需要精细分割的任务中性能不及上述模型。可用于快速初筛，或作为轻量级模型对比方案。</w:t>
            </w:r>
          </w:p>
        </w:tc>
      </w:tr>
    </w:tbl>
    <w:p w14:paraId="1B9E6E61">
      <w:pPr>
        <w:rPr>
          <w:rFonts w:hint="default"/>
          <w:lang w:val="en-US" w:eastAsia="zh-CN"/>
        </w:rPr>
      </w:pPr>
    </w:p>
    <w:p w14:paraId="64E53734">
      <w:pPr>
        <w:ind w:left="0" w:leftChars="0" w:firstLine="0" w:firstLineChars="0"/>
        <w:rPr>
          <w:rFonts w:hint="default"/>
          <w:lang w:val="en-US" w:eastAsia="zh-CN"/>
        </w:rPr>
      </w:pPr>
      <w:r>
        <w:rPr>
          <w:rFonts w:hint="default"/>
          <w:b/>
          <w:bCs/>
          <w:lang w:val="en-US" w:eastAsia="zh-CN"/>
        </w:rPr>
        <w:t>模型选型：</w:t>
      </w:r>
      <w:r>
        <w:rPr>
          <w:rFonts w:hint="default"/>
          <w:lang w:val="en-US" w:eastAsia="zh-CN"/>
        </w:rPr>
        <w:t>优先选择</w:t>
      </w:r>
      <w:r>
        <w:rPr>
          <w:rFonts w:hint="default"/>
          <w:b/>
          <w:bCs/>
          <w:color w:val="C00000"/>
          <w:lang w:val="en-US" w:eastAsia="zh-CN"/>
        </w:rPr>
        <w:t xml:space="preserve"> Mask R-CNN with Swin-Tiny 或 Mask DINO</w:t>
      </w:r>
      <w:r>
        <w:rPr>
          <w:rFonts w:hint="default"/>
          <w:lang w:val="en-US" w:eastAsia="zh-CN"/>
        </w:rPr>
        <w:t>，它们对边界不清、形态不规则病变的检测性能已在溶骨性病变（含骨髓炎）上得到验证，能直接适配骨髓炎的影像特征。</w:t>
      </w:r>
    </w:p>
    <w:p w14:paraId="24494FAD">
      <w:pPr>
        <w:ind w:left="0" w:leftChars="0" w:firstLine="0" w:firstLineChars="0"/>
        <w:rPr>
          <w:rFonts w:hint="default"/>
          <w:lang w:val="en-US" w:eastAsia="zh-CN"/>
        </w:rPr>
      </w:pPr>
    </w:p>
    <w:p w14:paraId="37D85BFF">
      <w:pPr>
        <w:ind w:left="0" w:leftChars="0" w:firstLine="0" w:firstLineChars="0"/>
        <w:rPr>
          <w:rFonts w:hint="default"/>
          <w:lang w:val="en-US" w:eastAsia="zh-CN"/>
        </w:rPr>
      </w:pPr>
    </w:p>
    <w:p w14:paraId="50204BE8">
      <w:pPr>
        <w:ind w:left="0" w:leftChars="0" w:firstLine="0" w:firstLineChars="0"/>
        <w:rPr>
          <w:rFonts w:hint="default"/>
          <w:lang w:val="en-US" w:eastAsia="zh-CN"/>
        </w:rPr>
      </w:pPr>
      <w:r>
        <w:rPr>
          <w:rFonts w:hint="eastAsia"/>
          <w:lang w:val="en-US" w:eastAsia="zh-CN"/>
        </w:rPr>
        <w:pict>
          <v:shape id="_x0000_s1027" o:spid="_x0000_s1027" o:spt="75" type="#_x0000_t75" style="position:absolute;left:0pt;margin-left:246.35pt;margin-top:14.35pt;height:65.4pt;width:72.6pt;mso-wrap-distance-bottom:0pt;mso-wrap-distance-left:9pt;mso-wrap-distance-right:9pt;mso-wrap-distance-top:0pt;z-index:251660288;mso-width-relative:page;mso-height-relative:page;" o:ole="t" filled="f" o:preferrelative="t" stroked="f" coordsize="21600,21600">
            <v:fill on="f" focussize="0,0"/>
            <v:stroke on="f"/>
            <v:imagedata r:id="rId9" o:title=""/>
            <o:lock v:ext="edit" aspectratio="t"/>
            <w10:wrap type="square"/>
          </v:shape>
          <o:OLEObject Type="Embed" ProgID="Package" ShapeID="_x0000_s1027" DrawAspect="Icon" ObjectID="_1468075726" r:id="rId8">
            <o:LockedField>false</o:LockedField>
          </o:OLEObject>
        </w:pict>
      </w:r>
    </w:p>
    <w:p w14:paraId="10606946">
      <w:pPr>
        <w:ind w:left="0" w:leftChars="0" w:firstLine="0" w:firstLineChars="0"/>
        <w:rPr>
          <w:rFonts w:hint="eastAsia"/>
          <w:lang w:val="en-US" w:eastAsia="zh-CN"/>
        </w:rPr>
      </w:pPr>
      <w:r>
        <w:rPr>
          <w:rFonts w:hint="eastAsia"/>
          <w:lang w:val="en-US" w:eastAsia="zh-CN"/>
        </w:rPr>
        <w:t>2.</w:t>
      </w:r>
    </w:p>
    <w:p w14:paraId="341C845B">
      <w:pPr>
        <w:ind w:left="0" w:leftChars="0" w:firstLine="0" w:firstLineChars="0"/>
        <w:rPr>
          <w:rFonts w:hint="default"/>
          <w:lang w:val="en-US" w:eastAsia="zh-CN"/>
        </w:rPr>
      </w:pPr>
      <w:r>
        <w:rPr>
          <w:rFonts w:hint="default"/>
          <w:b/>
          <w:bCs/>
          <w:lang w:val="en-US" w:eastAsia="zh-CN"/>
        </w:rPr>
        <w:t>期刊名：</w:t>
      </w:r>
      <w:r>
        <w:rPr>
          <w:rFonts w:hint="default"/>
          <w:lang w:val="en-US" w:eastAsia="zh-CN"/>
        </w:rPr>
        <w:t>Frontiers in Bioengineering and Biotechnology</w:t>
      </w:r>
    </w:p>
    <w:p w14:paraId="5209CDEC">
      <w:pPr>
        <w:ind w:left="0" w:leftChars="0" w:firstLine="0" w:firstLineChars="0"/>
        <w:rPr>
          <w:rFonts w:hint="default"/>
          <w:lang w:val="en-US" w:eastAsia="zh-CN"/>
        </w:rPr>
      </w:pPr>
      <w:r>
        <w:rPr>
          <w:rFonts w:hint="default"/>
          <w:b/>
          <w:bCs/>
          <w:lang w:val="en-US" w:eastAsia="zh-CN"/>
        </w:rPr>
        <w:t>发表年份</w:t>
      </w:r>
      <w:r>
        <w:rPr>
          <w:rFonts w:hint="default"/>
          <w:lang w:val="en-US" w:eastAsia="zh-CN"/>
        </w:rPr>
        <w:t>：2024 年</w:t>
      </w:r>
    </w:p>
    <w:p w14:paraId="32116C7F">
      <w:pPr>
        <w:ind w:left="0" w:leftChars="0" w:firstLine="0" w:firstLineChars="0"/>
        <w:rPr>
          <w:rFonts w:hint="default"/>
          <w:lang w:val="en-US" w:eastAsia="zh-CN"/>
        </w:rPr>
      </w:pPr>
      <w:r>
        <w:rPr>
          <w:rFonts w:hint="default"/>
          <w:b/>
          <w:bCs/>
          <w:lang w:val="en-US" w:eastAsia="zh-CN"/>
        </w:rPr>
        <w:t>文献标题：</w:t>
      </w:r>
      <w:r>
        <w:rPr>
          <w:rFonts w:hint="default"/>
          <w:lang w:val="en-US" w:eastAsia="zh-CN"/>
        </w:rPr>
        <w:t>Optimizing diagnosis and surgical decisions for chronic osteomyelitis through radiomics in the precision medicine era</w:t>
      </w:r>
    </w:p>
    <w:p w14:paraId="3A2E4537">
      <w:pPr>
        <w:ind w:left="0" w:leftChars="0" w:firstLine="0" w:firstLineChars="0"/>
        <w:rPr>
          <w:rFonts w:hint="default"/>
          <w:b/>
          <w:bCs/>
          <w:lang w:val="en-US" w:eastAsia="zh-CN"/>
        </w:rPr>
      </w:pPr>
      <w:r>
        <w:rPr>
          <w:rFonts w:hint="default"/>
          <w:b/>
          <w:bCs/>
          <w:lang w:val="en-US" w:eastAsia="zh-CN"/>
        </w:rPr>
        <w:t>文献主要内容</w:t>
      </w:r>
    </w:p>
    <w:p w14:paraId="238476D1">
      <w:pPr>
        <w:ind w:left="0" w:leftChars="0" w:firstLine="420" w:firstLineChars="200"/>
        <w:rPr>
          <w:rFonts w:hint="default"/>
          <w:lang w:val="en-US" w:eastAsia="zh-CN"/>
        </w:rPr>
      </w:pPr>
      <w:r>
        <w:rPr>
          <w:rFonts w:hint="default"/>
          <w:lang w:val="en-US" w:eastAsia="zh-CN"/>
        </w:rPr>
        <w:t>本研究聚焦慢性骨髓炎（chronic osteomyelitis），探索影像组学（Radiomics）方法在优化其诊断和手术决策中的应用，旨在解决传统治疗中复发率高、骨缺损处理困难的问题。</w:t>
      </w:r>
    </w:p>
    <w:p w14:paraId="77416D6B">
      <w:pPr>
        <w:ind w:left="0" w:leftChars="0" w:firstLine="0" w:firstLineChars="0"/>
        <w:rPr>
          <w:rFonts w:hint="default"/>
          <w:b/>
          <w:bCs/>
          <w:lang w:val="en-US" w:eastAsia="zh-CN"/>
        </w:rPr>
      </w:pPr>
      <w:r>
        <w:rPr>
          <w:rFonts w:hint="default"/>
          <w:b/>
          <w:bCs/>
          <w:lang w:val="en-US" w:eastAsia="zh-CN"/>
        </w:rPr>
        <w:t>研究背景：</w:t>
      </w:r>
    </w:p>
    <w:p w14:paraId="664773C8">
      <w:pPr>
        <w:ind w:left="0" w:leftChars="0" w:firstLine="420" w:firstLineChars="200"/>
        <w:rPr>
          <w:rFonts w:hint="default"/>
          <w:lang w:val="en-US" w:eastAsia="zh-CN"/>
        </w:rPr>
      </w:pPr>
      <w:r>
        <w:rPr>
          <w:rFonts w:hint="default"/>
          <w:lang w:val="en-US" w:eastAsia="zh-CN"/>
        </w:rPr>
        <w:t>慢性骨髓炎是一种复杂的临床疾病，复发率高。传统的清创和骨缺损处理在平衡治疗效果与创伤方面存在挑战。影像组学可从医学影像中提取肉眼无法识别的定量特征，为病理信息挖掘提供新途径。</w:t>
      </w:r>
    </w:p>
    <w:p w14:paraId="0A0C59E3">
      <w:pPr>
        <w:ind w:left="0" w:leftChars="0" w:firstLine="0" w:firstLineChars="0"/>
        <w:rPr>
          <w:rFonts w:hint="default"/>
          <w:b/>
          <w:bCs/>
          <w:lang w:val="en-US" w:eastAsia="zh-CN"/>
        </w:rPr>
      </w:pPr>
      <w:r>
        <w:rPr>
          <w:rFonts w:hint="default"/>
          <w:b/>
          <w:bCs/>
          <w:lang w:val="en-US" w:eastAsia="zh-CN"/>
        </w:rPr>
        <w:t>数据与方法：</w:t>
      </w:r>
    </w:p>
    <w:p w14:paraId="731BCDC9">
      <w:pPr>
        <w:ind w:left="0" w:leftChars="0" w:firstLine="420" w:firstLineChars="200"/>
        <w:rPr>
          <w:rFonts w:hint="default"/>
          <w:lang w:val="en-US" w:eastAsia="zh-CN"/>
        </w:rPr>
      </w:pPr>
      <w:r>
        <w:rPr>
          <w:rFonts w:hint="default"/>
          <w:lang w:val="en-US" w:eastAsia="zh-CN"/>
        </w:rPr>
        <w:t>分析了 93 例疑似骨髓炎患者的 MRI 影像。在</w:t>
      </w:r>
      <w:r>
        <w:rPr>
          <w:rFonts w:hint="default"/>
          <w:b/>
          <w:bCs/>
          <w:lang w:val="en-US" w:eastAsia="zh-CN"/>
        </w:rPr>
        <w:t>原始病灶</w:t>
      </w:r>
      <w:r>
        <w:rPr>
          <w:rFonts w:hint="default"/>
          <w:lang w:val="en-US" w:eastAsia="zh-CN"/>
        </w:rPr>
        <w:t>感兴趣区（ROI）和</w:t>
      </w:r>
      <w:r>
        <w:rPr>
          <w:rFonts w:hint="default"/>
          <w:b/>
          <w:bCs/>
          <w:lang w:val="en-US" w:eastAsia="zh-CN"/>
        </w:rPr>
        <w:t xml:space="preserve">向外扩展 </w:t>
      </w:r>
      <w:r>
        <w:rPr>
          <w:rFonts w:hint="default"/>
          <w:lang w:val="en-US" w:eastAsia="zh-CN"/>
        </w:rPr>
        <w:t>5mm 的扩大 ROI 中提取影像组学特征，通过特征筛选后，分别基于两种 ROI 构建</w:t>
      </w:r>
      <w:r>
        <w:rPr>
          <w:rFonts w:hint="default"/>
          <w:b/>
          <w:bCs/>
          <w:color w:val="C00000"/>
          <w:lang w:val="en-US" w:eastAsia="zh-CN"/>
        </w:rPr>
        <w:t>支持向量机（SVM）模型</w:t>
      </w:r>
      <w:r>
        <w:rPr>
          <w:rFonts w:hint="default"/>
          <w:lang w:val="en-US" w:eastAsia="zh-CN"/>
        </w:rPr>
        <w:t>，以病理结果为金标准，用</w:t>
      </w:r>
      <w:r>
        <w:rPr>
          <w:rFonts w:hint="default"/>
          <w:b/>
          <w:bCs/>
          <w:lang w:val="en-US" w:eastAsia="zh-CN"/>
        </w:rPr>
        <w:t xml:space="preserve"> ROC 曲线评估</w:t>
      </w:r>
      <w:r>
        <w:rPr>
          <w:rFonts w:hint="default"/>
          <w:lang w:val="en-US" w:eastAsia="zh-CN"/>
        </w:rPr>
        <w:t>模型诊断效能（AUC、灵敏度、特异性、准确率）。</w:t>
      </w:r>
    </w:p>
    <w:p w14:paraId="43B9AE6D">
      <w:pPr>
        <w:ind w:left="0" w:leftChars="0" w:firstLine="0" w:firstLineChars="0"/>
        <w:rPr>
          <w:rFonts w:hint="default"/>
          <w:lang w:val="en-US" w:eastAsia="zh-CN"/>
        </w:rPr>
      </w:pPr>
      <w:r>
        <w:rPr>
          <w:rFonts w:hint="default"/>
          <w:b/>
          <w:bCs/>
          <w:lang w:val="en-US" w:eastAsia="zh-CN"/>
        </w:rPr>
        <w:t>研究目标：</w:t>
      </w:r>
      <w:r>
        <w:rPr>
          <w:rFonts w:hint="default"/>
          <w:lang w:val="en-US" w:eastAsia="zh-CN"/>
        </w:rPr>
        <w:t>探究影像组学在优化骨髓炎诊断和手术治疗方案中的潜力，为精准医疗提供支持。</w:t>
      </w:r>
    </w:p>
    <w:p w14:paraId="4E14B047">
      <w:pPr>
        <w:ind w:left="0" w:leftChars="0" w:firstLine="0" w:firstLineChars="0"/>
        <w:rPr>
          <w:rFonts w:hint="default"/>
          <w:b/>
          <w:bCs/>
          <w:lang w:val="en-US" w:eastAsia="zh-CN"/>
        </w:rPr>
      </w:pPr>
      <w:r>
        <w:rPr>
          <w:rFonts w:hint="default"/>
          <w:b/>
          <w:bCs/>
          <w:lang w:val="en-US" w:eastAsia="zh-CN"/>
        </w:rPr>
        <w:t>主要创新点 / 亮点</w:t>
      </w:r>
    </w:p>
    <w:p w14:paraId="5F8E5D7E">
      <w:pPr>
        <w:ind w:left="0" w:leftChars="0" w:firstLine="0" w:firstLineChars="0"/>
        <w:rPr>
          <w:rFonts w:hint="default"/>
          <w:lang w:val="en-US" w:eastAsia="zh-CN"/>
        </w:rPr>
      </w:pPr>
      <w:r>
        <w:rPr>
          <w:rFonts w:hint="eastAsia"/>
          <w:lang w:val="en-US" w:eastAsia="zh-CN"/>
        </w:rPr>
        <w:t>1.</w:t>
      </w:r>
      <w:r>
        <w:rPr>
          <w:rFonts w:hint="default"/>
          <w:lang w:val="en-US" w:eastAsia="zh-CN"/>
        </w:rPr>
        <w:t xml:space="preserve">创新性提出 </w:t>
      </w:r>
      <w:r>
        <w:rPr>
          <w:rFonts w:hint="default"/>
          <w:b/>
          <w:bCs/>
          <w:lang w:val="en-US" w:eastAsia="zh-CN"/>
        </w:rPr>
        <w:t>“</w:t>
      </w:r>
      <w:r>
        <w:rPr>
          <w:rFonts w:hint="default"/>
          <w:b/>
          <w:bCs/>
          <w:color w:val="C00000"/>
          <w:lang w:val="en-US" w:eastAsia="zh-CN"/>
        </w:rPr>
        <w:t>扩大 ROI</w:t>
      </w:r>
      <w:r>
        <w:rPr>
          <w:rFonts w:hint="default"/>
          <w:b/>
          <w:bCs/>
          <w:lang w:val="en-US" w:eastAsia="zh-CN"/>
        </w:rPr>
        <w:t xml:space="preserve">” </w:t>
      </w:r>
      <w:r>
        <w:rPr>
          <w:rFonts w:hint="default"/>
          <w:lang w:val="en-US" w:eastAsia="zh-CN"/>
        </w:rPr>
        <w:t>的影像组学策略：首次在慢性骨髓炎的影像组学研究中，对比了原始病灶 ROI 与向外扩展 5mm 的扩大 ROI 模型的性能，证明扩大 ROI 能显著提升诊断准确率，为骨髓炎的影像组学分析提供了关键的方法学改进。</w:t>
      </w:r>
    </w:p>
    <w:p w14:paraId="2A7CEFB0">
      <w:pPr>
        <w:ind w:left="0" w:leftChars="0" w:firstLine="0" w:firstLineChars="0"/>
        <w:rPr>
          <w:rFonts w:hint="default"/>
          <w:lang w:val="en-US" w:eastAsia="zh-CN"/>
        </w:rPr>
      </w:pPr>
      <w:r>
        <w:rPr>
          <w:rFonts w:hint="eastAsia"/>
          <w:lang w:val="en-US" w:eastAsia="zh-CN"/>
        </w:rPr>
        <w:t>2.</w:t>
      </w:r>
      <w:r>
        <w:rPr>
          <w:rFonts w:hint="default"/>
          <w:lang w:val="en-US" w:eastAsia="zh-CN"/>
        </w:rPr>
        <w:t>直接面向临床决策优化：研究不仅关注疾病诊断，更强调为手术决策提供定量依据，为骨髓炎的精准治疗（如病灶范围确定、清创边界规划）提供了数据支持。</w:t>
      </w:r>
    </w:p>
    <w:p w14:paraId="38BA75C1">
      <w:pPr>
        <w:ind w:left="0" w:leftChars="0" w:firstLine="0" w:firstLineChars="0"/>
        <w:rPr>
          <w:rFonts w:hint="default"/>
          <w:lang w:val="en-US" w:eastAsia="zh-CN"/>
        </w:rPr>
      </w:pPr>
      <w:r>
        <w:rPr>
          <w:rFonts w:hint="eastAsia"/>
          <w:lang w:val="en-US" w:eastAsia="zh-CN"/>
        </w:rPr>
        <w:t>3.</w:t>
      </w:r>
      <w:r>
        <w:rPr>
          <w:rFonts w:hint="default"/>
          <w:lang w:val="en-US" w:eastAsia="zh-CN"/>
        </w:rPr>
        <w:t>严格的统计学验证：采用</w:t>
      </w:r>
      <w:r>
        <w:rPr>
          <w:rFonts w:hint="default"/>
          <w:b/>
          <w:bCs/>
          <w:lang w:val="en-US" w:eastAsia="zh-CN"/>
        </w:rPr>
        <w:t xml:space="preserve"> DeLong 检验</w:t>
      </w:r>
      <w:r>
        <w:rPr>
          <w:rFonts w:hint="default"/>
          <w:lang w:val="en-US" w:eastAsia="zh-CN"/>
        </w:rPr>
        <w:t>比较不同模型的 ROC 曲线差异，确保结果的统计学可靠性，为影像组学模型的临床转化提供了严谨的验证方案。</w:t>
      </w:r>
    </w:p>
    <w:p w14:paraId="27BC8D61">
      <w:pPr>
        <w:ind w:left="0" w:leftChars="0" w:firstLine="0" w:firstLineChars="0"/>
        <w:rPr>
          <w:rFonts w:hint="default"/>
          <w:lang w:val="en-US" w:eastAsia="zh-CN"/>
        </w:rPr>
      </w:pPr>
    </w:p>
    <w:p w14:paraId="5C06C763">
      <w:pPr>
        <w:ind w:left="0" w:leftChars="0" w:firstLine="0" w:firstLineChars="0"/>
        <w:rPr>
          <w:rFonts w:hint="default"/>
          <w:lang w:val="en-US" w:eastAsia="zh-CN"/>
        </w:rPr>
      </w:pPr>
      <w:r>
        <w:rPr>
          <w:rFonts w:hint="eastAsia"/>
          <w:lang w:val="en-US" w:eastAsia="zh-CN"/>
        </w:rPr>
        <w:pict>
          <v:shape id="_x0000_s1028" o:spid="_x0000_s1028" o:spt="75" type="#_x0000_t75" style="position:absolute;left:0pt;margin-left:227.65pt;margin-top:14.1pt;height:65.4pt;width:72.6pt;mso-wrap-distance-bottom:0pt;mso-wrap-distance-left:9pt;mso-wrap-distance-right:9pt;mso-wrap-distance-top:0pt;z-index:251661312;mso-width-relative:page;mso-height-relative:page;" o:ole="t" filled="f" o:preferrelative="t" stroked="f" coordsize="21600,21600">
            <v:fill on="f" focussize="0,0"/>
            <v:stroke on="f"/>
            <v:imagedata r:id="rId11" o:title=""/>
            <o:lock v:ext="edit" aspectratio="t"/>
            <w10:wrap type="square"/>
          </v:shape>
          <o:OLEObject Type="Embed" ProgID="Package" ShapeID="_x0000_s1028" DrawAspect="Icon" ObjectID="_1468075727" r:id="rId10">
            <o:LockedField>false</o:LockedField>
          </o:OLEObject>
        </w:pict>
      </w:r>
    </w:p>
    <w:p w14:paraId="296B6744">
      <w:pPr>
        <w:ind w:left="0" w:leftChars="0" w:firstLine="0" w:firstLineChars="0"/>
        <w:rPr>
          <w:rFonts w:hint="eastAsia"/>
          <w:lang w:val="en-US" w:eastAsia="zh-CN"/>
        </w:rPr>
      </w:pPr>
      <w:r>
        <w:rPr>
          <w:rFonts w:hint="eastAsia"/>
          <w:lang w:val="en-US" w:eastAsia="zh-CN"/>
        </w:rPr>
        <w:t>3.</w:t>
      </w:r>
    </w:p>
    <w:p w14:paraId="0E69F5FC">
      <w:pPr>
        <w:ind w:left="0" w:leftChars="0" w:firstLine="0" w:firstLineChars="0"/>
        <w:rPr>
          <w:rFonts w:hint="eastAsia"/>
          <w:lang w:val="en-US" w:eastAsia="zh-CN"/>
        </w:rPr>
      </w:pPr>
      <w:r>
        <w:rPr>
          <w:rFonts w:hint="eastAsia"/>
          <w:b/>
          <w:bCs/>
          <w:lang w:val="en-US" w:eastAsia="zh-CN"/>
        </w:rPr>
        <w:t>期刊名：</w:t>
      </w:r>
      <w:r>
        <w:rPr>
          <w:rFonts w:hint="eastAsia"/>
          <w:lang w:val="en-US" w:eastAsia="zh-CN"/>
        </w:rPr>
        <w:t>Biomedical Signal Processing and Control</w:t>
      </w:r>
    </w:p>
    <w:p w14:paraId="14EBDACC">
      <w:pPr>
        <w:ind w:left="0" w:leftChars="0" w:firstLine="0" w:firstLineChars="0"/>
        <w:rPr>
          <w:rFonts w:hint="eastAsia"/>
          <w:lang w:val="en-US" w:eastAsia="zh-CN"/>
        </w:rPr>
      </w:pPr>
      <w:r>
        <w:rPr>
          <w:rFonts w:hint="eastAsia"/>
          <w:b/>
          <w:bCs/>
          <w:lang w:val="en-US" w:eastAsia="zh-CN"/>
        </w:rPr>
        <w:t>发表年份：</w:t>
      </w:r>
      <w:r>
        <w:rPr>
          <w:rFonts w:hint="eastAsia"/>
          <w:lang w:val="en-US" w:eastAsia="zh-CN"/>
        </w:rPr>
        <w:t>2026 年（卷 116，2026 年 5 月）</w:t>
      </w:r>
    </w:p>
    <w:p w14:paraId="132BF538">
      <w:pPr>
        <w:ind w:left="0" w:leftChars="0" w:firstLine="0" w:firstLineChars="0"/>
        <w:rPr>
          <w:rFonts w:hint="eastAsia"/>
          <w:lang w:val="en-US" w:eastAsia="zh-CN"/>
        </w:rPr>
      </w:pPr>
      <w:r>
        <w:rPr>
          <w:rFonts w:hint="eastAsia"/>
          <w:b/>
          <w:bCs/>
          <w:lang w:val="en-US" w:eastAsia="zh-CN"/>
        </w:rPr>
        <w:t>文献标题：</w:t>
      </w:r>
      <w:r>
        <w:rPr>
          <w:rFonts w:hint="eastAsia"/>
          <w:lang w:val="en-US" w:eastAsia="zh-CN"/>
        </w:rPr>
        <w:t>EGNet: A boundary-region closed-loop network for medical image segmentation with fuzzy lesions</w:t>
      </w:r>
    </w:p>
    <w:p w14:paraId="3E11B6F4">
      <w:pPr>
        <w:ind w:left="0" w:leftChars="0" w:firstLine="0" w:firstLineChars="0"/>
        <w:rPr>
          <w:rFonts w:hint="default"/>
          <w:b/>
          <w:bCs/>
          <w:lang w:val="en-US" w:eastAsia="zh-CN"/>
        </w:rPr>
      </w:pPr>
      <w:r>
        <w:rPr>
          <w:rFonts w:hint="default"/>
          <w:b/>
          <w:bCs/>
          <w:lang w:val="en-US" w:eastAsia="zh-CN"/>
        </w:rPr>
        <w:t>文献主要内容</w:t>
      </w:r>
    </w:p>
    <w:p w14:paraId="26A6E4FA">
      <w:pPr>
        <w:ind w:left="0" w:leftChars="0" w:firstLine="420" w:firstLineChars="200"/>
        <w:rPr>
          <w:rFonts w:hint="default"/>
          <w:lang w:val="en-US" w:eastAsia="zh-CN"/>
        </w:rPr>
      </w:pPr>
      <w:r>
        <w:rPr>
          <w:rFonts w:hint="default"/>
          <w:lang w:val="en-US" w:eastAsia="zh-CN"/>
        </w:rPr>
        <w:t xml:space="preserve">本研究针对边界模糊（fuzzy/indistinct boundaries）的医学图像病变分割难题，提出了一种名为 </w:t>
      </w:r>
      <w:r>
        <w:rPr>
          <w:rFonts w:hint="default"/>
          <w:b/>
          <w:bCs/>
          <w:lang w:val="en-US" w:eastAsia="zh-CN"/>
        </w:rPr>
        <w:t>EGNet</w:t>
      </w:r>
      <w:r>
        <w:rPr>
          <w:rFonts w:hint="default"/>
          <w:lang w:val="en-US" w:eastAsia="zh-CN"/>
        </w:rPr>
        <w:t>（Edge-Region Closed-Loop Network，边缘 - 区域闭环网络） 的新型分割模型，旨在解决传统方法在下采样过程中丢失高频边缘特征、难以同时保证整体分割精度与边界一致性的问题。</w:t>
      </w:r>
    </w:p>
    <w:p w14:paraId="267A4AD1">
      <w:pPr>
        <w:ind w:left="0" w:leftChars="0" w:firstLine="0" w:firstLineChars="0"/>
        <w:rPr>
          <w:rFonts w:hint="default"/>
          <w:b/>
          <w:bCs/>
          <w:lang w:val="en-US" w:eastAsia="zh-CN"/>
        </w:rPr>
      </w:pPr>
      <w:r>
        <w:rPr>
          <w:rFonts w:hint="default"/>
          <w:b/>
          <w:bCs/>
          <w:lang w:val="en-US" w:eastAsia="zh-CN"/>
        </w:rPr>
        <w:t>核心问题：</w:t>
      </w:r>
    </w:p>
    <w:p w14:paraId="384225EC">
      <w:pPr>
        <w:ind w:left="0" w:leftChars="0" w:firstLine="420" w:firstLineChars="200"/>
        <w:rPr>
          <w:rFonts w:hint="default"/>
          <w:lang w:val="en-US" w:eastAsia="zh-CN"/>
        </w:rPr>
      </w:pPr>
      <w:r>
        <w:rPr>
          <w:rFonts w:hint="default"/>
          <w:lang w:val="en-US" w:eastAsia="zh-CN"/>
        </w:rPr>
        <w:t>医学图像中，许多病变（如炎症、肿瘤浸润区）边界模糊，且背景复杂、形态多样；现有模型在连续下采样时易丢失边缘特征，导致分割结果边界不清晰、整体精度下降。</w:t>
      </w:r>
    </w:p>
    <w:p w14:paraId="49D14AC1">
      <w:pPr>
        <w:ind w:left="0" w:leftChars="0" w:firstLine="0" w:firstLineChars="0"/>
        <w:rPr>
          <w:rFonts w:hint="default"/>
          <w:b/>
          <w:bCs/>
          <w:lang w:val="en-US" w:eastAsia="zh-CN"/>
        </w:rPr>
      </w:pPr>
      <w:r>
        <w:rPr>
          <w:rFonts w:hint="default"/>
          <w:b/>
          <w:bCs/>
          <w:lang w:val="en-US" w:eastAsia="zh-CN"/>
        </w:rPr>
        <w:t>模型架构：</w:t>
      </w:r>
    </w:p>
    <w:p w14:paraId="4EEBDAF7">
      <w:pPr>
        <w:ind w:left="0" w:leftChars="0" w:firstLine="420" w:firstLineChars="200"/>
        <w:rPr>
          <w:rFonts w:hint="default"/>
          <w:lang w:val="en-US" w:eastAsia="zh-CN"/>
        </w:rPr>
      </w:pPr>
      <w:r>
        <w:rPr>
          <w:rFonts w:hint="default"/>
          <w:b/>
          <w:bCs/>
          <w:color w:val="C00000"/>
          <w:lang w:val="en-US" w:eastAsia="zh-CN"/>
        </w:rPr>
        <w:t>EGNet</w:t>
      </w:r>
      <w:r>
        <w:rPr>
          <w:rFonts w:hint="default"/>
          <w:b/>
          <w:bCs/>
          <w:lang w:val="en-US" w:eastAsia="zh-CN"/>
        </w:rPr>
        <w:t xml:space="preserve"> </w:t>
      </w:r>
      <w:r>
        <w:rPr>
          <w:rFonts w:hint="default"/>
          <w:lang w:val="en-US" w:eastAsia="zh-CN"/>
        </w:rPr>
        <w:t>采用</w:t>
      </w:r>
      <w:r>
        <w:rPr>
          <w:rFonts w:hint="default"/>
          <w:b/>
          <w:bCs/>
          <w:lang w:val="en-US" w:eastAsia="zh-CN"/>
        </w:rPr>
        <w:t>双分支协作架构</w:t>
      </w:r>
      <w:r>
        <w:rPr>
          <w:rFonts w:hint="default"/>
          <w:lang w:val="en-US" w:eastAsia="zh-CN"/>
        </w:rPr>
        <w:t>，通过边缘 - 区域的闭环反馈机制优化分割效果。</w:t>
      </w:r>
    </w:p>
    <w:p w14:paraId="0EE82FB2">
      <w:pPr>
        <w:ind w:left="0" w:leftChars="0" w:firstLine="0" w:firstLineChars="0"/>
        <w:rPr>
          <w:rFonts w:hint="default"/>
          <w:lang w:val="en-US" w:eastAsia="zh-CN"/>
        </w:rPr>
      </w:pPr>
      <w:r>
        <w:rPr>
          <w:rFonts w:hint="default"/>
          <w:b/>
          <w:bCs/>
          <w:lang w:val="en-US" w:eastAsia="zh-CN"/>
        </w:rPr>
        <w:t>代码已开源：</w:t>
      </w:r>
      <w:r>
        <w:rPr>
          <w:rFonts w:hint="default"/>
          <w:lang w:val="en-US" w:eastAsia="zh-CN"/>
        </w:rPr>
        <w:fldChar w:fldCharType="begin"/>
      </w:r>
      <w:r>
        <w:rPr>
          <w:rFonts w:hint="default"/>
          <w:lang w:val="en-US" w:eastAsia="zh-CN"/>
        </w:rPr>
        <w:instrText xml:space="preserve"> HYPERLINK "https://github.com/ITXIAOWU123/EGNet" </w:instrText>
      </w:r>
      <w:r>
        <w:rPr>
          <w:rFonts w:hint="default"/>
          <w:lang w:val="en-US" w:eastAsia="zh-CN"/>
        </w:rPr>
        <w:fldChar w:fldCharType="separate"/>
      </w:r>
      <w:r>
        <w:rPr>
          <w:rStyle w:val="5"/>
          <w:rFonts w:hint="default"/>
          <w:lang w:val="en-US" w:eastAsia="zh-CN"/>
        </w:rPr>
        <w:t>https://github.com/ITXIAOWU123/EGNet</w:t>
      </w:r>
      <w:r>
        <w:rPr>
          <w:rFonts w:hint="default"/>
          <w:lang w:val="en-US" w:eastAsia="zh-CN"/>
        </w:rPr>
        <w:fldChar w:fldCharType="end"/>
      </w:r>
    </w:p>
    <w:p w14:paraId="42E59B90">
      <w:pPr>
        <w:ind w:left="0" w:leftChars="0" w:firstLine="0" w:firstLineChars="0"/>
        <w:rPr>
          <w:rFonts w:hint="default"/>
          <w:b/>
          <w:bCs/>
          <w:lang w:val="en-US" w:eastAsia="zh-CN"/>
        </w:rPr>
      </w:pPr>
      <w:r>
        <w:rPr>
          <w:rFonts w:hint="default"/>
          <w:b/>
          <w:bCs/>
          <w:lang w:val="en-US" w:eastAsia="zh-CN"/>
        </w:rPr>
        <w:t>主要创新点 / 亮点</w:t>
      </w:r>
    </w:p>
    <w:p w14:paraId="4BF054AC">
      <w:pPr>
        <w:ind w:left="0" w:leftChars="0" w:firstLine="0" w:firstLineChars="0"/>
        <w:rPr>
          <w:rFonts w:hint="default"/>
          <w:lang w:val="en-US" w:eastAsia="zh-CN"/>
        </w:rPr>
      </w:pPr>
      <w:r>
        <w:rPr>
          <w:rFonts w:hint="eastAsia"/>
          <w:lang w:val="en-US" w:eastAsia="zh-CN"/>
        </w:rPr>
        <w:t>1.</w:t>
      </w:r>
      <w:r>
        <w:rPr>
          <w:rFonts w:hint="default"/>
          <w:b/>
          <w:bCs/>
          <w:lang w:val="en-US" w:eastAsia="zh-CN"/>
        </w:rPr>
        <w:t>双分支闭环协作架构</w:t>
      </w:r>
      <w:r>
        <w:rPr>
          <w:rFonts w:hint="default"/>
          <w:lang w:val="en-US" w:eastAsia="zh-CN"/>
        </w:rPr>
        <w:t>，专门针对模糊边界病变：</w:t>
      </w:r>
    </w:p>
    <w:p w14:paraId="24EABF1C">
      <w:pPr>
        <w:ind w:left="0" w:leftChars="0" w:firstLine="420" w:firstLineChars="200"/>
        <w:rPr>
          <w:rFonts w:hint="default"/>
          <w:lang w:val="en-US" w:eastAsia="zh-CN"/>
        </w:rPr>
      </w:pPr>
      <w:r>
        <w:rPr>
          <w:rFonts w:hint="default"/>
          <w:lang w:val="en-US" w:eastAsia="zh-CN"/>
        </w:rPr>
        <w:t>模型分为两个分支：左分支专注于</w:t>
      </w:r>
      <w:r>
        <w:rPr>
          <w:rFonts w:hint="default"/>
          <w:b/>
          <w:bCs/>
          <w:lang w:val="en-US" w:eastAsia="zh-CN"/>
        </w:rPr>
        <w:t>多尺度边缘特征提取</w:t>
      </w:r>
      <w:r>
        <w:rPr>
          <w:rFonts w:hint="default"/>
          <w:lang w:val="en-US" w:eastAsia="zh-CN"/>
        </w:rPr>
        <w:t>，通过全局 - 局部注意力和拉普拉斯门控融合机制增强高频边缘响应；右分支利用边缘信息进行</w:t>
      </w:r>
      <w:r>
        <w:rPr>
          <w:rFonts w:hint="default"/>
          <w:b/>
          <w:bCs/>
          <w:lang w:val="en-US" w:eastAsia="zh-CN"/>
        </w:rPr>
        <w:t>实时特征调制和反馈校正</w:t>
      </w:r>
      <w:r>
        <w:rPr>
          <w:rFonts w:hint="default"/>
          <w:lang w:val="en-US" w:eastAsia="zh-CN"/>
        </w:rPr>
        <w:t>，实现 “边缘引导区域分割，区域优化边缘定位” 的闭环。</w:t>
      </w:r>
    </w:p>
    <w:p w14:paraId="25288197">
      <w:pPr>
        <w:ind w:left="0" w:leftChars="0" w:firstLine="0" w:firstLineChars="0"/>
        <w:rPr>
          <w:rFonts w:hint="default"/>
          <w:lang w:val="en-US" w:eastAsia="zh-CN"/>
        </w:rPr>
      </w:pPr>
      <w:r>
        <w:rPr>
          <w:rFonts w:hint="eastAsia"/>
          <w:lang w:val="en-US" w:eastAsia="zh-CN"/>
        </w:rPr>
        <w:t>2.</w:t>
      </w:r>
      <w:r>
        <w:rPr>
          <w:rFonts w:hint="default"/>
          <w:lang w:val="en-US" w:eastAsia="zh-CN"/>
        </w:rPr>
        <w:t>解决下采样导致的边缘特征丢失问题：</w:t>
      </w:r>
    </w:p>
    <w:p w14:paraId="3A02F7D6">
      <w:pPr>
        <w:ind w:left="0" w:leftChars="0" w:firstLine="420" w:firstLineChars="200"/>
        <w:rPr>
          <w:rFonts w:hint="default"/>
          <w:lang w:val="en-US" w:eastAsia="zh-CN"/>
        </w:rPr>
      </w:pPr>
      <w:r>
        <w:rPr>
          <w:rFonts w:hint="default"/>
          <w:lang w:val="en-US" w:eastAsia="zh-CN"/>
        </w:rPr>
        <w:t>传统分割模型在池化 / 下采样过程中易丢失高频边缘细节，而 EGNet 通过闭环反馈机制，全程保留并利用边缘信息，显著提升了边界分割的一致性和准确性。</w:t>
      </w:r>
    </w:p>
    <w:p w14:paraId="65E23A58">
      <w:pPr>
        <w:ind w:left="0" w:leftChars="0" w:firstLine="0" w:firstLineChars="0"/>
        <w:rPr>
          <w:rFonts w:hint="default"/>
          <w:lang w:val="en-US" w:eastAsia="zh-CN"/>
        </w:rPr>
      </w:pPr>
      <w:r>
        <w:rPr>
          <w:rFonts w:hint="eastAsia"/>
          <w:lang w:val="en-US" w:eastAsia="zh-CN"/>
        </w:rPr>
        <w:t>3.</w:t>
      </w:r>
      <w:r>
        <w:rPr>
          <w:rFonts w:hint="default"/>
          <w:lang w:val="en-US" w:eastAsia="zh-CN"/>
        </w:rPr>
        <w:t>同时优化整体分割精度与边界细节：</w:t>
      </w:r>
    </w:p>
    <w:p w14:paraId="7E93101D">
      <w:pPr>
        <w:ind w:left="0" w:leftChars="0" w:firstLine="420" w:firstLineChars="200"/>
        <w:rPr>
          <w:rFonts w:hint="default"/>
          <w:lang w:val="en-US" w:eastAsia="zh-CN"/>
        </w:rPr>
      </w:pPr>
      <w:r>
        <w:rPr>
          <w:rFonts w:hint="default"/>
          <w:lang w:val="en-US" w:eastAsia="zh-CN"/>
        </w:rPr>
        <w:t>实验结果显示，EGNet 在 Dice 系数（整体精度）和边界 mIoU（边界精度）上均取得优异表现，解决了多数模型难以同时兼顾两者的痛点。</w:t>
      </w:r>
    </w:p>
    <w:p w14:paraId="0919112F">
      <w:pPr>
        <w:ind w:left="0" w:leftChars="0" w:firstLine="420" w:firstLineChars="200"/>
        <w:rPr>
          <w:rFonts w:hint="default"/>
          <w:lang w:val="en-US" w:eastAsia="zh-CN"/>
        </w:rPr>
      </w:pPr>
      <w:r>
        <w:rPr>
          <w:rFonts w:hint="eastAsia"/>
          <w:lang w:val="en-US" w:eastAsia="zh-CN"/>
        </w:rPr>
        <w:pict>
          <v:shape id="_x0000_s1029" o:spid="_x0000_s1029" o:spt="75" type="#_x0000_t75" style="position:absolute;left:0pt;margin-left:219.65pt;margin-top:14.4pt;height:65.4pt;width:72.6pt;mso-wrap-distance-bottom:0pt;mso-wrap-distance-left:9pt;mso-wrap-distance-right:9pt;mso-wrap-distance-top:0pt;z-index:251662336;mso-width-relative:page;mso-height-relative:page;" o:ole="t" filled="f" o:preferrelative="t" stroked="f" coordsize="21600,21600">
            <v:fill on="f" focussize="0,0"/>
            <v:stroke on="f"/>
            <v:imagedata r:id="rId13" o:title=""/>
            <o:lock v:ext="edit" aspectratio="t"/>
            <w10:wrap type="square"/>
          </v:shape>
          <o:OLEObject Type="Embed" ProgID="Package" ShapeID="_x0000_s1029" DrawAspect="Icon" ObjectID="_1468075728" r:id="rId12">
            <o:LockedField>false</o:LockedField>
          </o:OLEObject>
        </w:pict>
      </w:r>
    </w:p>
    <w:p w14:paraId="098990D2">
      <w:pPr>
        <w:ind w:left="0" w:leftChars="0" w:firstLine="0" w:firstLineChars="0"/>
        <w:rPr>
          <w:rFonts w:hint="eastAsia"/>
          <w:lang w:val="en-US" w:eastAsia="zh-CN"/>
        </w:rPr>
      </w:pPr>
      <w:r>
        <w:rPr>
          <w:rFonts w:hint="eastAsia"/>
          <w:lang w:val="en-US" w:eastAsia="zh-CN"/>
        </w:rPr>
        <w:t>4.</w:t>
      </w:r>
    </w:p>
    <w:p w14:paraId="3ECFBD5E">
      <w:pPr>
        <w:ind w:left="0" w:leftChars="0" w:firstLine="0" w:firstLineChars="0"/>
        <w:rPr>
          <w:rFonts w:hint="default"/>
          <w:lang w:val="en-US" w:eastAsia="zh-CN"/>
        </w:rPr>
      </w:pPr>
      <w:r>
        <w:rPr>
          <w:rFonts w:hint="default"/>
          <w:b/>
          <w:bCs/>
          <w:lang w:val="en-US" w:eastAsia="zh-CN"/>
        </w:rPr>
        <w:t>期刊名：</w:t>
      </w:r>
      <w:r>
        <w:rPr>
          <w:rFonts w:hint="default"/>
          <w:lang w:val="en-US" w:eastAsia="zh-CN"/>
        </w:rPr>
        <w:t>Software Impacts</w:t>
      </w:r>
    </w:p>
    <w:p w14:paraId="12EFC19B">
      <w:pPr>
        <w:ind w:left="0" w:leftChars="0" w:firstLine="0" w:firstLineChars="0"/>
        <w:rPr>
          <w:rFonts w:hint="default"/>
          <w:lang w:val="en-US" w:eastAsia="zh-CN"/>
        </w:rPr>
      </w:pPr>
      <w:r>
        <w:rPr>
          <w:rFonts w:hint="default"/>
          <w:b/>
          <w:bCs/>
          <w:lang w:val="en-US" w:eastAsia="zh-CN"/>
        </w:rPr>
        <w:t>发表年份：</w:t>
      </w:r>
      <w:r>
        <w:rPr>
          <w:rFonts w:hint="default"/>
          <w:lang w:val="en-US" w:eastAsia="zh-CN"/>
        </w:rPr>
        <w:t>2025 年（卷 26，文章编号 100791）</w:t>
      </w:r>
    </w:p>
    <w:p w14:paraId="2615FC80">
      <w:pPr>
        <w:ind w:left="0" w:leftChars="0" w:firstLine="0" w:firstLineChars="0"/>
        <w:rPr>
          <w:rFonts w:hint="default"/>
          <w:lang w:val="en-US" w:eastAsia="zh-CN"/>
        </w:rPr>
      </w:pPr>
      <w:r>
        <w:rPr>
          <w:rFonts w:hint="default"/>
          <w:b/>
          <w:bCs/>
          <w:lang w:val="en-US" w:eastAsia="zh-CN"/>
        </w:rPr>
        <w:t>文献标题：</w:t>
      </w:r>
      <w:r>
        <w:rPr>
          <w:rFonts w:hint="default"/>
          <w:lang w:val="en-US" w:eastAsia="zh-CN"/>
        </w:rPr>
        <w:t>Retuve: Automated multi-modality analysis of hip dysplasia with open source AI</w:t>
      </w:r>
    </w:p>
    <w:p w14:paraId="6CE6CF48">
      <w:pPr>
        <w:ind w:left="0" w:leftChars="0" w:firstLine="0" w:firstLineChars="0"/>
        <w:rPr>
          <w:rFonts w:hint="default"/>
          <w:b/>
          <w:bCs/>
          <w:lang w:val="en-US" w:eastAsia="zh-CN"/>
        </w:rPr>
      </w:pPr>
      <w:r>
        <w:rPr>
          <w:rFonts w:hint="default"/>
          <w:b/>
          <w:bCs/>
          <w:lang w:val="en-US" w:eastAsia="zh-CN"/>
        </w:rPr>
        <w:t>文献主要内容</w:t>
      </w:r>
    </w:p>
    <w:p w14:paraId="1551E50E">
      <w:pPr>
        <w:ind w:left="0" w:leftChars="0" w:firstLine="420" w:firstLineChars="200"/>
        <w:rPr>
          <w:rFonts w:hint="default"/>
          <w:lang w:val="en-US" w:eastAsia="zh-CN"/>
        </w:rPr>
      </w:pPr>
      <w:r>
        <w:rPr>
          <w:rFonts w:hint="default"/>
          <w:lang w:val="en-US" w:eastAsia="zh-CN"/>
        </w:rPr>
        <w:t>本研究针对发育性髋关节发育不良（DDH）的标准化、可复现 AI 辅助诊断难题，开发了名为</w:t>
      </w:r>
      <w:r>
        <w:rPr>
          <w:rFonts w:hint="default"/>
          <w:b/>
          <w:bCs/>
          <w:color w:val="C00000"/>
          <w:lang w:val="en-US" w:eastAsia="zh-CN"/>
        </w:rPr>
        <w:t>Retuve的开源多模态 AI 分析框架</w:t>
      </w:r>
      <w:r>
        <w:rPr>
          <w:rFonts w:hint="default"/>
          <w:lang w:val="en-US" w:eastAsia="zh-CN"/>
        </w:rPr>
        <w:t>，旨在解决当前 DDH 筛查方法缺乏标准化、AI 研究数据 / 代码不公开、结果难以复现的痛点。</w:t>
      </w:r>
    </w:p>
    <w:p w14:paraId="56E00B91">
      <w:pPr>
        <w:ind w:left="0" w:leftChars="0" w:firstLine="0" w:firstLineChars="0"/>
        <w:rPr>
          <w:rFonts w:hint="default"/>
          <w:b/>
          <w:bCs/>
          <w:lang w:val="en-US" w:eastAsia="zh-CN"/>
        </w:rPr>
      </w:pPr>
      <w:r>
        <w:rPr>
          <w:rFonts w:hint="default"/>
          <w:b/>
          <w:bCs/>
          <w:lang w:val="en-US" w:eastAsia="zh-CN"/>
        </w:rPr>
        <w:t>核心问题：</w:t>
      </w:r>
    </w:p>
    <w:p w14:paraId="7E917259">
      <w:pPr>
        <w:ind w:left="0" w:leftChars="0" w:firstLine="420" w:firstLineChars="200"/>
        <w:rPr>
          <w:rFonts w:hint="default"/>
          <w:lang w:val="en-US" w:eastAsia="zh-CN"/>
        </w:rPr>
      </w:pPr>
      <w:r>
        <w:rPr>
          <w:rFonts w:hint="default"/>
          <w:lang w:val="en-US" w:eastAsia="zh-CN"/>
        </w:rPr>
        <w:t>DDH 筛查流程不统一、参数定义不明确，AI 辅助研究受限于私有数据和闭源模型，难以大规模推广和验证。</w:t>
      </w:r>
    </w:p>
    <w:p w14:paraId="7C7444F1">
      <w:pPr>
        <w:ind w:left="0" w:leftChars="0" w:firstLine="0" w:firstLineChars="0"/>
        <w:rPr>
          <w:rFonts w:hint="default"/>
          <w:b/>
          <w:bCs/>
          <w:lang w:val="en-US" w:eastAsia="zh-CN"/>
        </w:rPr>
      </w:pPr>
      <w:r>
        <w:rPr>
          <w:rFonts w:hint="default"/>
          <w:b/>
          <w:bCs/>
          <w:lang w:val="en-US" w:eastAsia="zh-CN"/>
        </w:rPr>
        <w:t>框架功能：</w:t>
      </w:r>
    </w:p>
    <w:p w14:paraId="42CF2D76">
      <w:pPr>
        <w:ind w:left="0" w:leftChars="0" w:firstLine="420" w:firstLineChars="200"/>
        <w:rPr>
          <w:rFonts w:hint="default"/>
          <w:lang w:val="en-US" w:eastAsia="zh-CN"/>
        </w:rPr>
      </w:pPr>
      <w:r>
        <w:rPr>
          <w:rFonts w:hint="default"/>
          <w:lang w:val="en-US" w:eastAsia="zh-CN"/>
        </w:rPr>
        <w:t>Retuve 提供完整、可复现的工作流，包含超声（US）和 X 线影像的标注数据集、预训练模型、训练代码与权重，以及用户友好的 Python API。</w:t>
      </w:r>
    </w:p>
    <w:p w14:paraId="2DF8BFF0">
      <w:pPr>
        <w:ind w:left="0" w:leftChars="0" w:firstLine="0" w:firstLineChars="0"/>
        <w:rPr>
          <w:rFonts w:hint="default"/>
          <w:b/>
          <w:bCs/>
          <w:lang w:val="en-US" w:eastAsia="zh-CN"/>
        </w:rPr>
      </w:pPr>
      <w:r>
        <w:rPr>
          <w:rFonts w:hint="default"/>
          <w:b/>
          <w:bCs/>
          <w:lang w:val="en-US" w:eastAsia="zh-CN"/>
        </w:rPr>
        <w:t>核心能力：</w:t>
      </w:r>
    </w:p>
    <w:p w14:paraId="79E21986">
      <w:pPr>
        <w:ind w:left="0" w:leftChars="0" w:firstLine="420" w:firstLineChars="200"/>
        <w:rPr>
          <w:rFonts w:hint="default"/>
          <w:lang w:val="en-US" w:eastAsia="zh-CN"/>
        </w:rPr>
      </w:pPr>
      <w:r>
        <w:rPr>
          <w:rFonts w:hint="default"/>
          <w:lang w:val="en-US" w:eastAsia="zh-CN"/>
        </w:rPr>
        <w:t>支持</w:t>
      </w:r>
      <w:r>
        <w:rPr>
          <w:rFonts w:hint="default"/>
          <w:b/>
          <w:bCs/>
          <w:color w:val="C00000"/>
          <w:lang w:val="en-US" w:eastAsia="zh-CN"/>
        </w:rPr>
        <w:t>影像分割和关键点检测模型</w:t>
      </w:r>
      <w:r>
        <w:rPr>
          <w:rFonts w:hint="default"/>
          <w:lang w:val="en-US" w:eastAsia="zh-CN"/>
        </w:rPr>
        <w:t>，实现 DDH 关键诊断参数（如超声 α 角、髋臼指数）的自动化测量，为早期诊断和大规模筛查提供工具。</w:t>
      </w:r>
    </w:p>
    <w:p w14:paraId="460129EE">
      <w:pPr>
        <w:ind w:left="0" w:leftChars="0" w:firstLine="0" w:firstLineChars="0"/>
        <w:rPr>
          <w:rFonts w:hint="default"/>
          <w:lang w:val="en-US" w:eastAsia="zh-CN"/>
        </w:rPr>
      </w:pPr>
      <w:r>
        <w:rPr>
          <w:rFonts w:hint="eastAsia"/>
          <w:lang w:val="en-US" w:eastAsia="zh-CN"/>
        </w:rPr>
        <w:pict>
          <v:shape id="_x0000_s1030" o:spid="_x0000_s1030" o:spt="75" type="#_x0000_t75" style="position:absolute;left:0pt;margin-left:238.55pt;margin-top:14.45pt;height:65.4pt;width:72.6pt;mso-wrap-distance-bottom:0pt;mso-wrap-distance-left:9pt;mso-wrap-distance-right:9pt;mso-wrap-distance-top:0pt;z-index:251663360;mso-width-relative:page;mso-height-relative:page;" o:ole="t" filled="f" o:preferrelative="t" stroked="f" coordsize="21600,21600">
            <v:fill on="f" focussize="0,0"/>
            <v:stroke on="f"/>
            <v:imagedata r:id="rId15" o:title=""/>
            <o:lock v:ext="edit" aspectratio="t"/>
            <w10:wrap type="square"/>
          </v:shape>
          <o:OLEObject Type="Embed" ProgID="Package" ShapeID="_x0000_s1030" DrawAspect="Icon" ObjectID="_1468075729" r:id="rId14">
            <o:LockedField>false</o:LockedField>
          </o:OLEObject>
        </w:pict>
      </w:r>
    </w:p>
    <w:p w14:paraId="2E2DCE97">
      <w:pPr>
        <w:ind w:left="0" w:leftChars="0" w:firstLine="0" w:firstLineChars="0"/>
        <w:rPr>
          <w:rFonts w:hint="eastAsia"/>
          <w:lang w:val="en-US" w:eastAsia="zh-CN"/>
        </w:rPr>
      </w:pPr>
      <w:r>
        <w:rPr>
          <w:rFonts w:hint="eastAsia"/>
          <w:lang w:val="en-US" w:eastAsia="zh-CN"/>
        </w:rPr>
        <w:t>5.</w:t>
      </w:r>
    </w:p>
    <w:p w14:paraId="4273B75C">
      <w:pPr>
        <w:ind w:left="0" w:leftChars="0" w:firstLine="0" w:firstLineChars="0"/>
        <w:rPr>
          <w:rFonts w:hint="default"/>
          <w:lang w:val="en-US" w:eastAsia="zh-CN"/>
        </w:rPr>
      </w:pPr>
      <w:r>
        <w:rPr>
          <w:rFonts w:hint="default"/>
          <w:b/>
          <w:bCs/>
          <w:lang w:val="en-US" w:eastAsia="zh-CN"/>
        </w:rPr>
        <w:t>期刊名：</w:t>
      </w:r>
      <w:r>
        <w:rPr>
          <w:rFonts w:hint="default"/>
          <w:lang w:val="en-US" w:eastAsia="zh-CN"/>
        </w:rPr>
        <w:t>Computerized Medical Imaging and Graphics</w:t>
      </w:r>
    </w:p>
    <w:p w14:paraId="539AC5A5">
      <w:pPr>
        <w:ind w:left="0" w:leftChars="0" w:firstLine="0" w:firstLineChars="0"/>
        <w:rPr>
          <w:rFonts w:hint="default"/>
          <w:lang w:val="en-US" w:eastAsia="zh-CN"/>
        </w:rPr>
      </w:pPr>
      <w:r>
        <w:rPr>
          <w:rFonts w:hint="default"/>
          <w:b/>
          <w:bCs/>
          <w:lang w:val="en-US" w:eastAsia="zh-CN"/>
        </w:rPr>
        <w:t>发表年份：</w:t>
      </w:r>
      <w:r>
        <w:rPr>
          <w:rFonts w:hint="default"/>
          <w:lang w:val="en-US" w:eastAsia="zh-CN"/>
        </w:rPr>
        <w:t>2026 年</w:t>
      </w:r>
    </w:p>
    <w:p w14:paraId="3D5ECE54">
      <w:pPr>
        <w:ind w:left="0" w:leftChars="0" w:firstLine="0" w:firstLineChars="0"/>
        <w:rPr>
          <w:rFonts w:hint="default"/>
          <w:lang w:val="en-US" w:eastAsia="zh-CN"/>
        </w:rPr>
      </w:pPr>
      <w:r>
        <w:rPr>
          <w:rFonts w:hint="default"/>
          <w:b/>
          <w:bCs/>
          <w:lang w:val="en-US" w:eastAsia="zh-CN"/>
        </w:rPr>
        <w:t>文献标题：</w:t>
      </w:r>
      <w:r>
        <w:rPr>
          <w:rFonts w:hint="default"/>
          <w:lang w:val="en-US" w:eastAsia="zh-CN"/>
        </w:rPr>
        <w:t>Fuzzy rough set loss for deep learning-based precise medical image segmentation</w:t>
      </w:r>
    </w:p>
    <w:p w14:paraId="515DABE9">
      <w:pPr>
        <w:ind w:left="0" w:leftChars="0" w:firstLine="0" w:firstLineChars="0"/>
        <w:rPr>
          <w:rFonts w:hint="default"/>
          <w:b/>
          <w:bCs/>
          <w:lang w:val="en-US" w:eastAsia="zh-CN"/>
        </w:rPr>
      </w:pPr>
      <w:r>
        <w:rPr>
          <w:rFonts w:hint="default"/>
          <w:b/>
          <w:bCs/>
          <w:lang w:val="en-US" w:eastAsia="zh-CN"/>
        </w:rPr>
        <w:t>文献主要内容</w:t>
      </w:r>
    </w:p>
    <w:p w14:paraId="4380A340">
      <w:pPr>
        <w:ind w:left="0" w:leftChars="0" w:firstLine="420" w:firstLineChars="200"/>
        <w:rPr>
          <w:rFonts w:hint="default"/>
          <w:lang w:val="en-US" w:eastAsia="zh-CN"/>
        </w:rPr>
      </w:pPr>
      <w:r>
        <w:rPr>
          <w:rFonts w:hint="default"/>
          <w:lang w:val="en-US" w:eastAsia="zh-CN"/>
        </w:rPr>
        <w:t>本研究针对医学图像分割中病灶边界模糊、类内不确定性、灰度不均的挑战，提出了一种全新的损失函数 ——</w:t>
      </w:r>
      <w:r>
        <w:rPr>
          <w:rFonts w:hint="default"/>
          <w:b/>
          <w:bCs/>
          <w:lang w:val="en-US" w:eastAsia="zh-CN"/>
        </w:rPr>
        <w:t>模糊粗糙集损失（Fuzzy Rough Set-inspired, FRS 损失）</w:t>
      </w:r>
      <w:r>
        <w:rPr>
          <w:rFonts w:hint="default"/>
          <w:lang w:val="en-US" w:eastAsia="zh-CN"/>
        </w:rPr>
        <w:t>，旨在提升深度学习模型在边界不清晰病灶上的分割精度。</w:t>
      </w:r>
    </w:p>
    <w:p w14:paraId="272A24CD">
      <w:pPr>
        <w:ind w:left="0" w:leftChars="0" w:firstLine="0" w:firstLineChars="0"/>
        <w:rPr>
          <w:rFonts w:hint="default"/>
          <w:b/>
          <w:bCs/>
          <w:lang w:val="en-US" w:eastAsia="zh-CN"/>
        </w:rPr>
      </w:pPr>
      <w:r>
        <w:rPr>
          <w:rFonts w:hint="default"/>
          <w:b/>
          <w:bCs/>
          <w:lang w:val="en-US" w:eastAsia="zh-CN"/>
        </w:rPr>
        <w:t>核心问题：</w:t>
      </w:r>
    </w:p>
    <w:p w14:paraId="79FD9E22">
      <w:pPr>
        <w:ind w:left="0" w:leftChars="0" w:firstLine="420" w:firstLineChars="200"/>
        <w:rPr>
          <w:rFonts w:hint="default"/>
          <w:lang w:val="en-US" w:eastAsia="zh-CN"/>
        </w:rPr>
      </w:pPr>
      <w:r>
        <w:rPr>
          <w:rFonts w:hint="default"/>
          <w:lang w:val="en-US" w:eastAsia="zh-CN"/>
        </w:rPr>
        <w:t>传统损失函数（如交叉熵、Dice 损失）在处理边界模糊、灰度不均的医学图像时，无法有效捕捉像素间的空间关系和边界不确定性，导致分割边界不清晰、整体精度下降。</w:t>
      </w:r>
    </w:p>
    <w:p w14:paraId="45B51549">
      <w:pPr>
        <w:ind w:left="0" w:leftChars="0" w:firstLine="0" w:firstLineChars="0"/>
        <w:rPr>
          <w:rFonts w:hint="default"/>
          <w:b/>
          <w:bCs/>
          <w:lang w:val="en-US" w:eastAsia="zh-CN"/>
        </w:rPr>
      </w:pPr>
      <w:r>
        <w:rPr>
          <w:rFonts w:hint="default"/>
          <w:b/>
          <w:bCs/>
          <w:lang w:val="en-US" w:eastAsia="zh-CN"/>
        </w:rPr>
        <w:t>方法核心：</w:t>
      </w:r>
    </w:p>
    <w:p w14:paraId="79B32C46">
      <w:pPr>
        <w:ind w:left="0" w:leftChars="0" w:firstLine="420" w:firstLineChars="200"/>
        <w:rPr>
          <w:rFonts w:hint="default"/>
          <w:lang w:val="en-US" w:eastAsia="zh-CN"/>
        </w:rPr>
      </w:pPr>
      <w:r>
        <w:rPr>
          <w:rFonts w:hint="default"/>
          <w:lang w:val="en-US" w:eastAsia="zh-CN"/>
        </w:rPr>
        <w:t>将</w:t>
      </w:r>
      <w:r>
        <w:rPr>
          <w:rFonts w:hint="default"/>
          <w:b/>
          <w:bCs/>
          <w:color w:val="auto"/>
          <w:lang w:val="en-US" w:eastAsia="zh-CN"/>
        </w:rPr>
        <w:t>模糊粗糙集理论与卷积网络结合</w:t>
      </w:r>
      <w:r>
        <w:rPr>
          <w:rFonts w:hint="default"/>
          <w:lang w:val="en-US" w:eastAsia="zh-CN"/>
        </w:rPr>
        <w:t>，通过模糊相似关系建模像素间的不确定性，利用上下近似边界处理边界模糊问题，同时引入</w:t>
      </w:r>
      <w:r>
        <w:rPr>
          <w:rFonts w:hint="default"/>
          <w:b/>
          <w:bCs/>
          <w:color w:val="auto"/>
          <w:lang w:val="en-US" w:eastAsia="zh-CN"/>
        </w:rPr>
        <w:t>隶属度权重</w:t>
      </w:r>
      <w:r>
        <w:rPr>
          <w:rFonts w:hint="eastAsia"/>
          <w:b/>
          <w:bCs/>
          <w:color w:val="auto"/>
          <w:lang w:val="en-US" w:eastAsia="zh-CN"/>
        </w:rPr>
        <w:t>（membership weights）</w:t>
      </w:r>
      <w:r>
        <w:rPr>
          <w:rFonts w:hint="default"/>
          <w:lang w:val="en-US" w:eastAsia="zh-CN"/>
        </w:rPr>
        <w:t>处理灰度不均，增强模型对边界和低对比度区域的敏感度。</w:t>
      </w:r>
    </w:p>
    <w:p w14:paraId="3906D6C1">
      <w:pPr>
        <w:ind w:left="0" w:leftChars="0" w:firstLine="0" w:firstLineChars="0"/>
        <w:rPr>
          <w:rFonts w:hint="default"/>
          <w:b/>
          <w:bCs/>
          <w:lang w:val="en-US" w:eastAsia="zh-CN"/>
        </w:rPr>
      </w:pPr>
      <w:r>
        <w:rPr>
          <w:rFonts w:hint="default"/>
          <w:b/>
          <w:bCs/>
          <w:lang w:val="en-US" w:eastAsia="zh-CN"/>
        </w:rPr>
        <w:t>验证结果：</w:t>
      </w:r>
    </w:p>
    <w:p w14:paraId="128EF410">
      <w:pPr>
        <w:ind w:left="0" w:leftChars="0" w:firstLine="420" w:firstLineChars="200"/>
        <w:rPr>
          <w:rFonts w:hint="default"/>
          <w:lang w:val="en-US" w:eastAsia="zh-CN"/>
        </w:rPr>
      </w:pPr>
      <w:r>
        <w:rPr>
          <w:rFonts w:hint="default"/>
          <w:lang w:val="en-US" w:eastAsia="zh-CN"/>
        </w:rPr>
        <w:t>在乳腺超声、胃肠道息肉、脑部 MRI、CT、皮肤病变等 5 种模态的医学影像数据集上验证，相比基线方法，FRS 损失平均提升 Dice 系数 2.1%，且对类内不平衡有鲁棒性，同时保持了计算效率（单张图像推理时间 0.075-0.12s，内存占用仅 4.5MB）。</w:t>
      </w:r>
    </w:p>
    <w:p w14:paraId="7251B430">
      <w:pPr>
        <w:ind w:left="0" w:leftChars="0" w:firstLine="0" w:firstLineChars="0"/>
        <w:rPr>
          <w:rFonts w:hint="eastAsia"/>
          <w:b/>
          <w:bCs/>
          <w:lang w:val="en-US" w:eastAsia="zh-CN"/>
        </w:rPr>
      </w:pPr>
      <w:r>
        <w:rPr>
          <w:rFonts w:hint="eastAsia"/>
          <w:b/>
          <w:bCs/>
          <w:lang w:val="en-US" w:eastAsia="zh-CN"/>
        </w:rPr>
        <w:t>代码已开源：</w:t>
      </w:r>
      <w:r>
        <w:rPr>
          <w:rFonts w:hint="eastAsia"/>
          <w:b/>
          <w:bCs/>
          <w:lang w:val="en-US" w:eastAsia="zh-CN"/>
        </w:rPr>
        <w:fldChar w:fldCharType="begin"/>
      </w:r>
      <w:r>
        <w:rPr>
          <w:rFonts w:hint="eastAsia"/>
          <w:b/>
          <w:bCs/>
          <w:lang w:val="en-US" w:eastAsia="zh-CN"/>
        </w:rPr>
        <w:instrText xml:space="preserve"> HYPERLINK "https://github.com/MohsinFurkh/Fuzzy-Rough-Set-Loss" </w:instrText>
      </w:r>
      <w:r>
        <w:rPr>
          <w:rFonts w:hint="eastAsia"/>
          <w:b/>
          <w:bCs/>
          <w:lang w:val="en-US" w:eastAsia="zh-CN"/>
        </w:rPr>
        <w:fldChar w:fldCharType="separate"/>
      </w:r>
      <w:r>
        <w:rPr>
          <w:rStyle w:val="5"/>
          <w:rFonts w:hint="eastAsia"/>
          <w:b/>
          <w:bCs/>
          <w:lang w:val="en-US" w:eastAsia="zh-CN"/>
        </w:rPr>
        <w:t>https://github.com/MohsinFurkh/Fuzzy-Rough-Set-Loss</w:t>
      </w:r>
      <w:r>
        <w:rPr>
          <w:rFonts w:hint="eastAsia"/>
          <w:b/>
          <w:bCs/>
          <w:lang w:val="en-US" w:eastAsia="zh-CN"/>
        </w:rPr>
        <w:fldChar w:fldCharType="end"/>
      </w:r>
    </w:p>
    <w:p w14:paraId="1C226760">
      <w:pPr>
        <w:ind w:left="0" w:leftChars="0" w:firstLine="0" w:firstLineChars="0"/>
        <w:rPr>
          <w:rFonts w:hint="default"/>
          <w:b/>
          <w:bCs/>
          <w:lang w:val="en-US" w:eastAsia="zh-CN"/>
        </w:rPr>
      </w:pPr>
      <w:r>
        <w:rPr>
          <w:rFonts w:hint="default"/>
          <w:b/>
          <w:bCs/>
          <w:lang w:val="en-US" w:eastAsia="zh-CN"/>
        </w:rPr>
        <w:t>主要创新点 / 亮点</w:t>
      </w:r>
    </w:p>
    <w:p w14:paraId="04A3ECFC">
      <w:pPr>
        <w:ind w:left="0" w:leftChars="0" w:firstLine="0" w:firstLineChars="0"/>
        <w:rPr>
          <w:rFonts w:hint="default"/>
          <w:b w:val="0"/>
          <w:bCs w:val="0"/>
          <w:lang w:val="en-US" w:eastAsia="zh-CN"/>
        </w:rPr>
      </w:pPr>
      <w:r>
        <w:rPr>
          <w:rFonts w:hint="eastAsia"/>
          <w:b w:val="0"/>
          <w:bCs w:val="0"/>
          <w:lang w:val="en-US" w:eastAsia="zh-CN"/>
        </w:rPr>
        <w:t>1.</w:t>
      </w:r>
      <w:r>
        <w:rPr>
          <w:rFonts w:hint="default"/>
          <w:b w:val="0"/>
          <w:bCs w:val="0"/>
          <w:lang w:val="en-US" w:eastAsia="zh-CN"/>
        </w:rPr>
        <w:t>首次将模糊粗糙集理论引入医学图像分割损失函数设计：</w:t>
      </w:r>
    </w:p>
    <w:p w14:paraId="4B894C8F">
      <w:pPr>
        <w:ind w:left="0" w:leftChars="0" w:firstLine="420" w:firstLineChars="200"/>
        <w:rPr>
          <w:rFonts w:hint="default"/>
          <w:b w:val="0"/>
          <w:bCs w:val="0"/>
          <w:lang w:val="en-US" w:eastAsia="zh-CN"/>
        </w:rPr>
      </w:pPr>
      <w:r>
        <w:rPr>
          <w:rFonts w:hint="default"/>
          <w:b w:val="0"/>
          <w:bCs w:val="0"/>
          <w:lang w:val="en-US" w:eastAsia="zh-CN"/>
        </w:rPr>
        <w:t>提出的</w:t>
      </w:r>
      <w:r>
        <w:rPr>
          <w:rFonts w:hint="default"/>
          <w:b/>
          <w:bCs/>
          <w:color w:val="C00000"/>
          <w:lang w:val="en-US" w:eastAsia="zh-CN"/>
        </w:rPr>
        <w:t xml:space="preserve"> FRS 损失函数</w:t>
      </w:r>
      <w:r>
        <w:rPr>
          <w:rFonts w:hint="default"/>
          <w:b w:val="0"/>
          <w:bCs w:val="0"/>
          <w:lang w:val="en-US" w:eastAsia="zh-CN"/>
        </w:rPr>
        <w:t>，专门针对边界模糊、类内灰度不均的医学影像，能有效建模像素间的不确定性和边界过渡区域，显著提升分割边界的清晰度和整体精度。</w:t>
      </w:r>
    </w:p>
    <w:p w14:paraId="240EBB55">
      <w:pPr>
        <w:ind w:left="0" w:leftChars="0" w:firstLine="0" w:firstLineChars="0"/>
        <w:rPr>
          <w:rFonts w:hint="default"/>
          <w:b w:val="0"/>
          <w:bCs w:val="0"/>
          <w:lang w:val="en-US" w:eastAsia="zh-CN"/>
        </w:rPr>
      </w:pPr>
      <w:r>
        <w:rPr>
          <w:rFonts w:hint="eastAsia"/>
          <w:b w:val="0"/>
          <w:bCs w:val="0"/>
          <w:lang w:val="en-US" w:eastAsia="zh-CN"/>
        </w:rPr>
        <w:t>2.</w:t>
      </w:r>
      <w:r>
        <w:rPr>
          <w:rFonts w:hint="default"/>
          <w:b w:val="0"/>
          <w:bCs w:val="0"/>
          <w:lang w:val="en-US" w:eastAsia="zh-CN"/>
        </w:rPr>
        <w:t>同时解决边界模糊与类内不平衡问题：</w:t>
      </w:r>
    </w:p>
    <w:p w14:paraId="2C1270F0">
      <w:pPr>
        <w:ind w:left="0" w:leftChars="0" w:firstLine="420" w:firstLineChars="200"/>
        <w:rPr>
          <w:rFonts w:hint="default"/>
          <w:b w:val="0"/>
          <w:bCs w:val="0"/>
          <w:lang w:val="en-US" w:eastAsia="zh-CN"/>
        </w:rPr>
      </w:pPr>
      <w:r>
        <w:rPr>
          <w:rFonts w:hint="default"/>
          <w:b w:val="0"/>
          <w:bCs w:val="0"/>
          <w:lang w:val="en-US" w:eastAsia="zh-CN"/>
        </w:rPr>
        <w:t>通过</w:t>
      </w:r>
      <w:r>
        <w:rPr>
          <w:rFonts w:hint="default"/>
          <w:b/>
          <w:bCs/>
          <w:color w:val="C00000"/>
          <w:lang w:val="en-US" w:eastAsia="zh-CN"/>
        </w:rPr>
        <w:t>模糊相似关系</w:t>
      </w:r>
      <w:r>
        <w:rPr>
          <w:rFonts w:hint="default"/>
          <w:b w:val="0"/>
          <w:bCs w:val="0"/>
          <w:color w:val="C00000"/>
          <w:lang w:val="en-US" w:eastAsia="zh-CN"/>
        </w:rPr>
        <w:t>和</w:t>
      </w:r>
      <w:r>
        <w:rPr>
          <w:rFonts w:hint="default"/>
          <w:b/>
          <w:bCs/>
          <w:color w:val="C00000"/>
          <w:lang w:val="en-US" w:eastAsia="zh-CN"/>
        </w:rPr>
        <w:t>隶属度权重</w:t>
      </w:r>
      <w:r>
        <w:rPr>
          <w:rFonts w:hint="default"/>
          <w:b w:val="0"/>
          <w:bCs w:val="0"/>
          <w:lang w:val="en-US" w:eastAsia="zh-CN"/>
        </w:rPr>
        <w:t>，既处理了病灶边界的不确定性，又缓解了类内灰度不均带来的训练偏差，无需额外复杂的网络结构修改即可提升性能。</w:t>
      </w:r>
    </w:p>
    <w:p w14:paraId="4008A272">
      <w:pPr>
        <w:ind w:left="0" w:leftChars="0" w:firstLine="0" w:firstLineChars="0"/>
        <w:rPr>
          <w:rFonts w:hint="default"/>
          <w:b w:val="0"/>
          <w:bCs w:val="0"/>
          <w:lang w:val="en-US" w:eastAsia="zh-CN"/>
        </w:rPr>
      </w:pPr>
      <w:r>
        <w:rPr>
          <w:rFonts w:hint="eastAsia"/>
          <w:b w:val="0"/>
          <w:bCs w:val="0"/>
          <w:lang w:val="en-US" w:eastAsia="zh-CN"/>
        </w:rPr>
        <w:t>3.</w:t>
      </w:r>
      <w:r>
        <w:rPr>
          <w:rFonts w:hint="default"/>
          <w:b w:val="0"/>
          <w:bCs w:val="0"/>
          <w:lang w:val="en-US" w:eastAsia="zh-CN"/>
        </w:rPr>
        <w:t>高效轻量，无需大幅增加计算成本：</w:t>
      </w:r>
    </w:p>
    <w:p w14:paraId="28FE09C0">
      <w:pPr>
        <w:ind w:left="0" w:leftChars="0" w:firstLine="420" w:firstLineChars="200"/>
        <w:rPr>
          <w:rFonts w:hint="default"/>
          <w:b w:val="0"/>
          <w:bCs w:val="0"/>
          <w:lang w:val="en-US" w:eastAsia="zh-CN"/>
        </w:rPr>
      </w:pPr>
      <w:r>
        <w:rPr>
          <w:rFonts w:hint="default"/>
          <w:b w:val="0"/>
          <w:bCs w:val="0"/>
          <w:lang w:val="en-US" w:eastAsia="zh-CN"/>
        </w:rPr>
        <w:t>相比复杂的注意力或 Transformer 模块，</w:t>
      </w:r>
      <w:r>
        <w:rPr>
          <w:rFonts w:hint="default"/>
          <w:b/>
          <w:bCs/>
          <w:color w:val="C00000"/>
          <w:lang w:val="en-US" w:eastAsia="zh-CN"/>
        </w:rPr>
        <w:t>FRS 损失</w:t>
      </w:r>
      <w:r>
        <w:rPr>
          <w:rFonts w:hint="default"/>
          <w:b w:val="0"/>
          <w:bCs w:val="0"/>
          <w:lang w:val="en-US" w:eastAsia="zh-CN"/>
        </w:rPr>
        <w:t>仅在损失函数层面进行改进，计算效率高、内存占用低，可直接集成到现有主流分割模型中，无需大规模修改网络架构。</w:t>
      </w:r>
    </w:p>
    <w:p w14:paraId="08280878">
      <w:pPr>
        <w:numPr>
          <w:numId w:val="0"/>
        </w:numPr>
        <w:ind w:leftChars="0"/>
        <w:rPr>
          <w:rFonts w:hint="default"/>
          <w:b w:val="0"/>
          <w:bCs w:val="0"/>
          <w:lang w:val="en-US" w:eastAsia="zh-CN"/>
        </w:rPr>
      </w:pPr>
      <w:r>
        <w:rPr>
          <w:rFonts w:hint="eastAsia"/>
          <w:b w:val="0"/>
          <w:bCs w:val="0"/>
          <w:lang w:val="en-US" w:eastAsia="zh-CN"/>
        </w:rPr>
        <w:t>4.</w:t>
      </w:r>
      <w:r>
        <w:rPr>
          <w:rFonts w:hint="default"/>
          <w:b w:val="0"/>
          <w:bCs w:val="0"/>
          <w:lang w:val="en-US" w:eastAsia="zh-CN"/>
        </w:rPr>
        <w:t>多模态泛化能力强：</w:t>
      </w:r>
    </w:p>
    <w:p w14:paraId="0DE75C5C">
      <w:pPr>
        <w:ind w:left="0" w:leftChars="0" w:firstLine="420" w:firstLineChars="200"/>
        <w:rPr>
          <w:rFonts w:hint="default"/>
          <w:b w:val="0"/>
          <w:bCs w:val="0"/>
          <w:lang w:val="en-US" w:eastAsia="zh-CN"/>
        </w:rPr>
      </w:pPr>
      <w:r>
        <w:rPr>
          <w:rFonts w:hint="default"/>
          <w:b w:val="0"/>
          <w:bCs w:val="0"/>
          <w:lang w:val="en-US" w:eastAsia="zh-CN"/>
        </w:rPr>
        <w:t>在超声、CT、MRI 等 5 种不同模态的医学影像上均取得稳定提升，证明了该损失函数的通用性，适配多种复杂临床场景。</w:t>
      </w:r>
    </w:p>
    <w:p w14:paraId="16065FD0">
      <w:pPr>
        <w:ind w:left="0" w:leftChars="0" w:firstLine="0" w:firstLineChars="0"/>
        <w:rPr>
          <w:rFonts w:hint="default"/>
          <w:lang w:val="en-US" w:eastAsia="zh-CN"/>
        </w:rPr>
      </w:pPr>
    </w:p>
    <w:p w14:paraId="3A5F7FD9">
      <w:pPr>
        <w:ind w:left="0" w:leftChars="0" w:firstLine="0" w:firstLineChars="0"/>
        <w:rPr>
          <w:rFonts w:hint="default"/>
          <w:lang w:val="en-US" w:eastAsia="zh-CN"/>
        </w:rPr>
      </w:pPr>
      <w:r>
        <w:rPr>
          <w:rFonts w:hint="default"/>
          <w:lang w:val="en-US" w:eastAsia="zh-CN"/>
        </w:rPr>
        <w:pict>
          <v:shape id="_x0000_s1031" o:spid="_x0000_s1031" o:spt="75" type="#_x0000_t75" style="position:absolute;left:0pt;margin-left:166.5pt;margin-top:14.5pt;height:65.4pt;width:72.6pt;mso-wrap-distance-bottom:0pt;mso-wrap-distance-left:9pt;mso-wrap-distance-right:9pt;mso-wrap-distance-top:0pt;z-index:251664384;mso-width-relative:page;mso-height-relative:page;" o:ole="t" filled="f" o:preferrelative="t" stroked="f" coordsize="21600,21600">
            <v:fill on="f" focussize="0,0"/>
            <v:stroke on="f"/>
            <v:imagedata r:id="rId17" o:title=""/>
            <o:lock v:ext="edit" aspectratio="t"/>
            <w10:wrap type="square"/>
          </v:shape>
          <o:OLEObject Type="Embed" ProgID="Package" ShapeID="_x0000_s1031" DrawAspect="Icon" ObjectID="_1468075730" r:id="rId16">
            <o:LockedField>false</o:LockedField>
          </o:OLEObject>
        </w:pict>
      </w:r>
    </w:p>
    <w:p w14:paraId="6B05663F">
      <w:pPr>
        <w:ind w:left="0" w:leftChars="0" w:firstLine="0" w:firstLineChars="0"/>
        <w:rPr>
          <w:rFonts w:hint="eastAsia"/>
          <w:highlight w:val="yellow"/>
          <w:shd w:val="clear" w:color="FFFFFF" w:fill="D9D9D9"/>
          <w:lang w:val="en-US" w:eastAsia="zh-CN"/>
        </w:rPr>
      </w:pPr>
      <w:r>
        <w:rPr>
          <w:rFonts w:hint="eastAsia"/>
          <w:highlight w:val="yellow"/>
          <w:shd w:val="clear" w:color="FFFFFF" w:fill="D9D9D9"/>
          <w:lang w:val="en-US" w:eastAsia="zh-CN"/>
        </w:rPr>
        <w:t>6.</w:t>
      </w:r>
    </w:p>
    <w:p w14:paraId="7A6AF38D">
      <w:pPr>
        <w:ind w:left="0" w:leftChars="0" w:firstLine="0" w:firstLineChars="0"/>
        <w:rPr>
          <w:rFonts w:hint="eastAsia"/>
          <w:lang w:val="en-US" w:eastAsia="zh-CN"/>
        </w:rPr>
      </w:pPr>
      <w:r>
        <w:rPr>
          <w:rFonts w:hint="eastAsia"/>
          <w:b/>
          <w:bCs/>
          <w:lang w:val="en-US" w:eastAsia="zh-CN"/>
        </w:rPr>
        <w:t>期刊名：</w:t>
      </w:r>
      <w:r>
        <w:rPr>
          <w:rFonts w:hint="eastAsia"/>
          <w:lang w:val="en-US" w:eastAsia="zh-CN"/>
        </w:rPr>
        <w:t>Journal of Clinical Medicine</w:t>
      </w:r>
    </w:p>
    <w:p w14:paraId="3AC2F1D8">
      <w:pPr>
        <w:ind w:left="0" w:leftChars="0" w:firstLine="0" w:firstLineChars="0"/>
        <w:rPr>
          <w:rFonts w:hint="eastAsia"/>
          <w:lang w:val="en-US" w:eastAsia="zh-CN"/>
        </w:rPr>
      </w:pPr>
      <w:r>
        <w:rPr>
          <w:rFonts w:hint="eastAsia"/>
          <w:b/>
          <w:bCs/>
          <w:lang w:val="en-US" w:eastAsia="zh-CN"/>
        </w:rPr>
        <w:t>发表年份：</w:t>
      </w:r>
      <w:r>
        <w:rPr>
          <w:rFonts w:hint="eastAsia"/>
          <w:lang w:val="en-US" w:eastAsia="zh-CN"/>
        </w:rPr>
        <w:t>2023 年</w:t>
      </w:r>
    </w:p>
    <w:p w14:paraId="22CA6D02">
      <w:pPr>
        <w:ind w:left="0" w:leftChars="0" w:firstLine="0" w:firstLineChars="0"/>
        <w:rPr>
          <w:rFonts w:hint="eastAsia"/>
          <w:lang w:val="en-US" w:eastAsia="zh-CN"/>
        </w:rPr>
      </w:pPr>
      <w:r>
        <w:rPr>
          <w:rFonts w:hint="eastAsia"/>
          <w:b/>
          <w:bCs/>
          <w:lang w:val="en-US" w:eastAsia="zh-CN"/>
        </w:rPr>
        <w:t>文献标题：</w:t>
      </w:r>
      <w:r>
        <w:rPr>
          <w:rFonts w:hint="eastAsia"/>
          <w:lang w:val="en-US" w:eastAsia="zh-CN"/>
        </w:rPr>
        <w:t>Identifying Risk Factors Associated with Major Complications and Refractory Course in Patients with Osteomyelitis of the Jaw: A Retrospective Study</w:t>
      </w:r>
    </w:p>
    <w:p w14:paraId="7D878410">
      <w:pPr>
        <w:ind w:left="0" w:leftChars="0" w:firstLine="0" w:firstLineChars="0"/>
        <w:rPr>
          <w:rFonts w:hint="default"/>
          <w:b/>
          <w:bCs/>
          <w:lang w:val="en-US" w:eastAsia="zh-CN"/>
        </w:rPr>
      </w:pPr>
      <w:r>
        <w:rPr>
          <w:rFonts w:hint="default"/>
          <w:b/>
          <w:bCs/>
          <w:lang w:val="en-US" w:eastAsia="zh-CN"/>
        </w:rPr>
        <w:t>文献主要内容</w:t>
      </w:r>
    </w:p>
    <w:p w14:paraId="149C4371">
      <w:pPr>
        <w:ind w:left="0" w:leftChars="0" w:firstLine="420" w:firstLineChars="200"/>
        <w:rPr>
          <w:rFonts w:hint="default"/>
          <w:lang w:val="en-US" w:eastAsia="zh-CN"/>
        </w:rPr>
      </w:pPr>
      <w:r>
        <w:rPr>
          <w:rFonts w:hint="default"/>
          <w:lang w:val="en-US" w:eastAsia="zh-CN"/>
        </w:rPr>
        <w:t>本研究是一项针对颌骨骨髓炎的回顾性研究，旨在识别与严重并发症及难治性病程相关的风险因素，为口腔颌面外科医生的临床决策提供依据。</w:t>
      </w:r>
    </w:p>
    <w:p w14:paraId="34388E19">
      <w:pPr>
        <w:ind w:left="0" w:leftChars="0" w:firstLine="0" w:firstLineChars="0"/>
        <w:rPr>
          <w:rFonts w:hint="default"/>
          <w:b/>
          <w:bCs/>
          <w:lang w:val="en-US" w:eastAsia="zh-CN"/>
        </w:rPr>
      </w:pPr>
      <w:r>
        <w:rPr>
          <w:rFonts w:hint="default"/>
          <w:b/>
          <w:bCs/>
          <w:lang w:val="en-US" w:eastAsia="zh-CN"/>
        </w:rPr>
        <w:t>研究背景：</w:t>
      </w:r>
    </w:p>
    <w:p w14:paraId="7FC036C2">
      <w:pPr>
        <w:ind w:left="0" w:leftChars="0" w:firstLine="420" w:firstLineChars="200"/>
        <w:rPr>
          <w:rFonts w:hint="default"/>
          <w:lang w:val="en-US" w:eastAsia="zh-CN"/>
        </w:rPr>
      </w:pPr>
      <w:r>
        <w:rPr>
          <w:rFonts w:hint="default"/>
          <w:lang w:val="en-US" w:eastAsia="zh-CN"/>
        </w:rPr>
        <w:t>尽管颌骨骨髓炎的诊断和治疗已有进展，但仍是临床难题，严重病例易出现严重并发症和难治性病程。</w:t>
      </w:r>
    </w:p>
    <w:p w14:paraId="062287A8">
      <w:pPr>
        <w:ind w:left="0" w:leftChars="0" w:firstLine="0" w:firstLineChars="0"/>
        <w:rPr>
          <w:rFonts w:hint="default"/>
          <w:b/>
          <w:bCs/>
          <w:lang w:val="en-US" w:eastAsia="zh-CN"/>
        </w:rPr>
      </w:pPr>
      <w:r>
        <w:rPr>
          <w:rFonts w:hint="default"/>
          <w:b/>
          <w:bCs/>
          <w:lang w:val="en-US" w:eastAsia="zh-CN"/>
        </w:rPr>
        <w:t>研究方法：</w:t>
      </w:r>
    </w:p>
    <w:p w14:paraId="2C58C22E">
      <w:pPr>
        <w:ind w:left="0" w:leftChars="0" w:firstLine="0" w:firstLineChars="0"/>
        <w:rPr>
          <w:rFonts w:hint="default"/>
          <w:lang w:val="en-US" w:eastAsia="zh-CN"/>
        </w:rPr>
      </w:pPr>
      <w:r>
        <w:rPr>
          <w:rFonts w:hint="default"/>
          <w:lang w:val="en-US" w:eastAsia="zh-CN"/>
        </w:rPr>
        <w:t>回顾性分析过去 20 年间确诊的 54 例 OMJ 患者的医疗记录，收集人口学信息、病史与口腔史、临床</w:t>
      </w:r>
      <w:r>
        <w:rPr>
          <w:rFonts w:hint="eastAsia"/>
          <w:lang w:val="en-US" w:eastAsia="zh-CN"/>
        </w:rPr>
        <w:t>/</w:t>
      </w:r>
      <w:r>
        <w:rPr>
          <w:rFonts w:hint="default"/>
          <w:lang w:val="en-US" w:eastAsia="zh-CN"/>
        </w:rPr>
        <w:t>影像学表现、细菌学结果及治疗方式，分析与并发症和难治性病程相关的风险因素。</w:t>
      </w:r>
    </w:p>
    <w:p w14:paraId="243BCBF3">
      <w:pPr>
        <w:ind w:left="0" w:leftChars="0" w:firstLine="0" w:firstLineChars="0"/>
        <w:rPr>
          <w:rFonts w:hint="default"/>
          <w:lang w:val="en-US" w:eastAsia="zh-CN"/>
        </w:rPr>
      </w:pPr>
      <w:r>
        <w:rPr>
          <w:rFonts w:hint="default"/>
          <w:b/>
          <w:bCs/>
          <w:lang w:val="en-US" w:eastAsia="zh-CN"/>
        </w:rPr>
        <w:t>核心发现：</w:t>
      </w:r>
      <w:r>
        <w:rPr>
          <w:rFonts w:hint="default"/>
          <w:lang w:val="en-US" w:eastAsia="zh-CN"/>
        </w:rPr>
        <w:t>饮酒吸烟习惯、营养不良与严重并发症显著相关；dental implant-induced OMJ（种植体相关颌骨骨髓炎）属于侵袭性亚型；clinical bone exposure（骨暴露）与不良预后相关，而 radiological evidence of periosteal reaction（影像学骨膜反应）则提示治疗成功。</w:t>
      </w:r>
    </w:p>
    <w:p w14:paraId="7235C51A">
      <w:pPr>
        <w:ind w:left="0" w:leftChars="0" w:firstLine="0" w:firstLineChars="0"/>
        <w:rPr>
          <w:rFonts w:hint="default"/>
          <w:b/>
          <w:bCs/>
          <w:lang w:val="en-US" w:eastAsia="zh-CN"/>
        </w:rPr>
      </w:pPr>
      <w:r>
        <w:rPr>
          <w:rFonts w:hint="default"/>
          <w:b/>
          <w:bCs/>
          <w:lang w:val="en-US" w:eastAsia="zh-CN"/>
        </w:rPr>
        <w:t>主要创新点 / 亮点</w:t>
      </w:r>
    </w:p>
    <w:p w14:paraId="57CA7BE1">
      <w:pPr>
        <w:ind w:left="0" w:leftChars="0" w:firstLine="0" w:firstLineChars="0"/>
        <w:rPr>
          <w:rFonts w:hint="default"/>
          <w:lang w:val="en-US" w:eastAsia="zh-CN"/>
        </w:rPr>
      </w:pPr>
      <w:r>
        <w:rPr>
          <w:rFonts w:hint="eastAsia"/>
          <w:lang w:val="en-US" w:eastAsia="zh-CN"/>
        </w:rPr>
        <w:t>1.</w:t>
      </w:r>
      <w:r>
        <w:rPr>
          <w:rFonts w:hint="default"/>
          <w:lang w:val="en-US" w:eastAsia="zh-CN"/>
        </w:rPr>
        <w:t>聚焦颌骨骨髓炎的不良预后风险因素</w:t>
      </w:r>
    </w:p>
    <w:p w14:paraId="4DFD1FE5">
      <w:pPr>
        <w:ind w:left="0" w:leftChars="0" w:firstLine="420" w:firstLineChars="200"/>
        <w:rPr>
          <w:rFonts w:hint="default"/>
          <w:lang w:val="en-US" w:eastAsia="zh-CN"/>
        </w:rPr>
      </w:pPr>
      <w:r>
        <w:rPr>
          <w:rFonts w:hint="default"/>
          <w:lang w:val="en-US" w:eastAsia="zh-CN"/>
        </w:rPr>
        <w:t>首次系统识别了 OMJ 患者发生严重并发症和难治性病程的关键风险因素，明确了种植体相关骨髓炎的</w:t>
      </w:r>
      <w:r>
        <w:rPr>
          <w:rFonts w:hint="default"/>
          <w:b/>
          <w:bCs/>
          <w:lang w:val="en-US" w:eastAsia="zh-CN"/>
        </w:rPr>
        <w:t>侵袭性</w:t>
      </w:r>
      <w:r>
        <w:rPr>
          <w:rFonts w:hint="default"/>
          <w:lang w:val="en-US" w:eastAsia="zh-CN"/>
        </w:rPr>
        <w:t>特征，为高危患者的早期识别提供了依据。</w:t>
      </w:r>
    </w:p>
    <w:p w14:paraId="4439F861">
      <w:pPr>
        <w:ind w:left="0" w:leftChars="0" w:firstLine="0" w:firstLineChars="0"/>
        <w:rPr>
          <w:rFonts w:hint="default"/>
          <w:lang w:val="en-US" w:eastAsia="zh-CN"/>
        </w:rPr>
      </w:pPr>
      <w:r>
        <w:rPr>
          <w:rFonts w:hint="eastAsia"/>
          <w:lang w:val="en-US" w:eastAsia="zh-CN"/>
        </w:rPr>
        <w:t>2.</w:t>
      </w:r>
      <w:r>
        <w:rPr>
          <w:rFonts w:hint="default"/>
          <w:lang w:val="en-US" w:eastAsia="zh-CN"/>
        </w:rPr>
        <w:t>建立影像学指标与治疗结局的关联</w:t>
      </w:r>
    </w:p>
    <w:p w14:paraId="29C9AAC2">
      <w:pPr>
        <w:ind w:left="0" w:leftChars="0" w:firstLine="420" w:firstLineChars="200"/>
        <w:rPr>
          <w:rFonts w:hint="default"/>
          <w:lang w:val="en-US" w:eastAsia="zh-CN"/>
        </w:rPr>
      </w:pPr>
      <w:r>
        <w:rPr>
          <w:rFonts w:hint="default"/>
          <w:lang w:val="en-US" w:eastAsia="zh-CN"/>
        </w:rPr>
        <w:t>发现 periosteal reaction（</w:t>
      </w:r>
      <w:r>
        <w:rPr>
          <w:rFonts w:hint="default"/>
          <w:b/>
          <w:bCs/>
          <w:color w:val="C00000"/>
          <w:lang w:val="en-US" w:eastAsia="zh-CN"/>
        </w:rPr>
        <w:t>骨膜反应</w:t>
      </w:r>
      <w:r>
        <w:rPr>
          <w:rFonts w:hint="default"/>
          <w:lang w:val="en-US" w:eastAsia="zh-CN"/>
        </w:rPr>
        <w:t>）的影像学表现可作为治疗成功的预测指标，为临床医生通过影像评估预后提供了直接参考。</w:t>
      </w:r>
    </w:p>
    <w:p w14:paraId="1801EBD5">
      <w:pPr>
        <w:numPr>
          <w:numId w:val="0"/>
        </w:numPr>
        <w:ind w:leftChars="0"/>
        <w:rPr>
          <w:rFonts w:hint="default"/>
          <w:lang w:val="en-US" w:eastAsia="zh-CN"/>
        </w:rPr>
      </w:pPr>
      <w:r>
        <w:rPr>
          <w:rFonts w:hint="default"/>
          <w:lang w:val="en-US" w:eastAsia="zh-CN"/>
        </w:rPr>
        <w:t>强调可干预的生活方式风险因素</w:t>
      </w:r>
    </w:p>
    <w:p w14:paraId="4767E37F">
      <w:pPr>
        <w:ind w:left="0" w:leftChars="0" w:firstLine="420" w:firstLineChars="200"/>
        <w:rPr>
          <w:rFonts w:hint="default"/>
          <w:lang w:val="en-US" w:eastAsia="zh-CN"/>
        </w:rPr>
      </w:pPr>
      <w:r>
        <w:rPr>
          <w:rFonts w:hint="default"/>
          <w:lang w:val="en-US" w:eastAsia="zh-CN"/>
        </w:rPr>
        <w:t>明确了 alcohol/smoking habits 和 malnutrition 作为可干预风险因素的重要性，为患者教育和术前干预提供了循证依据。</w:t>
      </w:r>
    </w:p>
    <w:p w14:paraId="0F0F57D2">
      <w:pPr>
        <w:ind w:left="0" w:leftChars="0" w:firstLine="0" w:firstLineChars="0"/>
        <w:rPr>
          <w:rFonts w:hint="default"/>
          <w:lang w:val="en-US" w:eastAsia="zh-CN"/>
        </w:rPr>
      </w:pPr>
      <w:r>
        <w:rPr>
          <w:rFonts w:hint="eastAsia"/>
          <w:lang w:val="en-US" w:eastAsia="zh-CN"/>
        </w:rPr>
        <w:t>4.</w:t>
      </w:r>
      <w:r>
        <w:rPr>
          <w:rFonts w:hint="default"/>
          <w:lang w:val="en-US" w:eastAsia="zh-CN"/>
        </w:rPr>
        <w:t>提出种植体相关骨髓炎的特殊管理需求</w:t>
      </w:r>
    </w:p>
    <w:p w14:paraId="3640B264">
      <w:pPr>
        <w:ind w:left="0" w:leftChars="0" w:firstLine="420" w:firstLineChars="200"/>
        <w:rPr>
          <w:rFonts w:hint="default"/>
          <w:lang w:val="en-US" w:eastAsia="zh-CN"/>
        </w:rPr>
      </w:pPr>
      <w:r>
        <w:rPr>
          <w:rFonts w:hint="default"/>
          <w:lang w:val="en-US" w:eastAsia="zh-CN"/>
        </w:rPr>
        <w:t>将 dental implant-induced OMJ 定义为独立的侵袭性亚型，</w:t>
      </w:r>
      <w:r>
        <w:rPr>
          <w:rFonts w:hint="default"/>
          <w:b/>
          <w:bCs/>
          <w:color w:val="C00000"/>
          <w:lang w:val="en-US" w:eastAsia="zh-CN"/>
        </w:rPr>
        <w:t>提示</w:t>
      </w:r>
      <w:r>
        <w:rPr>
          <w:rFonts w:hint="default"/>
          <w:lang w:val="en-US" w:eastAsia="zh-CN"/>
        </w:rPr>
        <w:t>这类患者需要更积极的治疗和随访策略。</w:t>
      </w:r>
    </w:p>
    <w:p w14:paraId="3F0FB9AE">
      <w:pPr>
        <w:ind w:left="0" w:leftChars="0" w:firstLine="420" w:firstLineChars="200"/>
        <w:rPr>
          <w:rFonts w:hint="default"/>
          <w:lang w:val="en-US" w:eastAsia="zh-CN"/>
        </w:rPr>
      </w:pPr>
    </w:p>
    <w:p w14:paraId="2E67A56A">
      <w:pPr>
        <w:ind w:left="0" w:leftChars="0" w:firstLine="0" w:firstLineChars="0"/>
        <w:rPr>
          <w:rFonts w:hint="default"/>
          <w:lang w:val="en-US" w:eastAsia="zh-CN"/>
        </w:rPr>
      </w:pPr>
      <w:r>
        <w:rPr>
          <w:rFonts w:hint="eastAsia"/>
          <w:lang w:val="en-US" w:eastAsia="zh-CN"/>
        </w:rPr>
        <w:pict>
          <v:shape id="_x0000_s1032" o:spid="_x0000_s1032" o:spt="75" type="#_x0000_t75" style="position:absolute;left:0pt;margin-left:300.8pt;margin-top:14.2pt;height:65.4pt;width:72.6pt;mso-wrap-distance-bottom:0pt;mso-wrap-distance-left:9pt;mso-wrap-distance-right:9pt;mso-wrap-distance-top:0pt;z-index:251665408;mso-width-relative:page;mso-height-relative:page;" o:ole="t" filled="f" o:preferrelative="t" stroked="f" coordsize="21600,21600">
            <v:fill on="f" focussize="0,0"/>
            <v:stroke on="f"/>
            <v:imagedata r:id="rId19" o:title=""/>
            <o:lock v:ext="edit" aspectratio="t"/>
            <w10:wrap type="square"/>
          </v:shape>
          <o:OLEObject Type="Embed" ProgID="Package" ShapeID="_x0000_s1032" DrawAspect="Icon" ObjectID="_1468075731" r:id="rId18">
            <o:LockedField>false</o:LockedField>
          </o:OLEObject>
        </w:pict>
      </w:r>
    </w:p>
    <w:p w14:paraId="0C72040C">
      <w:pPr>
        <w:ind w:left="0" w:leftChars="0" w:firstLine="0" w:firstLineChars="0"/>
        <w:rPr>
          <w:rFonts w:hint="eastAsia"/>
          <w:lang w:val="en-US" w:eastAsia="zh-CN"/>
        </w:rPr>
      </w:pPr>
      <w:r>
        <w:rPr>
          <w:rFonts w:hint="eastAsia"/>
          <w:lang w:val="en-US" w:eastAsia="zh-CN"/>
        </w:rPr>
        <w:t>7.</w:t>
      </w:r>
    </w:p>
    <w:p w14:paraId="5E23626D">
      <w:pPr>
        <w:ind w:left="0" w:leftChars="0" w:firstLine="0" w:firstLineChars="0"/>
        <w:rPr>
          <w:rFonts w:hint="default"/>
          <w:lang w:val="en-US" w:eastAsia="zh-CN"/>
        </w:rPr>
      </w:pPr>
      <w:r>
        <w:rPr>
          <w:rFonts w:hint="default"/>
          <w:b/>
          <w:bCs/>
          <w:lang w:val="en-US" w:eastAsia="zh-CN"/>
        </w:rPr>
        <w:t>期刊名：</w:t>
      </w:r>
      <w:r>
        <w:rPr>
          <w:rFonts w:hint="default"/>
          <w:lang w:val="en-US" w:eastAsia="zh-CN"/>
        </w:rPr>
        <w:t>《中国骨与关节杂志》（Chinese Journal of Bone and Joint）</w:t>
      </w:r>
    </w:p>
    <w:p w14:paraId="2E56671D">
      <w:pPr>
        <w:ind w:left="0" w:leftChars="0" w:firstLine="0" w:firstLineChars="0"/>
        <w:rPr>
          <w:rFonts w:hint="default"/>
          <w:lang w:val="en-US" w:eastAsia="zh-CN"/>
        </w:rPr>
      </w:pPr>
      <w:r>
        <w:rPr>
          <w:rFonts w:hint="default"/>
          <w:b/>
          <w:bCs/>
          <w:lang w:val="en-US" w:eastAsia="zh-CN"/>
        </w:rPr>
        <w:t>发表年份：</w:t>
      </w:r>
      <w:r>
        <w:rPr>
          <w:rFonts w:hint="default"/>
          <w:lang w:val="en-US" w:eastAsia="zh-CN"/>
        </w:rPr>
        <w:t>2026 年 2 月，第 15 卷第 2 期</w:t>
      </w:r>
    </w:p>
    <w:p w14:paraId="7CCC38E1">
      <w:pPr>
        <w:ind w:left="0" w:leftChars="0" w:firstLine="0" w:firstLineChars="0"/>
        <w:rPr>
          <w:rFonts w:hint="default"/>
          <w:lang w:val="en-US" w:eastAsia="zh-CN"/>
        </w:rPr>
      </w:pPr>
      <w:r>
        <w:rPr>
          <w:rFonts w:hint="default"/>
          <w:b/>
          <w:bCs/>
          <w:lang w:val="en-US" w:eastAsia="zh-CN"/>
        </w:rPr>
        <w:t>文献标题：</w:t>
      </w:r>
      <w:r>
        <w:rPr>
          <w:rFonts w:hint="default"/>
          <w:lang w:val="en-US" w:eastAsia="zh-CN"/>
        </w:rPr>
        <w:t>《吲哚菁绿荧光显像技术在骨与软组织肿瘤治疗中的应用进展》</w:t>
      </w:r>
    </w:p>
    <w:p w14:paraId="3F3F85FD">
      <w:pPr>
        <w:ind w:left="0" w:leftChars="0" w:firstLine="0" w:firstLineChars="0"/>
        <w:rPr>
          <w:rFonts w:hint="default"/>
          <w:b/>
          <w:bCs/>
          <w:lang w:val="en-US" w:eastAsia="zh-CN"/>
        </w:rPr>
      </w:pPr>
      <w:r>
        <w:rPr>
          <w:rFonts w:hint="default"/>
          <w:b/>
          <w:bCs/>
          <w:lang w:val="en-US" w:eastAsia="zh-CN"/>
        </w:rPr>
        <w:t>文献主要内容</w:t>
      </w:r>
    </w:p>
    <w:p w14:paraId="11B616C4">
      <w:pPr>
        <w:ind w:left="0" w:leftChars="0" w:firstLine="420" w:firstLineChars="200"/>
        <w:rPr>
          <w:rFonts w:hint="default"/>
          <w:lang w:val="en-US" w:eastAsia="zh-CN"/>
        </w:rPr>
      </w:pPr>
      <w:r>
        <w:rPr>
          <w:rFonts w:hint="default"/>
          <w:lang w:val="en-US" w:eastAsia="zh-CN"/>
        </w:rPr>
        <w:t>本文综述了吲哚菁绿（Indocyanine Green, ICG）荧光显像技术在骨与软组织肿瘤治疗中的应用进展，重点探讨其在手术治疗中辅助精准切除的价值。</w:t>
      </w:r>
    </w:p>
    <w:p w14:paraId="0439E156">
      <w:pPr>
        <w:ind w:left="0" w:leftChars="0" w:firstLine="0" w:firstLineChars="0"/>
        <w:rPr>
          <w:rFonts w:hint="default"/>
          <w:b/>
          <w:bCs/>
          <w:lang w:val="en-US" w:eastAsia="zh-CN"/>
        </w:rPr>
      </w:pPr>
      <w:r>
        <w:rPr>
          <w:rFonts w:hint="default"/>
          <w:b/>
          <w:bCs/>
          <w:lang w:val="en-US" w:eastAsia="zh-CN"/>
        </w:rPr>
        <w:t>研究背景：</w:t>
      </w:r>
    </w:p>
    <w:p w14:paraId="7C23E897">
      <w:pPr>
        <w:ind w:left="0" w:leftChars="0" w:firstLine="0" w:firstLineChars="0"/>
        <w:rPr>
          <w:rFonts w:hint="default"/>
          <w:lang w:val="en-US" w:eastAsia="zh-CN"/>
        </w:rPr>
      </w:pPr>
      <w:r>
        <w:rPr>
          <w:rFonts w:hint="default"/>
          <w:lang w:val="en-US" w:eastAsia="zh-CN"/>
        </w:rPr>
        <w:t>骨与软组织肿瘤的手术治疗中，精准确定肿瘤切除范围和手术切缘至关重要，可减少手术创伤并降低复发风险，但目前缺乏公认、权威的客观判断标准。</w:t>
      </w:r>
    </w:p>
    <w:p w14:paraId="14547FA9">
      <w:pPr>
        <w:ind w:left="0" w:leftChars="0" w:firstLine="0" w:firstLineChars="0"/>
        <w:rPr>
          <w:rFonts w:hint="default"/>
          <w:b/>
          <w:bCs/>
          <w:lang w:val="en-US" w:eastAsia="zh-CN"/>
        </w:rPr>
      </w:pPr>
      <w:r>
        <w:rPr>
          <w:rFonts w:hint="default"/>
          <w:b/>
          <w:bCs/>
          <w:lang w:val="en-US" w:eastAsia="zh-CN"/>
        </w:rPr>
        <w:t>技术原理：</w:t>
      </w:r>
    </w:p>
    <w:p w14:paraId="1C078B24">
      <w:pPr>
        <w:ind w:left="0" w:leftChars="0" w:firstLine="0" w:firstLineChars="0"/>
        <w:rPr>
          <w:rFonts w:hint="default"/>
          <w:lang w:val="en-US" w:eastAsia="zh-CN"/>
        </w:rPr>
      </w:pPr>
      <w:r>
        <w:rPr>
          <w:rFonts w:hint="default"/>
          <w:lang w:val="en-US" w:eastAsia="zh-CN"/>
        </w:rPr>
        <w:t>吲哚菁绿（ICG）作为近红外荧光染料，可被肿瘤组织选择性摄取，通过近红外成像系统实时显示肿瘤边界与浸润范围，为术者提供直观的术中导航信息。</w:t>
      </w:r>
    </w:p>
    <w:p w14:paraId="6C067216">
      <w:pPr>
        <w:ind w:left="0" w:leftChars="0" w:firstLine="0" w:firstLineChars="0"/>
        <w:rPr>
          <w:rFonts w:hint="default"/>
          <w:lang w:val="en-US" w:eastAsia="zh-CN"/>
        </w:rPr>
      </w:pPr>
      <w:r>
        <w:rPr>
          <w:rFonts w:hint="default"/>
          <w:b/>
          <w:bCs/>
          <w:lang w:val="en-US" w:eastAsia="zh-CN"/>
        </w:rPr>
        <w:t>核心结论：</w:t>
      </w:r>
      <w:r>
        <w:rPr>
          <w:rFonts w:hint="default"/>
          <w:lang w:val="en-US" w:eastAsia="zh-CN"/>
        </w:rPr>
        <w:t>ICG 荧光显像技术为提升骨与软组织肿瘤手术治疗的精准性提供了新方法，有望成为手术中的关键工具，推动精准医疗与个体化治疗的发展。</w:t>
      </w:r>
    </w:p>
    <w:p w14:paraId="01A7B61A">
      <w:pPr>
        <w:ind w:left="0" w:leftChars="0" w:firstLine="0" w:firstLineChars="0"/>
        <w:rPr>
          <w:rFonts w:hint="default"/>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86"/>
        <w:gridCol w:w="2543"/>
        <w:gridCol w:w="3893"/>
      </w:tblGrid>
      <w:tr w14:paraId="7D8D5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7F861A96">
            <w:pPr>
              <w:bidi w:val="0"/>
              <w:ind w:left="0" w:leftChars="0" w:firstLine="0" w:firstLineChars="0"/>
              <w:jc w:val="center"/>
              <w:rPr>
                <w:rFonts w:hint="default"/>
                <w:lang w:val="en-US" w:eastAsia="zh-CN"/>
              </w:rPr>
            </w:pPr>
            <w:r>
              <w:rPr>
                <w:rFonts w:hint="eastAsia"/>
                <w:lang w:val="en-US" w:eastAsia="zh-CN"/>
              </w:rPr>
              <w:t>方法 / 技术</w:t>
            </w:r>
          </w:p>
        </w:tc>
        <w:tc>
          <w:tcPr>
            <w:tcW w:w="0" w:type="auto"/>
            <w:vAlign w:val="center"/>
          </w:tcPr>
          <w:p w14:paraId="3E28FCB4">
            <w:pPr>
              <w:bidi w:val="0"/>
              <w:ind w:left="0" w:leftChars="0" w:firstLine="0" w:firstLineChars="0"/>
              <w:jc w:val="center"/>
              <w:rPr>
                <w:rFonts w:hint="default"/>
                <w:lang w:val="en-US" w:eastAsia="zh-CN"/>
              </w:rPr>
            </w:pPr>
            <w:r>
              <w:rPr>
                <w:rFonts w:hint="eastAsia"/>
                <w:lang w:val="en-US" w:eastAsia="zh-CN"/>
              </w:rPr>
              <w:t>核心内容</w:t>
            </w:r>
          </w:p>
        </w:tc>
        <w:tc>
          <w:tcPr>
            <w:tcW w:w="0" w:type="auto"/>
            <w:vAlign w:val="center"/>
          </w:tcPr>
          <w:p w14:paraId="04AF5C70">
            <w:pPr>
              <w:bidi w:val="0"/>
              <w:ind w:left="0" w:leftChars="0" w:firstLine="0" w:firstLineChars="0"/>
              <w:jc w:val="center"/>
              <w:rPr>
                <w:rFonts w:hint="default"/>
                <w:lang w:val="en-US" w:eastAsia="zh-CN"/>
              </w:rPr>
            </w:pPr>
            <w:r>
              <w:rPr>
                <w:rFonts w:hint="eastAsia"/>
                <w:lang w:val="en-US" w:eastAsia="zh-CN"/>
              </w:rPr>
              <w:t>对颌骨骨髓炎项目的迁移价值</w:t>
            </w:r>
          </w:p>
        </w:tc>
      </w:tr>
      <w:tr w14:paraId="76E4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45CD13EA">
            <w:pPr>
              <w:bidi w:val="0"/>
              <w:ind w:left="0" w:leftChars="0" w:firstLine="0" w:firstLineChars="0"/>
              <w:jc w:val="center"/>
              <w:rPr>
                <w:rFonts w:hint="default"/>
                <w:lang w:val="en-US" w:eastAsia="zh-CN"/>
              </w:rPr>
            </w:pPr>
            <w:r>
              <w:rPr>
                <w:rFonts w:hint="eastAsia"/>
                <w:lang w:val="en-US" w:eastAsia="zh-CN"/>
              </w:rPr>
              <w:t>吲哚菁绿（Indocyanine Green, ICG）荧光显像技术</w:t>
            </w:r>
          </w:p>
        </w:tc>
        <w:tc>
          <w:tcPr>
            <w:tcW w:w="0" w:type="auto"/>
            <w:vAlign w:val="center"/>
          </w:tcPr>
          <w:p w14:paraId="1E6E8717">
            <w:pPr>
              <w:bidi w:val="0"/>
              <w:ind w:left="0" w:leftChars="0" w:firstLine="0" w:firstLineChars="0"/>
              <w:jc w:val="center"/>
              <w:rPr>
                <w:rFonts w:hint="default"/>
                <w:lang w:val="en-US" w:eastAsia="zh-CN"/>
              </w:rPr>
            </w:pPr>
            <w:r>
              <w:rPr>
                <w:rFonts w:hint="eastAsia"/>
                <w:lang w:val="en-US" w:eastAsia="zh-CN"/>
              </w:rPr>
              <w:t>利用 ICG 作为近红外荧光造影剂，通过近红外成像系统</w:t>
            </w:r>
            <w:r>
              <w:rPr>
                <w:rFonts w:hint="eastAsia"/>
                <w:b/>
                <w:bCs/>
                <w:lang w:val="en-US" w:eastAsia="zh-CN"/>
              </w:rPr>
              <w:t>实时显示</w:t>
            </w:r>
            <w:r>
              <w:rPr>
                <w:rFonts w:hint="eastAsia"/>
                <w:lang w:val="en-US" w:eastAsia="zh-CN"/>
              </w:rPr>
              <w:t>病灶边界与浸润范围，辅助术中导航和切缘评估。</w:t>
            </w:r>
          </w:p>
        </w:tc>
        <w:tc>
          <w:tcPr>
            <w:tcW w:w="0" w:type="auto"/>
            <w:vAlign w:val="center"/>
          </w:tcPr>
          <w:p w14:paraId="1E980B10">
            <w:pPr>
              <w:bidi w:val="0"/>
              <w:ind w:left="0" w:leftChars="0" w:firstLine="0" w:firstLineChars="0"/>
              <w:jc w:val="center"/>
              <w:rPr>
                <w:rFonts w:hint="default"/>
                <w:lang w:val="en-US" w:eastAsia="zh-CN"/>
              </w:rPr>
            </w:pPr>
            <w:r>
              <w:rPr>
                <w:rFonts w:hint="eastAsia"/>
                <w:lang w:val="en-US" w:eastAsia="zh-CN"/>
              </w:rPr>
              <w:t>颌骨骨髓炎的炎症病灶边界模糊，ICG 可</w:t>
            </w:r>
            <w:r>
              <w:rPr>
                <w:rFonts w:hint="eastAsia"/>
                <w:b/>
                <w:bCs/>
                <w:lang w:val="en-US" w:eastAsia="zh-CN"/>
              </w:rPr>
              <w:t>选择性聚集</w:t>
            </w:r>
            <w:r>
              <w:rPr>
                <w:rFonts w:hint="eastAsia"/>
                <w:lang w:val="en-US" w:eastAsia="zh-CN"/>
              </w:rPr>
              <w:t>在炎症区域，通过荧光显像清晰显示炎症浸润范围，为手术清创边界的确定提供客观依据，解决肉眼难以区分正常骨组织与炎症组织的难题。</w:t>
            </w:r>
          </w:p>
        </w:tc>
      </w:tr>
      <w:tr w14:paraId="04B1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2545EB2F">
            <w:pPr>
              <w:bidi w:val="0"/>
              <w:ind w:left="0" w:leftChars="0" w:firstLine="0" w:firstLineChars="0"/>
              <w:jc w:val="center"/>
              <w:rPr>
                <w:rFonts w:hint="default"/>
                <w:lang w:val="en-US" w:eastAsia="zh-CN"/>
              </w:rPr>
            </w:pPr>
            <w:r>
              <w:rPr>
                <w:rFonts w:hint="eastAsia"/>
                <w:lang w:val="en-US" w:eastAsia="zh-CN"/>
              </w:rPr>
              <w:t>术中实时荧光导航</w:t>
            </w:r>
          </w:p>
        </w:tc>
        <w:tc>
          <w:tcPr>
            <w:tcW w:w="0" w:type="auto"/>
            <w:vAlign w:val="center"/>
          </w:tcPr>
          <w:p w14:paraId="79047520">
            <w:pPr>
              <w:bidi w:val="0"/>
              <w:ind w:left="0" w:leftChars="0" w:firstLine="0" w:firstLineChars="0"/>
              <w:jc w:val="center"/>
              <w:rPr>
                <w:rFonts w:hint="default"/>
                <w:lang w:val="en-US" w:eastAsia="zh-CN"/>
              </w:rPr>
            </w:pPr>
            <w:r>
              <w:rPr>
                <w:rFonts w:hint="eastAsia"/>
                <w:lang w:val="en-US" w:eastAsia="zh-CN"/>
              </w:rPr>
              <w:t>术中通过 ICG 荧光成像</w:t>
            </w:r>
            <w:r>
              <w:rPr>
                <w:rFonts w:hint="eastAsia"/>
                <w:b/>
                <w:bCs/>
                <w:lang w:val="en-US" w:eastAsia="zh-CN"/>
              </w:rPr>
              <w:t>实时可视化病灶边界</w:t>
            </w:r>
            <w:r>
              <w:rPr>
                <w:rFonts w:hint="eastAsia"/>
                <w:lang w:val="en-US" w:eastAsia="zh-CN"/>
              </w:rPr>
              <w:t>，指导精准切除。</w:t>
            </w:r>
          </w:p>
        </w:tc>
        <w:tc>
          <w:tcPr>
            <w:tcW w:w="0" w:type="auto"/>
            <w:vAlign w:val="center"/>
          </w:tcPr>
          <w:p w14:paraId="2E99EFD7">
            <w:pPr>
              <w:bidi w:val="0"/>
              <w:ind w:left="0" w:leftChars="0" w:firstLine="0" w:firstLineChars="0"/>
              <w:jc w:val="center"/>
              <w:rPr>
                <w:rFonts w:hint="default"/>
                <w:lang w:val="en-US" w:eastAsia="zh-CN"/>
              </w:rPr>
            </w:pPr>
            <w:r>
              <w:rPr>
                <w:rFonts w:hint="eastAsia"/>
                <w:lang w:val="en-US" w:eastAsia="zh-CN"/>
              </w:rPr>
              <w:t>可迁移至颌骨骨髓炎的清创手术中，实时引导术者彻底清除感染骨组织，减少正常骨组织损伤，降低术后复发风险。</w:t>
            </w:r>
          </w:p>
        </w:tc>
      </w:tr>
      <w:tr w14:paraId="14DC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0" w:type="auto"/>
            <w:vAlign w:val="center"/>
          </w:tcPr>
          <w:p w14:paraId="1F5C05BB">
            <w:pPr>
              <w:bidi w:val="0"/>
              <w:ind w:left="0" w:leftChars="0" w:firstLine="0" w:firstLineChars="0"/>
              <w:jc w:val="center"/>
              <w:rPr>
                <w:rFonts w:hint="default"/>
                <w:lang w:val="en-US" w:eastAsia="zh-CN"/>
              </w:rPr>
            </w:pPr>
            <w:r>
              <w:rPr>
                <w:rFonts w:hint="eastAsia"/>
                <w:lang w:val="en-US" w:eastAsia="zh-CN"/>
              </w:rPr>
              <w:t>基于 ICG 的病灶范围客观评估</w:t>
            </w:r>
          </w:p>
        </w:tc>
        <w:tc>
          <w:tcPr>
            <w:tcW w:w="0" w:type="auto"/>
            <w:vAlign w:val="center"/>
          </w:tcPr>
          <w:p w14:paraId="766ED7DE">
            <w:pPr>
              <w:bidi w:val="0"/>
              <w:ind w:left="0" w:leftChars="0" w:firstLine="0" w:firstLineChars="0"/>
              <w:jc w:val="center"/>
              <w:rPr>
                <w:rFonts w:hint="default"/>
                <w:lang w:val="en-US" w:eastAsia="zh-CN"/>
              </w:rPr>
            </w:pPr>
            <w:r>
              <w:rPr>
                <w:rFonts w:hint="eastAsia"/>
                <w:lang w:val="en-US" w:eastAsia="zh-CN"/>
              </w:rPr>
              <w:t>利用 ICG 荧光强度量化肿瘤 / 炎症组织的分布范围，提供客观的切缘判断标准。</w:t>
            </w:r>
          </w:p>
        </w:tc>
        <w:tc>
          <w:tcPr>
            <w:tcW w:w="0" w:type="auto"/>
            <w:vAlign w:val="center"/>
          </w:tcPr>
          <w:p w14:paraId="22836C4F">
            <w:pPr>
              <w:bidi w:val="0"/>
              <w:ind w:left="0" w:leftChars="0" w:firstLine="0" w:firstLineChars="0"/>
              <w:jc w:val="center"/>
              <w:rPr>
                <w:rFonts w:hint="default"/>
                <w:lang w:val="en-US" w:eastAsia="zh-CN"/>
              </w:rPr>
            </w:pPr>
            <w:r>
              <w:rPr>
                <w:rFonts w:hint="eastAsia"/>
                <w:lang w:val="en-US" w:eastAsia="zh-CN"/>
              </w:rPr>
              <w:t>可用于术前 / 术中评估颌骨骨髓炎的炎症浸润程度，辅助制定手术方案，同时为术后疗效评估提供影像学参考。</w:t>
            </w:r>
          </w:p>
        </w:tc>
      </w:tr>
    </w:tbl>
    <w:p w14:paraId="75E91289">
      <w:pPr>
        <w:ind w:left="0" w:leftChars="0" w:firstLine="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firstLine="420"/>
      </w:pPr>
      <w:r>
        <w:separator/>
      </w:r>
    </w:p>
  </w:endnote>
  <w:endnote w:type="continuationSeparator" w:id="1">
    <w:p>
      <w:pPr>
        <w:spacing w:line="240" w:lineRule="auto"/>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yriadPro-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tim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20" w:firstLine="420"/>
      </w:pPr>
      <w:r>
        <w:separator/>
      </w:r>
    </w:p>
  </w:footnote>
  <w:footnote w:type="continuationSeparator" w:id="1">
    <w:p>
      <w:pPr>
        <w:spacing w:line="240" w:lineRule="auto"/>
        <w:ind w:left="420"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9E9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left="420" w:leftChars="200" w:firstLine="640" w:firstLineChars="200"/>
      <w:jc w:val="both"/>
    </w:pPr>
    <w:rPr>
      <w:rFonts w:ascii="Times New Roman" w:hAnsi="Times New Roman" w:eastAsia="微软雅黑"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7.emf"/><Relationship Id="rId18" Type="http://schemas.openxmlformats.org/officeDocument/2006/relationships/oleObject" Target="embeddings/oleObject7.bin"/><Relationship Id="rId17" Type="http://schemas.openxmlformats.org/officeDocument/2006/relationships/image" Target="media/image6.emf"/><Relationship Id="rId16" Type="http://schemas.openxmlformats.org/officeDocument/2006/relationships/oleObject" Target="embeddings/oleObject6.bin"/><Relationship Id="rId15" Type="http://schemas.openxmlformats.org/officeDocument/2006/relationships/image" Target="media/image5.emf"/><Relationship Id="rId14" Type="http://schemas.openxmlformats.org/officeDocument/2006/relationships/oleObject" Target="embeddings/oleObject5.bin"/><Relationship Id="rId13" Type="http://schemas.openxmlformats.org/officeDocument/2006/relationships/image" Target="media/image4.emf"/><Relationship Id="rId12" Type="http://schemas.openxmlformats.org/officeDocument/2006/relationships/oleObject" Target="embeddings/oleObject4.bin"/><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118</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2026-05-30T06:17:00Z</dcterms:created>
  <dc:creator>沙扬娜拉</dc:creator>
  <cp:lastModifiedBy>沙扬娜拉</cp:lastModifiedBy>
  <dcterms:modified xsi:type="dcterms:W3CDTF">2026-05-30T08:16:00Z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6020CBA893B44830BF88C2446EE431B5_11</vt:lpwstr>
  </property>
  <property fmtid="{D5CDD505-2E9C-101B-9397-08002B2CF9AE}" pid="4" name="KSOTemplateDocerSaveRecord">
    <vt:lpwstr>eyJoZGlkIjoiMDJhZTY1ZDM2ZGVjMzBjZDZlMTY2YzM3NDJkNTYyYjQiLCJ1c2VySWQiOiI0NzE0NzQ0ODMifQ==</vt:lpwstr>
  </property>
</Properties>
</file>