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4e08e34ad374a48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面向颌骨骨髓炎的智能化荧光诊疗方案</w:t>
      </w:r>
    </w:p>
    <w:p>
      <w:pPr>
        <w:pStyle w:val="Subtitle"/>
      </w:pPr>
      <w:r>
        <w:t>学校评估用阶段性可行性报告</w:t>
      </w:r>
    </w:p>
    <w:p>
      <w:pPr>
        <w:pStyle w:val="TOCHeading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Update this field to generate table of contents.</w:t>
      </w:r>
      <w:r>
        <w:fldChar w:fldCharType="end"/>
      </w:r>
    </w:p>
    <w:p>
      <w:r>
        <w:br w:type="page"/>
      </w:r>
    </w:p>
    <w:p>
      <w:pPr>
        <w:pStyle w:val="Heading1"/>
      </w:pPr>
      <w:r>
        <w:t>学校评估用阶段性可行性报告</w:t>
      </w:r>
    </w:p>
    <w:p>
      <w:pPr>
        <w:pStyle w:val="Heading2"/>
      </w:pPr>
      <w:r>
        <w:t>1. 赛题核心判断</w:t>
      </w:r>
    </w:p>
    <w:p>
      <w:r>
        <w:t>本赛题要求提交一套面向颌骨骨髓炎术中辅助决策的完整技术方案，重点不是单独做一个医学影像模型，而是围绕企业已有荧光手术显微镜系统，形成“造影剂 + 多模态图像融合 + AI 辅助判读”的集成方案。</w:t>
      </w:r>
    </w:p>
    <w:p>
      <w:r>
        <w:t>结合赛题文件和显微镜参数，本题的核心难点是：颌骨骨髓炎病灶边界隐匿，坏死骨、炎症组织和潜在活性骨之间缺少稳定术中判别标准；ICG 虽然成熟、安全、可用，但其主要反映血流灌注和血管通透性，不是颌骨骨髓炎特异性探针。因此，基础方案应把 ICG 定位为组织灌注/活性差异的术中信号，再通过白光-荧光融合、AI 分割和不确定性提示提升判读稳定性。</w:t>
      </w:r>
    </w:p>
    <w:p>
      <w:r>
        <w:t>阶段性结论：建议参赛，但应选择“基础可行 demo”路线，不建议承诺新型特异性造影剂合成。最现实方案是直接使用企业已有 ICG，做成术中显微镜白光/荧光融合与病灶风险边界提示系统。</w:t>
      </w:r>
    </w:p>
    <w:p>
      <w:pPr>
        <w:pStyle w:val="Heading2"/>
      </w:pPr>
      <w:r>
        <w:t>2. 已有硬件和题目约束</w:t>
      </w:r>
    </w:p>
    <w:p>
      <w:r>
        <w:t>显微镜参数文件显示，企业平台具备 1.3x-17x 连续变倍、200-630 mm 工作距离、14-190 mm 视场、4K 影像摄录、JPEG/MP4 存储等基础能力。荧光资料明确 ICG 激发波段约 750-810 nm、发射约 830 nm，并提示 NIR-II 是研究热点。</w:t>
      </w:r>
    </w:p>
    <w:p>
      <w:r>
        <w:t>这些参数对方案设计的影响：</w:t>
      </w:r>
    </w:p>
    <w:p>
      <w:r>
        <w:t>• 需要考虑倍率变化下的白光/荧光配准稳定性。</w:t>
      </w:r>
    </w:p>
    <w:p>
      <w:r>
        <w:t>• 4K 视频流适合做术中实时叠加提示，但模型需控制延迟。</w:t>
      </w:r>
    </w:p>
    <w:p>
      <w:r>
        <w:t>• ICG 信号更适合做灌注、组织活性和边界风险提示，而非单独作为病灶确诊依据。</w:t>
      </w:r>
    </w:p>
    <w:p>
      <w:r>
        <w:t>• 若要形成可评估 demo，可以先用离线图片/视频完成算法验证，再设计显微镜接口或模拟 UI。</w:t>
      </w:r>
    </w:p>
    <w:p>
      <w:pPr>
        <w:pStyle w:val="Heading2"/>
      </w:pPr>
      <w:r>
        <w:t>3. 文献和数据基础</w:t>
      </w:r>
    </w:p>
    <w:p>
      <w:r>
        <w:t>本轮已初筛 55 篇论文，其中 46 篇已下载或复制到项目资料包，9 篇因出版社限制、无开放 PDF 或网页反爬暂未直接落地。论文覆盖四类基础：</w:t>
      </w:r>
    </w:p>
    <w:p>
      <w:r>
        <w:t>• 病种影像：颌骨骨髓炎、下颌骨 MRI 纹理分析、慢性骨髓炎影像组学、下颌骨坏死/骨髓炎多模态影像。</w:t>
      </w:r>
    </w:p>
    <w:p>
      <w:r>
        <w:t>• 口腔 AI：全景片骨溶解病灶检测、颌骨囊肿/肿瘤检测、CBCT 口腔病灶分割、牙科影像 AI 综述。</w:t>
      </w:r>
    </w:p>
    <w:p>
      <w:r>
        <w:t>• 模型方法：U-Net、nnU-Net、TransUNet、Swin UNETR、UNETR、MedSAM、SAM Adapter、边界保持分割、不确定性分割、多模态融合。</w:t>
      </w:r>
    </w:p>
    <w:p>
      <w:r>
        <w:t>• ICG 荧光：ICG 手术导航共识、荧光引导手术系统、骨灌注评估、坏死/感染组织识别、牙科近红外 ICG 成像、显微镜 ICG 视频语义分割。</w:t>
      </w:r>
    </w:p>
    <w:p>
      <w:r>
        <w:t>已记录 12 个数据集或数据入口，包括 DENTEX、Tufts Dental Database、儿童牙科全景片数据、OdontoAI、Mendeley 下颌分割数据、Primary Bone Tumor Radiograph Dataset、Medical Segmentation Decathlon、BraTS、TCIA/NIDCR 头颈部影像入口等。</w:t>
      </w:r>
    </w:p>
    <w:p>
      <w:r>
        <w:t>关键判断：公开数据足够支撑算法预训练、方法验证和报告论证，但不足以直接完成“颌骨骨髓炎 + 术中 ICG 显微镜”的闭环验证。若学校决定参赛，应尽早向企业或合作医院确认是否可获得少量脱敏术中白光/荧光图像或视频。</w:t>
      </w:r>
    </w:p>
    <w:p>
      <w:pPr>
        <w:pStyle w:val="Heading2"/>
      </w:pPr>
      <w:r>
        <w:t>4. 推荐基础技术路线</w:t>
      </w:r>
    </w:p>
    <w:p>
      <w:pPr>
        <w:pStyle w:val="Heading3"/>
      </w:pPr>
      <w:r>
        <w:t>4.1 总体方案</w:t>
      </w:r>
    </w:p>
    <w:p>
      <w:r>
        <w:t>建议方案名：基于 ICG 荧光显微成像与多模态 AI 融合的颌骨骨髓炎术中辅助判读系统。</w:t>
      </w:r>
    </w:p>
    <w:p>
      <w:r>
        <w:t>系统输入：</w:t>
      </w:r>
    </w:p>
    <w:p>
      <w:r>
        <w:t>• 术前影像：全景片、CBCT、CT 或 MRI，用于病灶粗定位和术前 ROI。</w:t>
      </w:r>
    </w:p>
    <w:p>
      <w:r>
        <w:t>• 术中白光显微图像：提供真实组织结构、骨面形态和术野上下文。</w:t>
      </w:r>
    </w:p>
    <w:p>
      <w:r>
        <w:t>• 术中 ICG 荧光图像：提供灌注、血管通透性、潜在活性组织差异。</w:t>
      </w:r>
    </w:p>
    <w:p>
      <w:r>
        <w:t>系统输出：</w:t>
      </w:r>
    </w:p>
    <w:p>
      <w:r>
        <w:t>• 白光/荧光配准叠加图。</w:t>
      </w:r>
    </w:p>
    <w:p>
      <w:r>
        <w:t>• 病灶疑似区分割或热图。</w:t>
      </w:r>
    </w:p>
    <w:p>
      <w:r>
        <w:t>• 边界不确定性提示。</w:t>
      </w:r>
    </w:p>
    <w:p>
      <w:r>
        <w:t>• 风险标注：疑似坏死骨、炎症反应强区、潜在活性骨保留区。</w:t>
      </w:r>
    </w:p>
    <w:p>
      <w:pPr>
        <w:pStyle w:val="Heading3"/>
      </w:pPr>
      <w:r>
        <w:t>4.2 算法模块</w:t>
      </w:r>
    </w:p>
    <w:p>
      <w:r>
        <w:t>第一层：术前 ROI 建立</w:t>
      </w:r>
    </w:p>
    <w:p>
      <w:r>
        <w:t>• 使用全景片/CBCT 上的口腔 AI 模型做颌骨区域、牙齿结构、骨病灶候选区提取。</w:t>
      </w:r>
    </w:p>
    <w:p>
      <w:r>
        <w:t>• 可选模型：YOLO/Mask R-CNN/Swin-Tiny、U-Net/nnU-Net、MedSAM 辅助标注。</w:t>
      </w:r>
    </w:p>
    <w:p>
      <w:r>
        <w:t>第二层：术中白光/荧光融合</w:t>
      </w:r>
    </w:p>
    <w:p>
      <w:r>
        <w:t>• 白光和荧光通道进行显微视野配准。</w:t>
      </w:r>
    </w:p>
    <w:p>
      <w:r>
        <w:t>• 使用融合策略生成伪彩叠加图，保留白光组织结构，同时突出 ICG 信号。</w:t>
      </w:r>
    </w:p>
    <w:p>
      <w:r>
        <w:t>• 可参考多模态医学图像融合综述和 MATR 类 Transformer 融合思想。</w:t>
      </w:r>
    </w:p>
    <w:p>
      <w:r>
        <w:t>第三层：病灶边界和风险提示</w:t>
      </w:r>
    </w:p>
    <w:p>
      <w:r>
        <w:t>• 基础分割模型：nnU-Net、TransUNet、Swin UNETR 或 EGNet。</w:t>
      </w:r>
    </w:p>
    <w:p>
      <w:r>
        <w:t>• 边界增强：引入 Fuzzy Rough Set Loss、边界分支、边界保持损失。</w:t>
      </w:r>
    </w:p>
    <w:p>
      <w:r>
        <w:t>• 不确定性输出：用 Stochastic Segmentation Networks 或 MC Dropout 形成边界风险热图。</w:t>
      </w:r>
    </w:p>
    <w:p>
      <w:r>
        <w:t>第四层：显微镜端呈现</w:t>
      </w:r>
    </w:p>
    <w:p>
      <w:r>
        <w:t>• 在 4K 显微图像上叠加透明热图、边界线和风险标签。</w:t>
      </w:r>
    </w:p>
    <w:p>
      <w:r>
        <w:t>• 输出 MP4/JPEG 结果，便于答辩演示。</w:t>
      </w:r>
    </w:p>
    <w:p>
      <w:r>
        <w:t>• 若无实时接口，可先完成离线视频 demo，展示可集成性。</w:t>
      </w:r>
    </w:p>
    <w:p>
      <w:pPr>
        <w:pStyle w:val="Heading2"/>
      </w:pPr>
      <w:r>
        <w:t>5. 最低可行作品形态</w:t>
      </w:r>
    </w:p>
    <w:p>
      <w:r>
        <w:t>若只有公开数据和现有文献，最低可行作品可以是：</w:t>
      </w:r>
    </w:p>
    <w:p>
      <w:r>
        <w:t>1. 一份完整技术方案报告。</w:t>
      </w:r>
    </w:p>
    <w:p>
      <w:r>
        <w:t>2. 一个 Python/Gradio 软件原型。</w:t>
      </w:r>
    </w:p>
    <w:p>
      <w:r>
        <w:t>3. 输入全景片/CBCT/白光图/荧光图，输出融合图、病灶热图、边界不确定性图。</w:t>
      </w:r>
    </w:p>
    <w:p>
      <w:r>
        <w:t>4. 使用 ICG 文献证明基础造影剂路线可行。</w:t>
      </w:r>
    </w:p>
    <w:p>
      <w:r>
        <w:t>5. 使用公开牙科/骨病灶数据和少量模拟荧光图完成演示。</w:t>
      </w:r>
    </w:p>
    <w:p>
      <w:r>
        <w:t>若能拿到企业或医院样本，作品竞争力会明显提高：</w:t>
      </w:r>
    </w:p>
    <w:p>
      <w:r>
        <w:t>• 至少 10-30 例术中白光/ICG 图像或视频。</w:t>
      </w:r>
    </w:p>
    <w:p>
      <w:r>
        <w:t>• 至少有医生标注的坏死骨/病灶边界/保留区。</w:t>
      </w:r>
    </w:p>
    <w:p>
      <w:r>
        <w:t>• 有一两个实际病例展示术前影像、术中荧光和 AI 输出的一致性。</w:t>
      </w:r>
    </w:p>
    <w:p>
      <w:pPr>
        <w:pStyle w:val="Heading2"/>
      </w:pPr>
      <w:r>
        <w:t>6. 参赛收益与风险</w:t>
      </w:r>
    </w:p>
    <w:p>
      <w:pPr>
        <w:pStyle w:val="Heading3"/>
      </w:pPr>
      <w:r>
        <w:t>收益</w:t>
      </w:r>
    </w:p>
    <w:p>
      <w:r>
        <w:t>• 题目方向有临床痛点，且与企业显微镜产品结合度高。</w:t>
      </w:r>
    </w:p>
    <w:p>
      <w:r>
        <w:t>• 直接使用 ICG 可降低造影剂研发风险，适合学生团队阶段性参赛。</w:t>
      </w:r>
    </w:p>
    <w:p>
      <w:r>
        <w:t>• 公开文献和方法足够支撑报告、原型和答辩。</w:t>
      </w:r>
    </w:p>
    <w:p>
      <w:r>
        <w:t>• AI + 荧光显微镜 + 术中决策辅助的组合有展示效果。</w:t>
      </w:r>
    </w:p>
    <w:p>
      <w:pPr>
        <w:pStyle w:val="Heading3"/>
      </w:pPr>
      <w:r>
        <w:t>风险</w:t>
      </w:r>
    </w:p>
    <w:p>
      <w:r>
        <w:t>• ICG 不具备颌骨骨髓炎特异性，不能把它包装成精准靶向造影剂。</w:t>
      </w:r>
    </w:p>
    <w:p>
      <w:r>
        <w:t>• 公开数据缺少“颌骨骨髓炎术中荧光”真实样本。</w:t>
      </w:r>
    </w:p>
    <w:p>
      <w:r>
        <w:t>• 如果没有企业/医院数据，作品会偏方案和原型，证据强度有限。</w:t>
      </w:r>
    </w:p>
    <w:p>
      <w:r>
        <w:t>• 实时显微镜接入可能受企业设备接口限制，需提前沟通。</w:t>
      </w:r>
    </w:p>
    <w:p>
      <w:pPr>
        <w:pStyle w:val="Heading2"/>
      </w:pPr>
      <w:r>
        <w:t>7. 学校侧决策建议</w:t>
      </w:r>
    </w:p>
    <w:p>
      <w:r>
        <w:t>建议参赛条件：</w:t>
      </w:r>
    </w:p>
    <w:p>
      <w:r>
        <w:t>• 学校能组织影像算法、口腔/颌面医学、软件原型三类成员。</w:t>
      </w:r>
    </w:p>
    <w:p>
      <w:r>
        <w:t>• 能接受基础方案以 ICG 为主，不承诺新探针合成。</w:t>
      </w:r>
    </w:p>
    <w:p>
      <w:r>
        <w:t>• 能尽快联系企业争取少量脱敏样本或技术交流。</w:t>
      </w:r>
    </w:p>
    <w:p>
      <w:r>
        <w:t>• 能在 7 月底前完成报告、原型、文献综述和演示材料。</w:t>
      </w:r>
    </w:p>
    <w:p>
      <w:r>
        <w:t>不建议参赛的情况：</w:t>
      </w:r>
    </w:p>
    <w:p>
      <w:r>
        <w:t>• 学校要求必须做新型靶向造影剂合成。</w:t>
      </w:r>
    </w:p>
    <w:p>
      <w:r>
        <w:t>• 完全拿不到任何企业或医院样本，且团队无法做出可视化原型。</w:t>
      </w:r>
    </w:p>
    <w:p>
      <w:r>
        <w:t>• 团队只有算法成员，没有医学老师或口腔/颌面方向顾问。</w:t>
      </w:r>
    </w:p>
    <w:p>
      <w:r>
        <w:t>综合判断：这题可以打，但应以“ICG 基础造影剂 + AI 多模态显微判读”的工程方案切入。短期目标不是证明 ICG 能特异识别颌骨骨髓炎，而是证明在企业现有显微镜平台上，ICG 荧光信号可以被稳定采集、融合、量化，并通过 AI 转化为术中可读的边界风险提示。</w:t>
      </w:r>
    </w:p>
    <w:p>
      <w:pPr>
        <w:pStyle w:val="Heading2"/>
      </w:pPr>
      <w:r>
        <w:t>8. 当前资料包位置</w:t>
      </w:r>
    </w:p>
    <w:p>
      <w:r>
        <w:t>• 论文清单：`output/literature/paper_inventory.csv`</w:t>
      </w:r>
    </w:p>
    <w:p>
      <w:r>
        <w:t>• 数据集清单：`output/literature/dataset_inventory.csv`</w:t>
      </w:r>
    </w:p>
    <w:p>
      <w:r>
        <w:t>• Excel 汇总表：`output/literature/osteo_vision_research_inventory.xlsx`</w:t>
      </w:r>
    </w:p>
    <w:p>
      <w:r>
        <w:t>• 文献与数据集摘要：`output/literature/literature_and_dataset_summary.md`</w:t>
      </w:r>
    </w:p>
    <w:p>
      <w:r>
        <w:t>• 已下载论文 PDF：`output/literature/papers/`</w:t>
      </w:r>
    </w:p>
    <w:p>
      <w:r>
        <w:t>• 下载日志：`output/literature/download_log.tsv`</w:t>
      </w:r>
    </w:p>
    <w:sectPr>
      <w:headerReference xmlns:r="http://schemas.openxmlformats.org/officeDocument/2006/relationships" w:type="default" r:id="R8cc4ade830914239"/>
      <w:footerReference xmlns:r="http://schemas.openxmlformats.org/officeDocument/2006/relationships" w:type="default" r:id="Rdc94e87224cc4fba"/>
      <w:pgSz w:w="11906" w:h="16838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r>
      <w:t>Osteo-Vision 资料包</w:t>
    </w:r>
    <w:r>
      <w:t xml:space="preserve"> —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r>
      <w:t>颌骨骨髓炎智能化荧光诊疗比赛评估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Calibri Light" w:hAnsi="Calibri Light"/>
      <w:sz w:val="52"/>
      <w:szCs w:val="5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Calibri Light" w:hAnsi="Calibri Light"/>
      <w:sz w:val="40"/>
      <w:szCs w:val="40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Calibri Light" w:hAnsi="Calibri Light"/>
      <w:sz w:val="32"/>
      <w:szCs w:val="32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Calibri Light" w:hAnsi="Calibri Light"/>
      <w:sz w:val="28"/>
      <w:szCs w:val="28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Calibri Light" w:hAnsi="Calibri Light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Calibri Light" w:hAnsi="Calibri Light"/>
      <w:sz w:val="22"/>
      <w:szCs w:val="22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Calibri Light" w:hAnsi="Calibri Light"/>
      <w:sz w:val="64"/>
      <w:szCs w:val="6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fa3a3e21d5940ea" /><Relationship Type="http://schemas.openxmlformats.org/officeDocument/2006/relationships/header" Target="/word/header1.xml" Id="R8cc4ade830914239" /><Relationship Type="http://schemas.openxmlformats.org/officeDocument/2006/relationships/footer" Target="/word/footer1.xml" Id="Rdc94e87224cc4fba" /></Relationships>
</file>