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480" w:after="360"/>
        <w:jc w:val="center"/>
      </w:pPr>
      <w:r>
        <w:rPr>
          <w:rFonts w:ascii="Times New Roman" w:hAnsi="Times New Roman" w:eastAsia="黑体"/>
          <w:b/>
          <w:i w:val="0"/>
          <w:sz w:val="44"/>
        </w:rPr>
        <w:t>平台软件数据汇总</w:t>
      </w:r>
    </w:p>
    <w:p>
      <w:pPr>
        <w:spacing w:lineRule="exact" w:line="360" w:after="360"/>
        <w:jc w:val="center"/>
      </w:pPr>
      <w:r>
        <w:rPr>
          <w:rFonts w:ascii="Times New Roman" w:hAnsi="Times New Roman" w:eastAsia="黑体"/>
          <w:b w:val="0"/>
          <w:i w:val="0"/>
          <w:sz w:val="32"/>
        </w:rPr>
        <w:t>——研发验证数据与工程核验汇总</w:t>
      </w:r>
    </w:p>
    <w:p>
      <w:pPr>
        <w:spacing w:lineRule="exact" w:line="360" w:after="120"/>
        <w:jc w:val="center"/>
      </w:pPr>
      <w:r>
        <w:rPr>
          <w:rFonts w:ascii="Times New Roman" w:hAnsi="Times New Roman" w:eastAsia="楷体_GB2312"/>
          <w:b w:val="0"/>
          <w:i w:val="0"/>
          <w:sz w:val="28"/>
        </w:rPr>
        <w:t>项目团队</w:t>
      </w:r>
    </w:p>
    <w:p>
      <w:pPr>
        <w:spacing w:lineRule="exact" w:line="320"/>
        <w:ind w:firstLineChars="200" w:firstLine="360"/>
      </w:pPr>
      <w:r>
        <w:rPr>
          <w:rFonts w:ascii="Times New Roman" w:hAnsi="Times New Roman" w:eastAsia="黑体"/>
          <w:b/>
          <w:i w:val="0"/>
          <w:sz w:val="18"/>
        </w:rPr>
        <w:t>【摘要】</w:t>
      </w:r>
      <w:r>
        <w:rPr>
          <w:rFonts w:ascii="Times New Roman" w:hAnsi="Times New Roman" w:eastAsia="宋体"/>
          <w:b w:val="0"/>
          <w:i w:val="0"/>
          <w:sz w:val="18"/>
        </w:rPr>
        <w:t>本文档汇总平台软件当前的官方输入边界、数据分层、模型工程验证、4K 融合与视频处理性能、三维工程验证和质量核对结果。来源核验集合与分层数据注册表采用独立统计口径。全部模型和性能数据均来自公开、代理、近域或数字仿体工程资料；真实术中 ICG 颌骨骨髓炎记录与训练准入记录均为零。</w:t>
      </w:r>
    </w:p>
    <w:p>
      <w:pPr>
        <w:spacing w:lineRule="exact" w:line="320" w:after="240"/>
        <w:ind w:firstLineChars="200" w:firstLine="360"/>
      </w:pPr>
      <w:r>
        <w:rPr>
          <w:rFonts w:ascii="Times New Roman" w:hAnsi="Times New Roman" w:eastAsia="黑体"/>
          <w:b/>
          <w:i w:val="0"/>
          <w:sz w:val="18"/>
        </w:rPr>
        <w:t>【关键词】</w:t>
      </w:r>
      <w:r>
        <w:rPr>
          <w:rFonts w:ascii="Times New Roman" w:hAnsi="Times New Roman" w:eastAsia="宋体"/>
          <w:b w:val="0"/>
          <w:i w:val="0"/>
          <w:sz w:val="18"/>
        </w:rPr>
        <w:t>数据汇总；设备参数；模型性能；运行门控；工程验证</w:t>
      </w:r>
    </w:p>
    <w:p>
      <w:pPr>
        <w:spacing w:lineRule="exact" w:line="440" w:before="240" w:after="240"/>
        <w:jc w:val="left"/>
      </w:pPr>
      <w:r>
        <w:rPr>
          <w:rFonts w:ascii="Times New Roman" w:hAnsi="Times New Roman" w:eastAsia="黑体"/>
          <w:b/>
          <w:i w:val="0"/>
          <w:sz w:val="28"/>
        </w:rPr>
        <w:t>一、赛题任务 2 与任务 3 数据汇总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更新日期：2026 年 7 月 26 日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本汇总聚焦赛题任务 2“多模态医学图像融合与处理”和任务 3“AI 辅助显微成像判读”的可复核工程指标。任务 2 面向白光与荧光图像的配准、归一化、伪彩和融合；任务 3 面向荧光或灌注相关信号候选、边界风险与不确定性提示，并通过医生复核形成研发验证证据。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所有数值均来自已固定的工程输入、数据划分和计时协议。公开代理数据、工程序列与真实术中 ICG 颌骨骨髓炎目标域数据分别管理；当前结果用于展示软件方法、运行性能与复核流程，不构成临床诊断性能或治疗建议。</w:t>
      </w: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（一）一、赛题对应关系与展示范围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赛题任务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软件展示内容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本汇总的核定证据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可展示边界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 2：多模态医学图像融合与处理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白光/荧光配对检查、几何配准、荧光归一化、伪彩叠加、ROI 定量与质量提示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4K 配准 P95、融合 P95、合计 P95、局部残差 P95 改善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 4K 工程输入上的计算链与几何一致性改善；真实设备通道同步和标定仍需独立验证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 3：AI 辅助显微成像判读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信号候选、风险区域、不确定区域、关键帧与连续帧展示、医生复核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锁定测试集的 Dice、IoU、Recall、三种子稳定性及分辨率分层运行性能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验证公开离体荧光代理上的模型选型与推理闭环；输出保持候选提示和医生复核定位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（二）二、数据集与测试协议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1. 任务 2：多模态融合测试协议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项目</w:t>
            </w:r>
          </w:p>
        </w:tc>
        <w:tc>
          <w:tcPr>
            <w:tcW w:type="dxa" w:w="481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核定内容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输入材料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指定 3840×2160 工程双通道序列，包含已知几何偏移、局部残差补偿需求及可追溯配对关系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测试对象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白光与荧光图像的几何配准、荧光归一化、伪彩映射和透明融合计算链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统计口径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每项指标取九成五分位（P95）；配准与融合阶段分别计时并报告合计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几何指标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比较局部残差补偿前后的局部残差 P95，单位为像素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计时次数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排除一次预热后，按固定 4K 工程输入重复执行 10 次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数据域说明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用于工程配准与融合验证，不替代真实显微镜双通道时间同步、相机标定、组织形变和临床场景验证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2. 任务 3：AI 辅助判读测试协议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项目</w:t>
            </w:r>
          </w:p>
        </w:tc>
        <w:tc>
          <w:tcPr>
            <w:tcW w:type="dxa" w:w="481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核定内容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训练与锁定测试数据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公开离体荧光代理关键帧，按源视频隔离训练、验证和锁定测试集合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判读任务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荧光或灌注相关信号候选分割，并生成风险与不确定性复核提示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效果评价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Dice、IoU、Recall；锁定测试集独立报告；三种子重复训练报告 Dice 均值与标准差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运行评价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统一模型与输出语义下，按 4K、960×720、512×384 三档输入分辨率分别统计模型 P95、服务端端到端 P95 和峰值显存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4K 路径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4K 关键帧采用分块完整证据生成，输出候选掩膜、概率图、叠加图、风险图、不确定性图和关键帧证据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连续帧路径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受控分辨率下按上一帧完成后继续下一帧，展示最近已完成结果与对应处理耗时</w:t>
            </w:r>
          </w:p>
        </w:tc>
      </w:tr>
      <w:tr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数据域说明</w:t>
            </w:r>
          </w:p>
        </w:tc>
        <w:tc>
          <w:tcPr>
            <w:tcW w:type="dxa" w:w="481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公开离体荧光代理用于工程选型、阈值验证和运行性能核验；不能外推为真实术中 ICG 颌骨骨髓炎临床性能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（三）三、任务 2 多模态融合硬指标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1. 4K 配准与融合性能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指标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核定数值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计时范围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展示含义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配准计算 P95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59.022 ms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白光/荧光几何配准计算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4K 工程双通道输入的配准阶段耗时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归一化、伪彩与融合计算 P95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21.891 ms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荧光归一化、伪彩映射与透明融合计算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配准后的融合呈现阶段耗时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配准与融合合计 P95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82.026 ms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上述两个阶段合计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小于 100 ms 的任务 2 计算链工程验证结果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局部残差 P95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5.187 px → 1.361 px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局部残差补偿前后对比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局部残差补偿后，指定工程序列的几何残差下降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2. 任务 2 计时边界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任务 2 的 82.026 ms 仅覆盖配准、归一化、伪彩和融合计算。文件解码、证据编码、磁盘写入、网络传输、浏览器显示和任务 3 AI 推理均不计入该数值，并在各自阶段单独记录。该分段口径用于确保融合计算性能与其他处理开销可被独立检查。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3. 任务 2 可展示结论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1. 在指定 4K 工程双通道序列上，白光/荧光配准与融合计算链的 P95 为 82.026 ms。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2. 配准阶段与融合阶段分别保留计时，59.022 ms 与 21.891 ms 的组成关系清晰可查。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3. 局部残差 P95 从 5.187 px 降至 1.361 px，表明局部残差补偿对该工程序列的几何一致性具有改善作用。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4. 该结果适用于固定工程输入与既定协议；真实显微镜文件仍需完成时间同步、几何标定、局部形变、遮挡和连续显示稳定性的独立验证。</w:t>
      </w: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（四）四、任务 3 AI 辅助判读硬指标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1. 锁定测试集效果指标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指标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核定数值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统计对象</w:t>
            </w:r>
          </w:p>
        </w:tc>
        <w:tc>
          <w:tcPr>
            <w:tcW w:type="dxa" w:w="2409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可展示解释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Dice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0.917681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公开离体荧光代理锁定测试集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信号候选分割与参考掩膜的重叠度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IoU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0.848335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公开离体荧光代理锁定测试集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信号候选区域的交并比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Recall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0.9099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公开离体荧光代理锁定测试集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参考信号区域的检出能力</w:t>
            </w:r>
          </w:p>
        </w:tc>
      </w:tr>
      <w:tr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三种子 Dice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0.914894 ± 0.004139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三次独立训练</w:t>
            </w:r>
          </w:p>
        </w:tc>
        <w:tc>
          <w:tcPr>
            <w:tcW w:type="dxa" w:w="2409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相同协议下的训练稳定性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2. 分辨率分层运行性能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输入分辨率与路径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模型 P95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服务端端到端 P95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峰值显存</w:t>
            </w:r>
          </w:p>
        </w:tc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适用展示场景</w:t>
            </w:r>
          </w:p>
        </w:tc>
      </w:tr>
      <w:tr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3840×2160，4K 分块完整证据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0.724432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5.776683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723.579 MB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高分辨率关键帧的完整候选、风险、不确定性与证据生成</w:t>
            </w:r>
          </w:p>
        </w:tc>
      </w:tr>
      <w:tr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960×720，连续帧辅助显示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0.036377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0.176457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380.134 MB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视频播放期间的受控串行刷新与最近已完成结果展示</w:t>
            </w:r>
          </w:p>
        </w:tc>
      </w:tr>
      <w:tr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512×384，连续帧辅助显示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0.010251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0.047416 s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109.454 MB</w:t>
            </w:r>
          </w:p>
        </w:tc>
        <w:tc>
          <w:tcPr>
            <w:tcW w:type="dxa" w:w="1928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更低延迟的受控串行刷新与交互检查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3. 任务 3 计时边界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模型 P95 指模型推理阶段耗时。服务端端到端 P95 覆盖服务端接收图像后至结果生成的处理链，包含推理及对应的服务端处理开销。浏览器调度、网络传输、目标显微镜采集与显示链路不计入服务端端到端 P95。4K 完整证据路径服务于离线关键帧证据生成；960×720 与 512×384 路径服务于连续帧辅助显示，三档指标不以同一“实时”表述混用。</w:t>
      </w:r>
    </w:p>
    <w:p>
      <w:pPr>
        <w:spacing w:lineRule="exact" w:line="360" w:before="120" w:after="60"/>
        <w:jc w:val="left"/>
      </w:pPr>
      <w:r>
        <w:rPr>
          <w:rFonts w:ascii="Times New Roman" w:hAnsi="Times New Roman" w:eastAsia="宋体"/>
          <w:b/>
          <w:i w:val="0"/>
          <w:sz w:val="24"/>
        </w:rPr>
        <w:t>4. 任务 3 可展示结论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1. 锁定测试集达到 Dice 0.917681、IoU 0.848335、Recall 0.9099；三种子 Dice 为 0.914894 ± 0.004139，支持公开离体荧光代理条件下的工程模型选型与稳定性展示。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2. 4K 分块完整证据路径的模型 P95 为 0.724432 s，服务端端到端 P95 为 5.776683 s，峰值显存为 723.579 MB，适合高分辨率关键帧的完整证据生成与复核回放。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3. 960×720 路径的模型 P95 为 0.036377 s、服务端端到端 P95 为 0.176457 s、峰值显存为 380.134 MB；512×384 路径对应 0.010251 s、0.047416 s、109.454 MB，可用于受控连续帧辅助显示。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4. AI 输出用于提示需要进一步检查的信号候选、边界风险与不确定区域。候选结果需由医生结合原始影像、融合结果和质量状态复核，不输出疾病自动诊断、病理终判或治疗边界。</w:t>
      </w: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（五）五、答辩展示建议</w:t>
      </w:r>
    </w:p>
    <w:tbl>
      <w:tblPr>
        <w:tblW w:type="auto" w:w="0"/>
        <w:jc w:val="center"/>
        <w:tblBorders>
          <w:top w:val="single" w:sz="12" w:color="000000"/>
          <w:left w:val="none"/>
          <w:bottom w:val="single" w:sz="12" w:color="000000"/>
          <w:right w:val="none"/>
          <w:insideH w:val="single" w:sz="4" w:color="000000"/>
          <w:insideV w:val="none"/>
        </w:tblBorders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展示顺序</w:t>
            </w:r>
          </w:p>
        </w:tc>
        <w:tc>
          <w:tcPr>
            <w:tcW w:type="dxa" w:w="3213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建议呈现内容</w:t>
            </w:r>
          </w:p>
        </w:tc>
        <w:tc>
          <w:tcPr>
            <w:tcW w:type="dxa" w:w="3213"/>
            <w:tcBorders>
              <w:bottom w:val="single" w:sz="8" w:color="000000"/>
            </w:tcBorders>
          </w:tcPr>
          <w:p>
            <w:pPr>
              <w:spacing w:lineRule="exact" w:line="28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sz w:val="18"/>
              </w:rPr>
              <w:t>评审可检查点</w:t>
            </w:r>
          </w:p>
        </w:tc>
      </w:tr>
      <w:tr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展示白光与荧光的配对输入、配准状态和融合画面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双通道输入、融合结果与质量提示</w:t>
            </w:r>
          </w:p>
        </w:tc>
      </w:tr>
      <w:tr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展示任务 2 指标表：59.022 ms、21.891 ms、82.026 ms 与 5.187 px → 1.361 px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4K 融合计算的阶段拆分与几何改善</w:t>
            </w:r>
          </w:p>
        </w:tc>
      </w:tr>
      <w:tr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展示任务 3 锁定测试指标：Dice、IoU、Recall 与三种子稳定性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模型效果的统一数据域与独立测试口径</w:t>
            </w:r>
          </w:p>
        </w:tc>
      </w:tr>
      <w:tr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对照展示 4K、960×720、512×384 三档性能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完整证据生成与连续帧辅助显示的适用范围</w:t>
            </w:r>
          </w:p>
        </w:tc>
      </w:tr>
      <w:tr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展示候选、风险与不确定性图层进入医生复核</w:t>
            </w:r>
          </w:p>
        </w:tc>
        <w:tc>
          <w:tcPr>
            <w:tcW w:type="dxa" w:w="3213"/>
          </w:tcPr>
          <w:p>
            <w:pPr>
              <w:spacing w:lineRule="exact" w:line="28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提示、原始影像与医生复核的闭环边界</w:t>
            </w:r>
          </w:p>
        </w:tc>
      </w:tr>
    </w:tbl>
    <w:p>
      <w:pPr>
        <w:spacing w:lineRule="exact" w:line="200"/>
      </w:pPr>
    </w:p>
    <w:p>
      <w:pPr>
        <w:spacing w:lineRule="exact" w:line="360" w:before="120" w:after="120"/>
        <w:jc w:val="left"/>
      </w:pPr>
      <w:r>
        <w:rPr>
          <w:rFonts w:ascii="Times New Roman" w:hAnsi="Times New Roman" w:eastAsia="黑体"/>
          <w:b/>
          <w:i w:val="0"/>
          <w:sz w:val="24"/>
        </w:rPr>
        <w:t>（六）六、结论与边界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任务 2 已形成白光/荧光 4K 配准、归一化、伪彩与融合的分阶段性能证据：配准与融合计算合计 P95 为 82.026 ms，局部残差 P95 由 5.187 px 降至 1.361 px。任务 3 已形成公开离体荧光代理锁定测试集的效果指标、三种子稳定性指标及 4K 至受控分辨率连续帧辅助显示的分层资源与延迟指标。</w:t>
      </w:r>
    </w:p>
    <w:p>
      <w:pPr>
        <w:spacing w:lineRule="exact" w:line="320"/>
        <w:ind w:firstLineChars="200" w:firstLine="420"/>
      </w:pPr>
      <w:r>
        <w:rPr>
          <w:rFonts w:ascii="Times New Roman" w:hAnsi="Times New Roman" w:eastAsia="宋体"/>
          <w:b w:val="0"/>
          <w:i w:val="0"/>
          <w:sz w:val="21"/>
        </w:rPr>
        <w:t>当前证据用于赛题任务 2 与任务 3 的平台软件工程验证和答辩展示。真实术中 ICG 颌骨骨髓炎目标域数据、设备级同步标定、医生金标准标注与独立临床验证仍需后续分级完成；平台输出持续保持医生复核和非诊断边界。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12" w:type="linesAndChars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