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Rule="exact" w:line="560" w:before="480" w:after="360"/>
        <w:jc w:val="center"/>
      </w:pPr>
      <w:r>
        <w:rPr>
          <w:rFonts w:ascii="Times New Roman" w:hAnsi="Times New Roman" w:eastAsia="黑体"/>
          <w:b/>
          <w:i w:val="0"/>
          <w:sz w:val="44"/>
        </w:rPr>
        <w:t>平台软件数据汇总</w:t>
      </w:r>
    </w:p>
    <w:p>
      <w:pPr>
        <w:spacing w:lineRule="exact" w:line="360" w:after="360"/>
        <w:jc w:val="center"/>
      </w:pPr>
      <w:r>
        <w:rPr>
          <w:rFonts w:ascii="Times New Roman" w:hAnsi="Times New Roman" w:eastAsia="黑体"/>
          <w:b w:val="0"/>
          <w:i w:val="0"/>
          <w:sz w:val="32"/>
        </w:rPr>
        <w:t>——研发验证数据与工程核验汇总</w:t>
      </w:r>
    </w:p>
    <w:p>
      <w:pPr>
        <w:spacing w:lineRule="exact" w:line="360" w:after="120"/>
        <w:jc w:val="center"/>
      </w:pPr>
      <w:r>
        <w:rPr>
          <w:rFonts w:ascii="Times New Roman" w:hAnsi="Times New Roman" w:eastAsia="楷体_GB2312"/>
          <w:b w:val="0"/>
          <w:i w:val="0"/>
          <w:sz w:val="28"/>
        </w:rPr>
        <w:t>项目团队</w:t>
      </w:r>
    </w:p>
    <w:p>
      <w:pPr>
        <w:spacing w:lineRule="exact" w:line="320"/>
        <w:ind w:firstLineChars="200" w:firstLine="360"/>
      </w:pPr>
      <w:r>
        <w:rPr>
          <w:rFonts w:ascii="Times New Roman" w:hAnsi="Times New Roman" w:eastAsia="黑体"/>
          <w:b/>
          <w:i w:val="0"/>
          <w:sz w:val="18"/>
        </w:rPr>
        <w:t>【摘要】</w:t>
      </w:r>
      <w:r>
        <w:rPr>
          <w:rFonts w:ascii="Times New Roman" w:hAnsi="Times New Roman" w:eastAsia="宋体"/>
          <w:b w:val="0"/>
          <w:i w:val="0"/>
          <w:sz w:val="18"/>
        </w:rPr>
        <w:t>本文档汇总平台软件当前的官方输入边界、数据分层、模型工程验证、4K 融合与视频处理性能、三维工程验证和质量核对结果。来源核验集合与分层数据注册表采用独立统计口径。全部模型和性能数据均来自公开、代理、近域或数字仿体工程资料；真实术中 ICG 颌骨骨髓炎记录与训练准入记录均为零。</w:t>
      </w:r>
    </w:p>
    <w:p>
      <w:pPr>
        <w:spacing w:lineRule="exact" w:line="320" w:after="240"/>
        <w:ind w:firstLineChars="200" w:firstLine="360"/>
      </w:pPr>
      <w:r>
        <w:rPr>
          <w:rFonts w:ascii="Times New Roman" w:hAnsi="Times New Roman" w:eastAsia="黑体"/>
          <w:b/>
          <w:i w:val="0"/>
          <w:sz w:val="18"/>
        </w:rPr>
        <w:t>【关键词】</w:t>
      </w:r>
      <w:r>
        <w:rPr>
          <w:rFonts w:ascii="Times New Roman" w:hAnsi="Times New Roman" w:eastAsia="宋体"/>
          <w:b w:val="0"/>
          <w:i w:val="0"/>
          <w:sz w:val="18"/>
        </w:rPr>
        <w:t>数据汇总；设备参数；模型性能；运行门控；工程验证</w:t>
      </w:r>
    </w:p>
    <w:p>
      <w:pPr>
        <w:spacing w:lineRule="exact" w:line="440" w:before="240" w:after="240"/>
        <w:jc w:val="left"/>
      </w:pPr>
      <w:r>
        <w:rPr>
          <w:rFonts w:ascii="Times New Roman" w:hAnsi="Times New Roman" w:eastAsia="黑体"/>
          <w:b/>
          <w:i w:val="0"/>
          <w:sz w:val="28"/>
        </w:rPr>
        <w:t>一、赛题任务 2 与任务 3 数据汇总</w:t>
      </w:r>
    </w:p>
    <w:p>
      <w:pPr>
        <w:spacing w:lineRule="exact" w:line="320"/>
        <w:ind w:firstLineChars="200" w:firstLine="420"/>
      </w:pPr>
      <w:r>
        <w:rPr>
          <w:rFonts w:ascii="Times New Roman" w:hAnsi="Times New Roman" w:eastAsia="宋体"/>
          <w:b w:val="0"/>
          <w:i w:val="0"/>
          <w:sz w:val="21"/>
        </w:rPr>
        <w:t>更新日期：2026 年 7 月 26 日</w:t>
      </w:r>
    </w:p>
    <w:p>
      <w:pPr>
        <w:spacing w:lineRule="exact" w:line="320"/>
        <w:ind w:firstLineChars="200" w:firstLine="420"/>
      </w:pPr>
      <w:r>
        <w:rPr>
          <w:rFonts w:ascii="Times New Roman" w:hAnsi="Times New Roman" w:eastAsia="宋体"/>
          <w:b w:val="0"/>
          <w:i w:val="0"/>
          <w:sz w:val="21"/>
        </w:rPr>
        <w:t>本汇总聚焦赛题任务 2“多模态医学图像融合与处理”和任务 3“AI 辅助显微成像判读”的可复核工程指标。任务 2 面向白光与荧光图像的配准、归一化、伪彩和融合；任务 3 面向荧光或灌注相关信号候选、边界风险与不确定性提示，并通过医生复核形成研发验证证据。</w:t>
      </w:r>
    </w:p>
    <w:p>
      <w:pPr>
        <w:spacing w:lineRule="exact" w:line="320"/>
        <w:ind w:firstLineChars="200" w:firstLine="420"/>
      </w:pPr>
      <w:r>
        <w:rPr>
          <w:rFonts w:ascii="Times New Roman" w:hAnsi="Times New Roman" w:eastAsia="宋体"/>
          <w:b w:val="0"/>
          <w:i w:val="0"/>
          <w:sz w:val="21"/>
        </w:rPr>
        <w:t>所有数值均来自已固定的工程输入、数据划分和计时协议。公开代理数据、工程序列与真实术中 ICG 颌骨骨髓炎目标域数据分别管理；当前结果用于展示软件方法、运行性能与复核流程，不构成临床诊断性能或治疗建议。</w:t>
      </w:r>
    </w:p>
    <w:p>
      <w:pPr>
        <w:spacing w:lineRule="exact" w:line="360" w:before="120" w:after="120"/>
        <w:jc w:val="left"/>
      </w:pPr>
      <w:r>
        <w:rPr>
          <w:rFonts w:ascii="Times New Roman" w:hAnsi="Times New Roman" w:eastAsia="黑体"/>
          <w:b/>
          <w:i w:val="0"/>
          <w:sz w:val="24"/>
        </w:rPr>
        <w:t>（一）一、赛题对应关系与展示范围</w:t>
      </w:r>
    </w:p>
    <w:tbl>
      <w:tblPr>
        <w:tblW w:type="auto" w:w="0"/>
        <w:jc w:val="center"/>
        <w:tblBorders>
          <w:top w:val="single" w:sz="12" w:color="000000"/>
          <w:left w:val="none"/>
          <w:bottom w:val="single" w:sz="12" w:color="000000"/>
          <w:right w:val="none"/>
          <w:insideH w:val="single" w:sz="4" w:color="000000"/>
          <w:insideV w:val="none"/>
        </w:tblBorders>
        <w:tblLayout w:type="autofit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tcBorders>
              <w:bottom w:val="single" w:sz="8" w:color="000000"/>
            </w:tcBorders>
          </w:tcPr>
          <w:p>
            <w:pPr>
              <w:spacing w:lineRule="exact" w:line="280"/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sz w:val="18"/>
              </w:rPr>
              <w:t>赛题任务</w:t>
            </w:r>
          </w:p>
        </w:tc>
        <w:tc>
          <w:tcPr>
            <w:tcW w:type="dxa" w:w="2409"/>
            <w:tcBorders>
              <w:bottom w:val="single" w:sz="8" w:color="000000"/>
            </w:tcBorders>
          </w:tcPr>
          <w:p>
            <w:pPr>
              <w:spacing w:lineRule="exact" w:line="280"/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sz w:val="18"/>
              </w:rPr>
              <w:t>软件展示内容</w:t>
            </w:r>
          </w:p>
        </w:tc>
        <w:tc>
          <w:tcPr>
            <w:tcW w:type="dxa" w:w="2409"/>
            <w:tcBorders>
              <w:bottom w:val="single" w:sz="8" w:color="000000"/>
            </w:tcBorders>
          </w:tcPr>
          <w:p>
            <w:pPr>
              <w:spacing w:lineRule="exact" w:line="280"/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sz w:val="18"/>
              </w:rPr>
              <w:t>本汇总的核定证据</w:t>
            </w:r>
          </w:p>
        </w:tc>
        <w:tc>
          <w:tcPr>
            <w:tcW w:type="dxa" w:w="2409"/>
            <w:tcBorders>
              <w:bottom w:val="single" w:sz="8" w:color="000000"/>
            </w:tcBorders>
          </w:tcPr>
          <w:p>
            <w:pPr>
              <w:spacing w:lineRule="exact" w:line="280"/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sz w:val="18"/>
              </w:rPr>
              <w:t>可展示边界</w:t>
            </w:r>
          </w:p>
        </w:tc>
      </w:tr>
      <w:tr>
        <w:tc>
          <w:tcPr>
            <w:tcW w:type="dxa" w:w="2409"/>
          </w:tcPr>
          <w:p>
            <w:pPr>
              <w:spacing w:lineRule="exact" w:line="280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任务 2：多模态医学图像融合与处理</w:t>
            </w:r>
          </w:p>
        </w:tc>
        <w:tc>
          <w:tcPr>
            <w:tcW w:type="dxa" w:w="2409"/>
          </w:tcPr>
          <w:p>
            <w:pPr>
              <w:spacing w:lineRule="exact" w:line="280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白光/荧光配对检查、几何配准、荧光归一化、伪彩叠加、ROI 定量与质量提示</w:t>
            </w:r>
          </w:p>
        </w:tc>
        <w:tc>
          <w:tcPr>
            <w:tcW w:type="dxa" w:w="2409"/>
          </w:tcPr>
          <w:p>
            <w:pPr>
              <w:spacing w:lineRule="exact" w:line="280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4K 配准 P95、融合 P95、合计 P95、局部残差 P95 改善</w:t>
            </w:r>
          </w:p>
        </w:tc>
        <w:tc>
          <w:tcPr>
            <w:tcW w:type="dxa" w:w="2409"/>
          </w:tcPr>
          <w:p>
            <w:pPr>
              <w:spacing w:lineRule="exact" w:line="280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验证 4K 工程输入上的计算链与几何一致性改善；真实设备通道同步和标定仍需独立验证</w:t>
            </w:r>
          </w:p>
        </w:tc>
      </w:tr>
      <w:tr>
        <w:tc>
          <w:tcPr>
            <w:tcW w:type="dxa" w:w="2409"/>
          </w:tcPr>
          <w:p>
            <w:pPr>
              <w:spacing w:lineRule="exact" w:line="280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任务 3：AI 辅助显微成像判读</w:t>
            </w:r>
          </w:p>
        </w:tc>
        <w:tc>
          <w:tcPr>
            <w:tcW w:type="dxa" w:w="2409"/>
          </w:tcPr>
          <w:p>
            <w:pPr>
              <w:spacing w:lineRule="exact" w:line="280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信号候选、风险区域、不确定区域、关键帧与连续帧展示、医生复核</w:t>
            </w:r>
          </w:p>
        </w:tc>
        <w:tc>
          <w:tcPr>
            <w:tcW w:type="dxa" w:w="2409"/>
          </w:tcPr>
          <w:p>
            <w:pPr>
              <w:spacing w:lineRule="exact" w:line="280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锁定测试集的 Dice、IoU、Recall、三种子稳定性及分辨率分层运行性能</w:t>
            </w:r>
          </w:p>
        </w:tc>
        <w:tc>
          <w:tcPr>
            <w:tcW w:type="dxa" w:w="2409"/>
          </w:tcPr>
          <w:p>
            <w:pPr>
              <w:spacing w:lineRule="exact" w:line="280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验证公开离体荧光代理上的模型选型与推理闭环；输出保持候选提示和医生复核定位</w:t>
            </w:r>
          </w:p>
        </w:tc>
      </w:tr>
    </w:tbl>
    <w:p>
      <w:pPr>
        <w:spacing w:lineRule="exact" w:line="200"/>
      </w:pPr>
    </w:p>
    <w:p>
      <w:pPr>
        <w:spacing w:lineRule="exact" w:line="360" w:before="120" w:after="120"/>
        <w:jc w:val="left"/>
      </w:pPr>
      <w:r>
        <w:rPr>
          <w:rFonts w:ascii="Times New Roman" w:hAnsi="Times New Roman" w:eastAsia="黑体"/>
          <w:b/>
          <w:i w:val="0"/>
          <w:sz w:val="24"/>
        </w:rPr>
        <w:t>（二）二、数据集与测试协议</w:t>
      </w:r>
    </w:p>
    <w:p>
      <w:pPr>
        <w:spacing w:lineRule="exact" w:line="360" w:before="120" w:after="60"/>
        <w:jc w:val="left"/>
      </w:pPr>
      <w:r>
        <w:rPr>
          <w:rFonts w:ascii="Times New Roman" w:hAnsi="Times New Roman" w:eastAsia="宋体"/>
          <w:b/>
          <w:i w:val="0"/>
          <w:sz w:val="24"/>
        </w:rPr>
        <w:t>1. 任务 2：多模态融合测试协议</w:t>
      </w:r>
    </w:p>
    <w:tbl>
      <w:tblPr>
        <w:tblW w:type="auto" w:w="0"/>
        <w:jc w:val="center"/>
        <w:tblBorders>
          <w:top w:val="single" w:sz="12" w:color="000000"/>
          <w:left w:val="none"/>
          <w:bottom w:val="single" w:sz="12" w:color="000000"/>
          <w:right w:val="none"/>
          <w:insideH w:val="single" w:sz="4" w:color="000000"/>
          <w:insideV w:val="none"/>
        </w:tblBorders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tcBorders>
              <w:bottom w:val="single" w:sz="8" w:color="000000"/>
            </w:tcBorders>
          </w:tcPr>
          <w:p>
            <w:pPr>
              <w:spacing w:lineRule="exact" w:line="280"/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sz w:val="18"/>
              </w:rPr>
              <w:t>项目</w:t>
            </w:r>
          </w:p>
        </w:tc>
        <w:tc>
          <w:tcPr>
            <w:tcW w:type="dxa" w:w="4819"/>
            <w:tcBorders>
              <w:bottom w:val="single" w:sz="8" w:color="000000"/>
            </w:tcBorders>
          </w:tcPr>
          <w:p>
            <w:pPr>
              <w:spacing w:lineRule="exact" w:line="280"/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sz w:val="18"/>
              </w:rPr>
              <w:t>核定内容</w:t>
            </w:r>
          </w:p>
        </w:tc>
      </w:tr>
      <w:tr>
        <w:tc>
          <w:tcPr>
            <w:tcW w:type="dxa" w:w="4819"/>
          </w:tcPr>
          <w:p>
            <w:pPr>
              <w:spacing w:lineRule="exact" w:line="280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输入材料</w:t>
            </w:r>
          </w:p>
        </w:tc>
        <w:tc>
          <w:tcPr>
            <w:tcW w:type="dxa" w:w="4819"/>
          </w:tcPr>
          <w:p>
            <w:pPr>
              <w:spacing w:lineRule="exact" w:line="280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指定 3840×2160 工程双通道序列，包含已知几何偏移、局部残差补偿需求及可追溯配对关系</w:t>
            </w:r>
          </w:p>
        </w:tc>
      </w:tr>
      <w:tr>
        <w:tc>
          <w:tcPr>
            <w:tcW w:type="dxa" w:w="4819"/>
          </w:tcPr>
          <w:p>
            <w:pPr>
              <w:spacing w:lineRule="exact" w:line="280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测试对象</w:t>
            </w:r>
          </w:p>
        </w:tc>
        <w:tc>
          <w:tcPr>
            <w:tcW w:type="dxa" w:w="4819"/>
          </w:tcPr>
          <w:p>
            <w:pPr>
              <w:spacing w:lineRule="exact" w:line="280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白光与荧光图像的几何配准、荧光归一化、伪彩映射和透明融合计算链</w:t>
            </w:r>
          </w:p>
        </w:tc>
      </w:tr>
      <w:tr>
        <w:tc>
          <w:tcPr>
            <w:tcW w:type="dxa" w:w="4819"/>
          </w:tcPr>
          <w:p>
            <w:pPr>
              <w:spacing w:lineRule="exact" w:line="280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统计口径</w:t>
            </w:r>
          </w:p>
        </w:tc>
        <w:tc>
          <w:tcPr>
            <w:tcW w:type="dxa" w:w="4819"/>
          </w:tcPr>
          <w:p>
            <w:pPr>
              <w:spacing w:lineRule="exact" w:line="280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每项指标取九成五分位（P95）；配准与融合阶段分别计时并报告合计</w:t>
            </w:r>
          </w:p>
        </w:tc>
      </w:tr>
      <w:tr>
        <w:tc>
          <w:tcPr>
            <w:tcW w:type="dxa" w:w="4819"/>
          </w:tcPr>
          <w:p>
            <w:pPr>
              <w:spacing w:lineRule="exact" w:line="280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几何指标</w:t>
            </w:r>
          </w:p>
        </w:tc>
        <w:tc>
          <w:tcPr>
            <w:tcW w:type="dxa" w:w="4819"/>
          </w:tcPr>
          <w:p>
            <w:pPr>
              <w:spacing w:lineRule="exact" w:line="280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比较局部残差补偿前后的局部残差 P95，单位为像素</w:t>
            </w:r>
          </w:p>
        </w:tc>
      </w:tr>
      <w:tr>
        <w:tc>
          <w:tcPr>
            <w:tcW w:type="dxa" w:w="4819"/>
          </w:tcPr>
          <w:p>
            <w:pPr>
              <w:spacing w:lineRule="exact" w:line="280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计时次数</w:t>
            </w:r>
          </w:p>
        </w:tc>
        <w:tc>
          <w:tcPr>
            <w:tcW w:type="dxa" w:w="4819"/>
          </w:tcPr>
          <w:p>
            <w:pPr>
              <w:spacing w:lineRule="exact" w:line="280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排除一次预热后，按固定 4K 工程输入重复执行 10 次</w:t>
            </w:r>
          </w:p>
        </w:tc>
      </w:tr>
      <w:tr>
        <w:tc>
          <w:tcPr>
            <w:tcW w:type="dxa" w:w="4819"/>
          </w:tcPr>
          <w:p>
            <w:pPr>
              <w:spacing w:lineRule="exact" w:line="280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数据域说明</w:t>
            </w:r>
          </w:p>
        </w:tc>
        <w:tc>
          <w:tcPr>
            <w:tcW w:type="dxa" w:w="4819"/>
          </w:tcPr>
          <w:p>
            <w:pPr>
              <w:spacing w:lineRule="exact" w:line="280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用于工程配准与融合验证，不替代真实显微镜双通道时间同步、相机标定、组织形变和临床场景验证</w:t>
            </w:r>
          </w:p>
        </w:tc>
      </w:tr>
    </w:tbl>
    <w:p>
      <w:pPr>
        <w:spacing w:lineRule="exact" w:line="200"/>
      </w:pPr>
    </w:p>
    <w:p>
      <w:pPr>
        <w:spacing w:lineRule="exact" w:line="360" w:before="120" w:after="60"/>
        <w:jc w:val="left"/>
      </w:pPr>
      <w:r>
        <w:rPr>
          <w:rFonts w:ascii="Times New Roman" w:hAnsi="Times New Roman" w:eastAsia="宋体"/>
          <w:b/>
          <w:i w:val="0"/>
          <w:sz w:val="24"/>
        </w:rPr>
        <w:t>2. 任务 3：AI 辅助判读测试协议</w:t>
      </w:r>
    </w:p>
    <w:tbl>
      <w:tblPr>
        <w:tblW w:type="auto" w:w="0"/>
        <w:jc w:val="center"/>
        <w:tblBorders>
          <w:top w:val="single" w:sz="12" w:color="000000"/>
          <w:left w:val="none"/>
          <w:bottom w:val="single" w:sz="12" w:color="000000"/>
          <w:right w:val="none"/>
          <w:insideH w:val="single" w:sz="4" w:color="000000"/>
          <w:insideV w:val="none"/>
        </w:tblBorders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tcBorders>
              <w:bottom w:val="single" w:sz="8" w:color="000000"/>
            </w:tcBorders>
          </w:tcPr>
          <w:p>
            <w:pPr>
              <w:spacing w:lineRule="exact" w:line="280"/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sz w:val="18"/>
              </w:rPr>
              <w:t>项目</w:t>
            </w:r>
          </w:p>
        </w:tc>
        <w:tc>
          <w:tcPr>
            <w:tcW w:type="dxa" w:w="4819"/>
            <w:tcBorders>
              <w:bottom w:val="single" w:sz="8" w:color="000000"/>
            </w:tcBorders>
          </w:tcPr>
          <w:p>
            <w:pPr>
              <w:spacing w:lineRule="exact" w:line="280"/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sz w:val="18"/>
              </w:rPr>
              <w:t>核定内容</w:t>
            </w:r>
          </w:p>
        </w:tc>
      </w:tr>
      <w:tr>
        <w:tc>
          <w:tcPr>
            <w:tcW w:type="dxa" w:w="4819"/>
          </w:tcPr>
          <w:p>
            <w:pPr>
              <w:spacing w:lineRule="exact" w:line="280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训练与锁定测试数据</w:t>
            </w:r>
          </w:p>
        </w:tc>
        <w:tc>
          <w:tcPr>
            <w:tcW w:type="dxa" w:w="4819"/>
          </w:tcPr>
          <w:p>
            <w:pPr>
              <w:spacing w:lineRule="exact" w:line="280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公开离体荧光代理关键帧，按源视频隔离训练、验证和锁定测试集合</w:t>
            </w:r>
          </w:p>
        </w:tc>
      </w:tr>
      <w:tr>
        <w:tc>
          <w:tcPr>
            <w:tcW w:type="dxa" w:w="4819"/>
          </w:tcPr>
          <w:p>
            <w:pPr>
              <w:spacing w:lineRule="exact" w:line="280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判读任务</w:t>
            </w:r>
          </w:p>
        </w:tc>
        <w:tc>
          <w:tcPr>
            <w:tcW w:type="dxa" w:w="4819"/>
          </w:tcPr>
          <w:p>
            <w:pPr>
              <w:spacing w:lineRule="exact" w:line="280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荧光或灌注相关信号候选分割，并生成风险与不确定性复核提示</w:t>
            </w:r>
          </w:p>
        </w:tc>
      </w:tr>
      <w:tr>
        <w:tc>
          <w:tcPr>
            <w:tcW w:type="dxa" w:w="4819"/>
          </w:tcPr>
          <w:p>
            <w:pPr>
              <w:spacing w:lineRule="exact" w:line="280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效果评价</w:t>
            </w:r>
          </w:p>
        </w:tc>
        <w:tc>
          <w:tcPr>
            <w:tcW w:type="dxa" w:w="4819"/>
          </w:tcPr>
          <w:p>
            <w:pPr>
              <w:spacing w:lineRule="exact" w:line="280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Dice、IoU、Recall；锁定测试集独立报告；三种子重复训练报告 Dice 均值与标准差</w:t>
            </w:r>
          </w:p>
        </w:tc>
      </w:tr>
      <w:tr>
        <w:tc>
          <w:tcPr>
            <w:tcW w:type="dxa" w:w="4819"/>
          </w:tcPr>
          <w:p>
            <w:pPr>
              <w:spacing w:lineRule="exact" w:line="280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运行评价</w:t>
            </w:r>
          </w:p>
        </w:tc>
        <w:tc>
          <w:tcPr>
            <w:tcW w:type="dxa" w:w="4819"/>
          </w:tcPr>
          <w:p>
            <w:pPr>
              <w:spacing w:lineRule="exact" w:line="280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统一模型与输出语义下，按 4K、960×720、512×384 三档输入分辨率分别统计模型 P95、服务端端到端 P95 和峰值显存</w:t>
            </w:r>
          </w:p>
        </w:tc>
      </w:tr>
      <w:tr>
        <w:tc>
          <w:tcPr>
            <w:tcW w:type="dxa" w:w="4819"/>
          </w:tcPr>
          <w:p>
            <w:pPr>
              <w:spacing w:lineRule="exact" w:line="280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4K 路径</w:t>
            </w:r>
          </w:p>
        </w:tc>
        <w:tc>
          <w:tcPr>
            <w:tcW w:type="dxa" w:w="4819"/>
          </w:tcPr>
          <w:p>
            <w:pPr>
              <w:spacing w:lineRule="exact" w:line="280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4K 关键帧采用分块完整证据生成，输出候选掩膜、概率图、叠加图、风险图、不确定性图和关键帧证据</w:t>
            </w:r>
          </w:p>
        </w:tc>
      </w:tr>
      <w:tr>
        <w:tc>
          <w:tcPr>
            <w:tcW w:type="dxa" w:w="4819"/>
          </w:tcPr>
          <w:p>
            <w:pPr>
              <w:spacing w:lineRule="exact" w:line="280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连续帧路径</w:t>
            </w:r>
          </w:p>
        </w:tc>
        <w:tc>
          <w:tcPr>
            <w:tcW w:type="dxa" w:w="4819"/>
          </w:tcPr>
          <w:p>
            <w:pPr>
              <w:spacing w:lineRule="exact" w:line="280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受控分辨率下按上一帧完成后继续下一帧，展示最近已完成结果与对应处理耗时</w:t>
            </w:r>
          </w:p>
        </w:tc>
      </w:tr>
      <w:tr>
        <w:tc>
          <w:tcPr>
            <w:tcW w:type="dxa" w:w="4819"/>
          </w:tcPr>
          <w:p>
            <w:pPr>
              <w:spacing w:lineRule="exact" w:line="280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数据域说明</w:t>
            </w:r>
          </w:p>
        </w:tc>
        <w:tc>
          <w:tcPr>
            <w:tcW w:type="dxa" w:w="4819"/>
          </w:tcPr>
          <w:p>
            <w:pPr>
              <w:spacing w:lineRule="exact" w:line="280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公开离体荧光代理用于工程选型、阈值验证和运行性能核验；不能外推为真实术中 ICG 颌骨骨髓炎临床性能</w:t>
            </w:r>
          </w:p>
        </w:tc>
      </w:tr>
    </w:tbl>
    <w:p>
      <w:pPr>
        <w:spacing w:lineRule="exact" w:line="200"/>
      </w:pPr>
    </w:p>
    <w:p>
      <w:pPr>
        <w:spacing w:lineRule="exact" w:line="360" w:before="120" w:after="120"/>
        <w:jc w:val="left"/>
      </w:pPr>
      <w:r>
        <w:rPr>
          <w:rFonts w:ascii="Times New Roman" w:hAnsi="Times New Roman" w:eastAsia="黑体"/>
          <w:b/>
          <w:i w:val="0"/>
          <w:sz w:val="24"/>
        </w:rPr>
        <w:t>（三）三、任务 2 多模态融合硬指标</w:t>
      </w:r>
    </w:p>
    <w:p>
      <w:pPr>
        <w:spacing w:lineRule="exact" w:line="360" w:before="120" w:after="60"/>
        <w:jc w:val="left"/>
      </w:pPr>
      <w:r>
        <w:rPr>
          <w:rFonts w:ascii="Times New Roman" w:hAnsi="Times New Roman" w:eastAsia="宋体"/>
          <w:b/>
          <w:i w:val="0"/>
          <w:sz w:val="24"/>
        </w:rPr>
        <w:t>1. 4K 配准与融合性能</w:t>
      </w:r>
    </w:p>
    <w:tbl>
      <w:tblPr>
        <w:tblW w:type="auto" w:w="0"/>
        <w:jc w:val="center"/>
        <w:tblBorders>
          <w:top w:val="single" w:sz="12" w:color="000000"/>
          <w:left w:val="none"/>
          <w:bottom w:val="single" w:sz="12" w:color="000000"/>
          <w:right w:val="none"/>
          <w:insideH w:val="single" w:sz="4" w:color="000000"/>
          <w:insideV w:val="none"/>
        </w:tblBorders>
        <w:tblLayout w:type="autofit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tcBorders>
              <w:bottom w:val="single" w:sz="8" w:color="000000"/>
            </w:tcBorders>
          </w:tcPr>
          <w:p>
            <w:pPr>
              <w:spacing w:lineRule="exact" w:line="280"/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sz w:val="18"/>
              </w:rPr>
              <w:t>指标</w:t>
            </w:r>
          </w:p>
        </w:tc>
        <w:tc>
          <w:tcPr>
            <w:tcW w:type="dxa" w:w="2409"/>
            <w:tcBorders>
              <w:bottom w:val="single" w:sz="8" w:color="000000"/>
            </w:tcBorders>
          </w:tcPr>
          <w:p>
            <w:pPr>
              <w:spacing w:lineRule="exact" w:line="280"/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sz w:val="18"/>
              </w:rPr>
              <w:t>核定数值</w:t>
            </w:r>
          </w:p>
        </w:tc>
        <w:tc>
          <w:tcPr>
            <w:tcW w:type="dxa" w:w="2409"/>
            <w:tcBorders>
              <w:bottom w:val="single" w:sz="8" w:color="000000"/>
            </w:tcBorders>
          </w:tcPr>
          <w:p>
            <w:pPr>
              <w:spacing w:lineRule="exact" w:line="280"/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sz w:val="18"/>
              </w:rPr>
              <w:t>计时范围</w:t>
            </w:r>
          </w:p>
        </w:tc>
        <w:tc>
          <w:tcPr>
            <w:tcW w:type="dxa" w:w="2409"/>
            <w:tcBorders>
              <w:bottom w:val="single" w:sz="8" w:color="000000"/>
            </w:tcBorders>
          </w:tcPr>
          <w:p>
            <w:pPr>
              <w:spacing w:lineRule="exact" w:line="280"/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sz w:val="18"/>
              </w:rPr>
              <w:t>展示含义</w:t>
            </w:r>
          </w:p>
        </w:tc>
      </w:tr>
      <w:tr>
        <w:tc>
          <w:tcPr>
            <w:tcW w:type="dxa" w:w="2409"/>
          </w:tcPr>
          <w:p>
            <w:pPr>
              <w:spacing w:lineRule="exact" w:line="280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配准计算 P95</w:t>
            </w:r>
          </w:p>
        </w:tc>
        <w:tc>
          <w:tcPr>
            <w:tcW w:type="dxa" w:w="2409"/>
          </w:tcPr>
          <w:p>
            <w:pPr>
              <w:spacing w:lineRule="exact" w:line="280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59.022 ms</w:t>
            </w:r>
          </w:p>
        </w:tc>
        <w:tc>
          <w:tcPr>
            <w:tcW w:type="dxa" w:w="2409"/>
          </w:tcPr>
          <w:p>
            <w:pPr>
              <w:spacing w:lineRule="exact" w:line="280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白光/荧光几何配准计算</w:t>
            </w:r>
          </w:p>
        </w:tc>
        <w:tc>
          <w:tcPr>
            <w:tcW w:type="dxa" w:w="2409"/>
          </w:tcPr>
          <w:p>
            <w:pPr>
              <w:spacing w:lineRule="exact" w:line="280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4K 工程双通道输入的配准阶段耗时</w:t>
            </w:r>
          </w:p>
        </w:tc>
      </w:tr>
      <w:tr>
        <w:tc>
          <w:tcPr>
            <w:tcW w:type="dxa" w:w="2409"/>
          </w:tcPr>
          <w:p>
            <w:pPr>
              <w:spacing w:lineRule="exact" w:line="280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归一化、伪彩与融合计算 P95</w:t>
            </w:r>
          </w:p>
        </w:tc>
        <w:tc>
          <w:tcPr>
            <w:tcW w:type="dxa" w:w="2409"/>
          </w:tcPr>
          <w:p>
            <w:pPr>
              <w:spacing w:lineRule="exact" w:line="280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21.891 ms</w:t>
            </w:r>
          </w:p>
        </w:tc>
        <w:tc>
          <w:tcPr>
            <w:tcW w:type="dxa" w:w="2409"/>
          </w:tcPr>
          <w:p>
            <w:pPr>
              <w:spacing w:lineRule="exact" w:line="280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荧光归一化、伪彩映射与透明融合计算</w:t>
            </w:r>
          </w:p>
        </w:tc>
        <w:tc>
          <w:tcPr>
            <w:tcW w:type="dxa" w:w="2409"/>
          </w:tcPr>
          <w:p>
            <w:pPr>
              <w:spacing w:lineRule="exact" w:line="280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配准后的融合呈现阶段耗时</w:t>
            </w:r>
          </w:p>
        </w:tc>
      </w:tr>
      <w:tr>
        <w:tc>
          <w:tcPr>
            <w:tcW w:type="dxa" w:w="2409"/>
          </w:tcPr>
          <w:p>
            <w:pPr>
              <w:spacing w:lineRule="exact" w:line="280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配准与融合合计 P95</w:t>
            </w:r>
          </w:p>
        </w:tc>
        <w:tc>
          <w:tcPr>
            <w:tcW w:type="dxa" w:w="2409"/>
          </w:tcPr>
          <w:p>
            <w:pPr>
              <w:spacing w:lineRule="exact" w:line="280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82.026 ms</w:t>
            </w:r>
          </w:p>
        </w:tc>
        <w:tc>
          <w:tcPr>
            <w:tcW w:type="dxa" w:w="2409"/>
          </w:tcPr>
          <w:p>
            <w:pPr>
              <w:spacing w:lineRule="exact" w:line="280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上述两个阶段合计</w:t>
            </w:r>
          </w:p>
        </w:tc>
        <w:tc>
          <w:tcPr>
            <w:tcW w:type="dxa" w:w="2409"/>
          </w:tcPr>
          <w:p>
            <w:pPr>
              <w:spacing w:lineRule="exact" w:line="280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小于 100 ms 的任务 2 计算链工程验证结果</w:t>
            </w:r>
          </w:p>
        </w:tc>
      </w:tr>
      <w:tr>
        <w:tc>
          <w:tcPr>
            <w:tcW w:type="dxa" w:w="2409"/>
          </w:tcPr>
          <w:p>
            <w:pPr>
              <w:spacing w:lineRule="exact" w:line="280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局部残差 P95</w:t>
            </w:r>
          </w:p>
        </w:tc>
        <w:tc>
          <w:tcPr>
            <w:tcW w:type="dxa" w:w="2409"/>
          </w:tcPr>
          <w:p>
            <w:pPr>
              <w:spacing w:lineRule="exact" w:line="280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5.187 px → 1.361 px</w:t>
            </w:r>
          </w:p>
        </w:tc>
        <w:tc>
          <w:tcPr>
            <w:tcW w:type="dxa" w:w="2409"/>
          </w:tcPr>
          <w:p>
            <w:pPr>
              <w:spacing w:lineRule="exact" w:line="280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局部残差补偿前后对比</w:t>
            </w:r>
          </w:p>
        </w:tc>
        <w:tc>
          <w:tcPr>
            <w:tcW w:type="dxa" w:w="2409"/>
          </w:tcPr>
          <w:p>
            <w:pPr>
              <w:spacing w:lineRule="exact" w:line="280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局部残差补偿后，指定工程序列的几何残差下降</w:t>
            </w:r>
          </w:p>
        </w:tc>
      </w:tr>
    </w:tbl>
    <w:p>
      <w:pPr>
        <w:spacing w:lineRule="exact" w:line="200"/>
      </w:pPr>
    </w:p>
    <w:p>
      <w:pPr>
        <w:spacing w:lineRule="exact" w:line="360" w:before="120" w:after="60"/>
        <w:jc w:val="left"/>
      </w:pPr>
      <w:r>
        <w:rPr>
          <w:rFonts w:ascii="Times New Roman" w:hAnsi="Times New Roman" w:eastAsia="宋体"/>
          <w:b/>
          <w:i w:val="0"/>
          <w:sz w:val="24"/>
        </w:rPr>
        <w:t>2. 任务 2 计时边界</w:t>
      </w:r>
    </w:p>
    <w:p>
      <w:pPr>
        <w:spacing w:lineRule="exact" w:line="320"/>
        <w:ind w:firstLineChars="200" w:firstLine="420"/>
      </w:pPr>
      <w:r>
        <w:rPr>
          <w:rFonts w:ascii="Times New Roman" w:hAnsi="Times New Roman" w:eastAsia="宋体"/>
          <w:b w:val="0"/>
          <w:i w:val="0"/>
          <w:sz w:val="21"/>
        </w:rPr>
        <w:t>任务 2 的 82.026 ms 仅覆盖配准、归一化、伪彩和融合计算。文件解码、证据编码、磁盘写入、网络传输、浏览器显示和任务 3 AI 推理均不计入该数值，并在各自阶段单独记录。该分段口径用于确保融合计算性能与其他处理开销可被独立检查。</w:t>
      </w:r>
    </w:p>
    <w:p>
      <w:pPr>
        <w:spacing w:lineRule="exact" w:line="360" w:before="120" w:after="60"/>
        <w:jc w:val="left"/>
      </w:pPr>
      <w:r>
        <w:rPr>
          <w:rFonts w:ascii="Times New Roman" w:hAnsi="Times New Roman" w:eastAsia="宋体"/>
          <w:b/>
          <w:i w:val="0"/>
          <w:sz w:val="24"/>
        </w:rPr>
        <w:t>3. 任务 2 可展示结论</w:t>
      </w:r>
    </w:p>
    <w:p>
      <w:pPr>
        <w:spacing w:lineRule="exact" w:line="320"/>
        <w:ind w:firstLineChars="200" w:firstLine="420"/>
      </w:pPr>
      <w:r>
        <w:rPr>
          <w:rFonts w:ascii="Times New Roman" w:hAnsi="Times New Roman" w:eastAsia="宋体"/>
          <w:b w:val="0"/>
          <w:i w:val="0"/>
          <w:sz w:val="21"/>
        </w:rPr>
        <w:t>1. 在指定 4K 工程双通道序列上，白光/荧光配准与融合计算链的 P95 为 82.026 ms。</w:t>
      </w:r>
    </w:p>
    <w:p>
      <w:pPr>
        <w:spacing w:lineRule="exact" w:line="320"/>
        <w:ind w:firstLineChars="200" w:firstLine="420"/>
      </w:pPr>
      <w:r>
        <w:rPr>
          <w:rFonts w:ascii="Times New Roman" w:hAnsi="Times New Roman" w:eastAsia="宋体"/>
          <w:b w:val="0"/>
          <w:i w:val="0"/>
          <w:sz w:val="21"/>
        </w:rPr>
        <w:t>2. 配准阶段与融合阶段分别保留计时，59.022 ms 与 21.891 ms 的组成关系清晰可查。</w:t>
      </w:r>
    </w:p>
    <w:p>
      <w:pPr>
        <w:spacing w:lineRule="exact" w:line="320"/>
        <w:ind w:firstLineChars="200" w:firstLine="420"/>
      </w:pPr>
      <w:r>
        <w:rPr>
          <w:rFonts w:ascii="Times New Roman" w:hAnsi="Times New Roman" w:eastAsia="宋体"/>
          <w:b w:val="0"/>
          <w:i w:val="0"/>
          <w:sz w:val="21"/>
        </w:rPr>
        <w:t>3. 局部残差 P95 从 5.187 px 降至 1.361 px，表明局部残差补偿对该工程序列的几何一致性具有改善作用。</w:t>
      </w:r>
    </w:p>
    <w:p>
      <w:pPr>
        <w:spacing w:lineRule="exact" w:line="320"/>
        <w:ind w:firstLineChars="200" w:firstLine="420"/>
      </w:pPr>
      <w:r>
        <w:rPr>
          <w:rFonts w:ascii="Times New Roman" w:hAnsi="Times New Roman" w:eastAsia="宋体"/>
          <w:b w:val="0"/>
          <w:i w:val="0"/>
          <w:sz w:val="21"/>
        </w:rPr>
        <w:t>4. 该结果适用于固定工程输入与既定协议；真实显微镜文件仍需完成时间同步、几何标定、局部形变、遮挡和连续显示稳定性的独立验证。</w:t>
      </w:r>
    </w:p>
    <w:p>
      <w:pPr>
        <w:spacing w:lineRule="exact" w:line="360" w:before="120" w:after="120"/>
        <w:jc w:val="left"/>
      </w:pPr>
      <w:r>
        <w:rPr>
          <w:rFonts w:ascii="Times New Roman" w:hAnsi="Times New Roman" w:eastAsia="黑体"/>
          <w:b/>
          <w:i w:val="0"/>
          <w:sz w:val="24"/>
        </w:rPr>
        <w:t>（四）四、任务 3 AI 辅助判读硬指标</w:t>
      </w:r>
    </w:p>
    <w:p>
      <w:pPr>
        <w:spacing w:lineRule="exact" w:line="360" w:before="120" w:after="60"/>
        <w:jc w:val="left"/>
      </w:pPr>
      <w:r>
        <w:rPr>
          <w:rFonts w:ascii="Times New Roman" w:hAnsi="Times New Roman" w:eastAsia="宋体"/>
          <w:b/>
          <w:i w:val="0"/>
          <w:sz w:val="24"/>
        </w:rPr>
        <w:t>1. 同协议模型选型对比</w:t>
      </w:r>
    </w:p>
    <w:p>
      <w:pPr>
        <w:spacing w:lineRule="exact" w:line="320"/>
        <w:ind w:firstLineChars="200" w:firstLine="420"/>
      </w:pPr>
      <w:r>
        <w:rPr>
          <w:rFonts w:ascii="Times New Roman" w:hAnsi="Times New Roman" w:eastAsia="宋体"/>
          <w:b w:val="0"/>
          <w:i w:val="0"/>
          <w:sz w:val="21"/>
        </w:rPr>
        <w:t>下表三种模型使用相同的公开离体荧光代理数据清单、按源视频隔离的训练/验证/锁定测试划分、预处理、验证集阈值选择规则和锁定测试集评价协议；锁定测试集共 24 帧。残差注意力 U-Net 与多尺度深度可分离 U-Net 为三种子均值；ConvNeXt 2D 为已核定的单种子基线，用于同协议对照。单帧 P95 与显存采用同一批处理、单帧输入和硬件测量口径。</w:t>
      </w:r>
    </w:p>
    <w:tbl>
      <w:tblPr>
        <w:tblW w:type="auto" w:w="0"/>
        <w:jc w:val="center"/>
        <w:tblBorders>
          <w:top w:val="single" w:sz="12" w:color="000000"/>
          <w:left w:val="none"/>
          <w:bottom w:val="single" w:sz="12" w:color="000000"/>
          <w:right w:val="none"/>
          <w:insideH w:val="single" w:sz="4" w:color="000000"/>
          <w:insideV w:val="none"/>
        </w:tblBorders>
        <w:tblLayout w:type="autofit"/>
        <w:tblLook w:firstColumn="1" w:firstRow="1" w:lastColumn="0" w:lastRow="0" w:noHBand="0" w:noVBand="1" w:val="04A0"/>
      </w:tblPr>
      <w:tblGrid>
        <w:gridCol w:w="964"/>
        <w:gridCol w:w="964"/>
        <w:gridCol w:w="964"/>
        <w:gridCol w:w="964"/>
        <w:gridCol w:w="964"/>
        <w:gridCol w:w="964"/>
        <w:gridCol w:w="964"/>
        <w:gridCol w:w="964"/>
        <w:gridCol w:w="964"/>
        <w:gridCol w:w="964"/>
      </w:tblGrid>
      <w:tr>
        <w:tc>
          <w:tcPr>
            <w:tcW w:type="dxa" w:w="964"/>
            <w:tcBorders>
              <w:bottom w:val="single" w:sz="8" w:color="000000"/>
            </w:tcBorders>
          </w:tcPr>
          <w:p>
            <w:pPr>
              <w:spacing w:lineRule="exact" w:line="280"/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sz w:val="18"/>
              </w:rPr>
              <w:t>模型</w:t>
            </w:r>
          </w:p>
        </w:tc>
        <w:tc>
          <w:tcPr>
            <w:tcW w:type="dxa" w:w="964"/>
            <w:tcBorders>
              <w:bottom w:val="single" w:sz="8" w:color="000000"/>
            </w:tcBorders>
          </w:tcPr>
          <w:p>
            <w:pPr>
              <w:spacing w:lineRule="exact" w:line="280"/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sz w:val="18"/>
              </w:rPr>
              <w:t>阈值</w:t>
            </w:r>
          </w:p>
        </w:tc>
        <w:tc>
          <w:tcPr>
            <w:tcW w:type="dxa" w:w="964"/>
            <w:tcBorders>
              <w:bottom w:val="single" w:sz="8" w:color="000000"/>
            </w:tcBorders>
          </w:tcPr>
          <w:p>
            <w:pPr>
              <w:spacing w:lineRule="exact" w:line="280"/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sz w:val="18"/>
              </w:rPr>
              <w:t>Dice</w:t>
            </w:r>
          </w:p>
        </w:tc>
        <w:tc>
          <w:tcPr>
            <w:tcW w:type="dxa" w:w="964"/>
            <w:tcBorders>
              <w:bottom w:val="single" w:sz="8" w:color="000000"/>
            </w:tcBorders>
          </w:tcPr>
          <w:p>
            <w:pPr>
              <w:spacing w:lineRule="exact" w:line="280"/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sz w:val="18"/>
              </w:rPr>
              <w:t>IoU</w:t>
            </w:r>
          </w:p>
        </w:tc>
        <w:tc>
          <w:tcPr>
            <w:tcW w:type="dxa" w:w="964"/>
            <w:tcBorders>
              <w:bottom w:val="single" w:sz="8" w:color="000000"/>
            </w:tcBorders>
          </w:tcPr>
          <w:p>
            <w:pPr>
              <w:spacing w:lineRule="exact" w:line="280"/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sz w:val="18"/>
              </w:rPr>
              <w:t>Precision</w:t>
            </w:r>
          </w:p>
        </w:tc>
        <w:tc>
          <w:tcPr>
            <w:tcW w:type="dxa" w:w="964"/>
            <w:tcBorders>
              <w:bottom w:val="single" w:sz="8" w:color="000000"/>
            </w:tcBorders>
          </w:tcPr>
          <w:p>
            <w:pPr>
              <w:spacing w:lineRule="exact" w:line="280"/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sz w:val="18"/>
              </w:rPr>
              <w:t>Recall</w:t>
            </w:r>
          </w:p>
        </w:tc>
        <w:tc>
          <w:tcPr>
            <w:tcW w:type="dxa" w:w="964"/>
            <w:tcBorders>
              <w:bottom w:val="single" w:sz="8" w:color="000000"/>
            </w:tcBorders>
          </w:tcPr>
          <w:p>
            <w:pPr>
              <w:spacing w:lineRule="exact" w:line="280"/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sz w:val="18"/>
              </w:rPr>
              <w:t>ECE</w:t>
            </w:r>
          </w:p>
        </w:tc>
        <w:tc>
          <w:tcPr>
            <w:tcW w:type="dxa" w:w="964"/>
            <w:tcBorders>
              <w:bottom w:val="single" w:sz="8" w:color="000000"/>
            </w:tcBorders>
          </w:tcPr>
          <w:p>
            <w:pPr>
              <w:spacing w:lineRule="exact" w:line="280"/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sz w:val="18"/>
              </w:rPr>
              <w:t>单帧 P95</w:t>
            </w:r>
          </w:p>
        </w:tc>
        <w:tc>
          <w:tcPr>
            <w:tcW w:type="dxa" w:w="964"/>
            <w:tcBorders>
              <w:bottom w:val="single" w:sz="8" w:color="000000"/>
            </w:tcBorders>
          </w:tcPr>
          <w:p>
            <w:pPr>
              <w:spacing w:lineRule="exact" w:line="280"/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sz w:val="18"/>
              </w:rPr>
              <w:t>显存</w:t>
            </w:r>
          </w:p>
        </w:tc>
        <w:tc>
          <w:tcPr>
            <w:tcW w:type="dxa" w:w="964"/>
            <w:tcBorders>
              <w:bottom w:val="single" w:sz="8" w:color="000000"/>
            </w:tcBorders>
          </w:tcPr>
          <w:p>
            <w:pPr>
              <w:spacing w:lineRule="exact" w:line="280"/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sz w:val="18"/>
              </w:rPr>
              <w:t>选型结论</w:t>
            </w:r>
          </w:p>
        </w:tc>
      </w:tr>
      <w:tr>
        <w:tc>
          <w:tcPr>
            <w:tcW w:type="dxa" w:w="964"/>
          </w:tcPr>
          <w:p>
            <w:pPr>
              <w:spacing w:lineRule="exact" w:line="280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残差注意力 U-Net（三种子均值）</w:t>
            </w:r>
          </w:p>
        </w:tc>
        <w:tc>
          <w:tcPr>
            <w:tcW w:type="dxa" w:w="964"/>
          </w:tcPr>
          <w:p>
            <w:pPr>
              <w:spacing w:lineRule="exact" w:line="280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0.4 / 0.5 / 0.4</w:t>
            </w:r>
          </w:p>
        </w:tc>
        <w:tc>
          <w:tcPr>
            <w:tcW w:type="dxa" w:w="964"/>
          </w:tcPr>
          <w:p>
            <w:pPr>
              <w:spacing w:lineRule="exact" w:line="280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0.914894</w:t>
            </w:r>
          </w:p>
        </w:tc>
        <w:tc>
          <w:tcPr>
            <w:tcW w:type="dxa" w:w="964"/>
          </w:tcPr>
          <w:p>
            <w:pPr>
              <w:spacing w:lineRule="exact" w:line="280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0.843474</w:t>
            </w:r>
          </w:p>
        </w:tc>
        <w:tc>
          <w:tcPr>
            <w:tcW w:type="dxa" w:w="964"/>
          </w:tcPr>
          <w:p>
            <w:pPr>
              <w:spacing w:lineRule="exact" w:line="280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0.921482</w:t>
            </w:r>
          </w:p>
        </w:tc>
        <w:tc>
          <w:tcPr>
            <w:tcW w:type="dxa" w:w="964"/>
          </w:tcPr>
          <w:p>
            <w:pPr>
              <w:spacing w:lineRule="exact" w:line="280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0.909918</w:t>
            </w:r>
          </w:p>
        </w:tc>
        <w:tc>
          <w:tcPr>
            <w:tcW w:type="dxa" w:w="964"/>
          </w:tcPr>
          <w:p>
            <w:pPr>
              <w:spacing w:lineRule="exact" w:line="280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0.004688</w:t>
            </w:r>
          </w:p>
        </w:tc>
        <w:tc>
          <w:tcPr>
            <w:tcW w:type="dxa" w:w="964"/>
          </w:tcPr>
          <w:p>
            <w:pPr>
              <w:spacing w:lineRule="exact" w:line="280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5.131 ms</w:t>
            </w:r>
          </w:p>
        </w:tc>
        <w:tc>
          <w:tcPr>
            <w:tcW w:type="dxa" w:w="964"/>
          </w:tcPr>
          <w:p>
            <w:pPr>
              <w:spacing w:lineRule="exact" w:line="280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26.032 MB</w:t>
            </w:r>
          </w:p>
        </w:tc>
        <w:tc>
          <w:tcPr>
            <w:tcW w:type="dxa" w:w="964"/>
          </w:tcPr>
          <w:p>
            <w:pPr>
              <w:spacing w:lineRule="exact" w:line="280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通过选型与 4K 运行门控，保留为主线</w:t>
            </w:r>
          </w:p>
        </w:tc>
      </w:tr>
      <w:tr>
        <w:tc>
          <w:tcPr>
            <w:tcW w:type="dxa" w:w="964"/>
          </w:tcPr>
          <w:p>
            <w:pPr>
              <w:spacing w:lineRule="exact" w:line="280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ConvNeXt 2D（单种子基线）</w:t>
            </w:r>
          </w:p>
        </w:tc>
        <w:tc>
          <w:tcPr>
            <w:tcW w:type="dxa" w:w="964"/>
          </w:tcPr>
          <w:p>
            <w:pPr>
              <w:spacing w:lineRule="exact" w:line="280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0.55</w:t>
            </w:r>
          </w:p>
        </w:tc>
        <w:tc>
          <w:tcPr>
            <w:tcW w:type="dxa" w:w="964"/>
          </w:tcPr>
          <w:p>
            <w:pPr>
              <w:spacing w:lineRule="exact" w:line="280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0.898711</w:t>
            </w:r>
          </w:p>
        </w:tc>
        <w:tc>
          <w:tcPr>
            <w:tcW w:type="dxa" w:w="964"/>
          </w:tcPr>
          <w:p>
            <w:pPr>
              <w:spacing w:lineRule="exact" w:line="280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0.816431</w:t>
            </w:r>
          </w:p>
        </w:tc>
        <w:tc>
          <w:tcPr>
            <w:tcW w:type="dxa" w:w="964"/>
          </w:tcPr>
          <w:p>
            <w:pPr>
              <w:spacing w:lineRule="exact" w:line="280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0.908447</w:t>
            </w:r>
          </w:p>
        </w:tc>
        <w:tc>
          <w:tcPr>
            <w:tcW w:type="dxa" w:w="964"/>
          </w:tcPr>
          <w:p>
            <w:pPr>
              <w:spacing w:lineRule="exact" w:line="280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0.890778</w:t>
            </w:r>
          </w:p>
        </w:tc>
        <w:tc>
          <w:tcPr>
            <w:tcW w:type="dxa" w:w="964"/>
          </w:tcPr>
          <w:p>
            <w:pPr>
              <w:spacing w:lineRule="exact" w:line="280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0.003342</w:t>
            </w:r>
          </w:p>
        </w:tc>
        <w:tc>
          <w:tcPr>
            <w:tcW w:type="dxa" w:w="964"/>
          </w:tcPr>
          <w:p>
            <w:pPr>
              <w:spacing w:lineRule="exact" w:line="280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3.566 ms</w:t>
            </w:r>
          </w:p>
        </w:tc>
        <w:tc>
          <w:tcPr>
            <w:tcW w:type="dxa" w:w="964"/>
          </w:tcPr>
          <w:p>
            <w:pPr>
              <w:spacing w:lineRule="exact" w:line="280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22.193 MB</w:t>
            </w:r>
          </w:p>
        </w:tc>
        <w:tc>
          <w:tcPr>
            <w:tcW w:type="dxa" w:w="964"/>
          </w:tcPr>
          <w:p>
            <w:pPr>
              <w:spacing w:lineRule="exact" w:line="280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用作同协议基线；效果指标低于主线，未进入主线</w:t>
            </w:r>
          </w:p>
        </w:tc>
      </w:tr>
      <w:tr>
        <w:tc>
          <w:tcPr>
            <w:tcW w:type="dxa" w:w="964"/>
          </w:tcPr>
          <w:p>
            <w:pPr>
              <w:spacing w:lineRule="exact" w:line="280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多尺度深度可分离 U-Net（三种子均值）</w:t>
            </w:r>
          </w:p>
        </w:tc>
        <w:tc>
          <w:tcPr>
            <w:tcW w:type="dxa" w:w="964"/>
          </w:tcPr>
          <w:p>
            <w:pPr>
              <w:spacing w:lineRule="exact" w:line="280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0.4 / 0.45 / 0.45</w:t>
            </w:r>
          </w:p>
        </w:tc>
        <w:tc>
          <w:tcPr>
            <w:tcW w:type="dxa" w:w="964"/>
          </w:tcPr>
          <w:p>
            <w:pPr>
              <w:spacing w:lineRule="exact" w:line="280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0.897765</w:t>
            </w:r>
          </w:p>
        </w:tc>
        <w:tc>
          <w:tcPr>
            <w:tcW w:type="dxa" w:w="964"/>
          </w:tcPr>
          <w:p>
            <w:pPr>
              <w:spacing w:lineRule="exact" w:line="280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0.814936</w:t>
            </w:r>
          </w:p>
        </w:tc>
        <w:tc>
          <w:tcPr>
            <w:tcW w:type="dxa" w:w="964"/>
          </w:tcPr>
          <w:p>
            <w:pPr>
              <w:spacing w:lineRule="exact" w:line="280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0.904048</w:t>
            </w:r>
          </w:p>
        </w:tc>
        <w:tc>
          <w:tcPr>
            <w:tcW w:type="dxa" w:w="964"/>
          </w:tcPr>
          <w:p>
            <w:pPr>
              <w:spacing w:lineRule="exact" w:line="280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0.893267</w:t>
            </w:r>
          </w:p>
        </w:tc>
        <w:tc>
          <w:tcPr>
            <w:tcW w:type="dxa" w:w="964"/>
          </w:tcPr>
          <w:p>
            <w:pPr>
              <w:spacing w:lineRule="exact" w:line="280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0.006901</w:t>
            </w:r>
          </w:p>
        </w:tc>
        <w:tc>
          <w:tcPr>
            <w:tcW w:type="dxa" w:w="964"/>
          </w:tcPr>
          <w:p>
            <w:pPr>
              <w:spacing w:lineRule="exact" w:line="280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4.254 ms</w:t>
            </w:r>
          </w:p>
        </w:tc>
        <w:tc>
          <w:tcPr>
            <w:tcW w:type="dxa" w:w="964"/>
          </w:tcPr>
          <w:p>
            <w:pPr>
              <w:spacing w:lineRule="exact" w:line="280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20.139 MB</w:t>
            </w:r>
          </w:p>
        </w:tc>
        <w:tc>
          <w:tcPr>
            <w:tcW w:type="dxa" w:w="964"/>
          </w:tcPr>
          <w:p>
            <w:pPr>
              <w:spacing w:lineRule="exact" w:line="280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资源占用较低；Dice、IoU 与校准均未优于主线，未通过 4K 运行门控，保持候选</w:t>
            </w:r>
          </w:p>
        </w:tc>
      </w:tr>
    </w:tbl>
    <w:p>
      <w:pPr>
        <w:spacing w:lineRule="exact" w:line="200"/>
      </w:pPr>
    </w:p>
    <w:p>
      <w:pPr>
        <w:spacing w:lineRule="exact" w:line="320"/>
        <w:ind w:firstLineChars="200" w:firstLine="420"/>
      </w:pPr>
      <w:r>
        <w:rPr>
          <w:rFonts w:ascii="Times New Roman" w:hAnsi="Times New Roman" w:eastAsia="宋体"/>
          <w:b w:val="0"/>
          <w:i w:val="0"/>
          <w:sz w:val="21"/>
        </w:rPr>
        <w:t>两项候选均未替换主线：ConvNeXt 2D 的 Dice、IoU 与 Recall 低于残差注意力 U-Net；多尺度深度可分离 U-Net 虽具有较低显存占用，其 Dice、IoU、Recall 和 ECE 均未达到主线水平，且未通过 4K 运行门控。上述比较仅支持公开离体荧光代理条件下的工程选型，不构成真实术中 ICG 颌骨骨髓炎性能结论。</w:t>
      </w:r>
    </w:p>
    <w:p>
      <w:pPr>
        <w:spacing w:lineRule="exact" w:line="360" w:before="120" w:after="60"/>
        <w:jc w:val="left"/>
      </w:pPr>
      <w:r>
        <w:rPr>
          <w:rFonts w:ascii="Times New Roman" w:hAnsi="Times New Roman" w:eastAsia="宋体"/>
          <w:b/>
          <w:i w:val="0"/>
          <w:sz w:val="24"/>
        </w:rPr>
        <w:t>2. 主线详细指标</w:t>
      </w:r>
    </w:p>
    <w:tbl>
      <w:tblPr>
        <w:tblW w:type="auto" w:w="0"/>
        <w:jc w:val="center"/>
        <w:tblBorders>
          <w:top w:val="single" w:sz="12" w:color="000000"/>
          <w:left w:val="none"/>
          <w:bottom w:val="single" w:sz="12" w:color="000000"/>
          <w:right w:val="none"/>
          <w:insideH w:val="single" w:sz="4" w:color="000000"/>
          <w:insideV w:val="none"/>
        </w:tblBorders>
        <w:tblLayout w:type="autofit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tcBorders>
              <w:bottom w:val="single" w:sz="8" w:color="000000"/>
            </w:tcBorders>
          </w:tcPr>
          <w:p>
            <w:pPr>
              <w:spacing w:lineRule="exact" w:line="280"/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sz w:val="18"/>
              </w:rPr>
              <w:t>指标</w:t>
            </w:r>
          </w:p>
        </w:tc>
        <w:tc>
          <w:tcPr>
            <w:tcW w:type="dxa" w:w="2409"/>
            <w:tcBorders>
              <w:bottom w:val="single" w:sz="8" w:color="000000"/>
            </w:tcBorders>
          </w:tcPr>
          <w:p>
            <w:pPr>
              <w:spacing w:lineRule="exact" w:line="280"/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sz w:val="18"/>
              </w:rPr>
              <w:t>核定数值</w:t>
            </w:r>
          </w:p>
        </w:tc>
        <w:tc>
          <w:tcPr>
            <w:tcW w:type="dxa" w:w="2409"/>
            <w:tcBorders>
              <w:bottom w:val="single" w:sz="8" w:color="000000"/>
            </w:tcBorders>
          </w:tcPr>
          <w:p>
            <w:pPr>
              <w:spacing w:lineRule="exact" w:line="280"/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sz w:val="18"/>
              </w:rPr>
              <w:t>统计对象</w:t>
            </w:r>
          </w:p>
        </w:tc>
        <w:tc>
          <w:tcPr>
            <w:tcW w:type="dxa" w:w="2409"/>
            <w:tcBorders>
              <w:bottom w:val="single" w:sz="8" w:color="000000"/>
            </w:tcBorders>
          </w:tcPr>
          <w:p>
            <w:pPr>
              <w:spacing w:lineRule="exact" w:line="280"/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sz w:val="18"/>
              </w:rPr>
              <w:t>可展示解释</w:t>
            </w:r>
          </w:p>
        </w:tc>
      </w:tr>
      <w:tr>
        <w:tc>
          <w:tcPr>
            <w:tcW w:type="dxa" w:w="2409"/>
          </w:tcPr>
          <w:p>
            <w:pPr>
              <w:spacing w:lineRule="exact" w:line="280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Dice</w:t>
            </w:r>
          </w:p>
        </w:tc>
        <w:tc>
          <w:tcPr>
            <w:tcW w:type="dxa" w:w="2409"/>
          </w:tcPr>
          <w:p>
            <w:pPr>
              <w:spacing w:lineRule="exact" w:line="280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0.917681</w:t>
            </w:r>
          </w:p>
        </w:tc>
        <w:tc>
          <w:tcPr>
            <w:tcW w:type="dxa" w:w="2409"/>
          </w:tcPr>
          <w:p>
            <w:pPr>
              <w:spacing w:lineRule="exact" w:line="280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主线代表模型的锁定测试结果</w:t>
            </w:r>
          </w:p>
        </w:tc>
        <w:tc>
          <w:tcPr>
            <w:tcW w:type="dxa" w:w="2409"/>
          </w:tcPr>
          <w:p>
            <w:pPr>
              <w:spacing w:lineRule="exact" w:line="280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信号候选分割与参考掩膜的重叠度</w:t>
            </w:r>
          </w:p>
        </w:tc>
      </w:tr>
      <w:tr>
        <w:tc>
          <w:tcPr>
            <w:tcW w:type="dxa" w:w="2409"/>
          </w:tcPr>
          <w:p>
            <w:pPr>
              <w:spacing w:lineRule="exact" w:line="280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IoU</w:t>
            </w:r>
          </w:p>
        </w:tc>
        <w:tc>
          <w:tcPr>
            <w:tcW w:type="dxa" w:w="2409"/>
          </w:tcPr>
          <w:p>
            <w:pPr>
              <w:spacing w:lineRule="exact" w:line="280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0.848335</w:t>
            </w:r>
          </w:p>
        </w:tc>
        <w:tc>
          <w:tcPr>
            <w:tcW w:type="dxa" w:w="2409"/>
          </w:tcPr>
          <w:p>
            <w:pPr>
              <w:spacing w:lineRule="exact" w:line="280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主线代表模型的锁定测试结果</w:t>
            </w:r>
          </w:p>
        </w:tc>
        <w:tc>
          <w:tcPr>
            <w:tcW w:type="dxa" w:w="2409"/>
          </w:tcPr>
          <w:p>
            <w:pPr>
              <w:spacing w:lineRule="exact" w:line="280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信号候选区域的交并比</w:t>
            </w:r>
          </w:p>
        </w:tc>
      </w:tr>
      <w:tr>
        <w:tc>
          <w:tcPr>
            <w:tcW w:type="dxa" w:w="2409"/>
          </w:tcPr>
          <w:p>
            <w:pPr>
              <w:spacing w:lineRule="exact" w:line="280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Precision</w:t>
            </w:r>
          </w:p>
        </w:tc>
        <w:tc>
          <w:tcPr>
            <w:tcW w:type="dxa" w:w="2409"/>
          </w:tcPr>
          <w:p>
            <w:pPr>
              <w:spacing w:lineRule="exact" w:line="280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0.923117</w:t>
            </w:r>
          </w:p>
        </w:tc>
        <w:tc>
          <w:tcPr>
            <w:tcW w:type="dxa" w:w="2409"/>
          </w:tcPr>
          <w:p>
            <w:pPr>
              <w:spacing w:lineRule="exact" w:line="280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主线代表模型的锁定测试结果</w:t>
            </w:r>
          </w:p>
        </w:tc>
        <w:tc>
          <w:tcPr>
            <w:tcW w:type="dxa" w:w="2409"/>
          </w:tcPr>
          <w:p>
            <w:pPr>
              <w:spacing w:lineRule="exact" w:line="280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模型给出的信号候选中与参考掩膜一致的比例</w:t>
            </w:r>
          </w:p>
        </w:tc>
      </w:tr>
      <w:tr>
        <w:tc>
          <w:tcPr>
            <w:tcW w:type="dxa" w:w="2409"/>
          </w:tcPr>
          <w:p>
            <w:pPr>
              <w:spacing w:lineRule="exact" w:line="280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Recall</w:t>
            </w:r>
          </w:p>
        </w:tc>
        <w:tc>
          <w:tcPr>
            <w:tcW w:type="dxa" w:w="2409"/>
          </w:tcPr>
          <w:p>
            <w:pPr>
              <w:spacing w:lineRule="exact" w:line="280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0.913503</w:t>
            </w:r>
          </w:p>
        </w:tc>
        <w:tc>
          <w:tcPr>
            <w:tcW w:type="dxa" w:w="2409"/>
          </w:tcPr>
          <w:p>
            <w:pPr>
              <w:spacing w:lineRule="exact" w:line="280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主线代表模型的锁定测试结果</w:t>
            </w:r>
          </w:p>
        </w:tc>
        <w:tc>
          <w:tcPr>
            <w:tcW w:type="dxa" w:w="2409"/>
          </w:tcPr>
          <w:p>
            <w:pPr>
              <w:spacing w:lineRule="exact" w:line="280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参考信号区域的检出能力</w:t>
            </w:r>
          </w:p>
        </w:tc>
      </w:tr>
      <w:tr>
        <w:tc>
          <w:tcPr>
            <w:tcW w:type="dxa" w:w="2409"/>
          </w:tcPr>
          <w:p>
            <w:pPr>
              <w:spacing w:lineRule="exact" w:line="280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ECE</w:t>
            </w:r>
          </w:p>
        </w:tc>
        <w:tc>
          <w:tcPr>
            <w:tcW w:type="dxa" w:w="2409"/>
          </w:tcPr>
          <w:p>
            <w:pPr>
              <w:spacing w:lineRule="exact" w:line="280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0.004943</w:t>
            </w:r>
          </w:p>
        </w:tc>
        <w:tc>
          <w:tcPr>
            <w:tcW w:type="dxa" w:w="2409"/>
          </w:tcPr>
          <w:p>
            <w:pPr>
              <w:spacing w:lineRule="exact" w:line="280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主线代表模型的锁定测试结果</w:t>
            </w:r>
          </w:p>
        </w:tc>
        <w:tc>
          <w:tcPr>
            <w:tcW w:type="dxa" w:w="2409"/>
          </w:tcPr>
          <w:p>
            <w:pPr>
              <w:spacing w:lineRule="exact" w:line="280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代理任务中的概率校准误差</w:t>
            </w:r>
          </w:p>
        </w:tc>
      </w:tr>
      <w:tr>
        <w:tc>
          <w:tcPr>
            <w:tcW w:type="dxa" w:w="2409"/>
          </w:tcPr>
          <w:p>
            <w:pPr>
              <w:spacing w:lineRule="exact" w:line="280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单帧 P95</w:t>
            </w:r>
          </w:p>
        </w:tc>
        <w:tc>
          <w:tcPr>
            <w:tcW w:type="dxa" w:w="2409"/>
          </w:tcPr>
          <w:p>
            <w:pPr>
              <w:spacing w:lineRule="exact" w:line="280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4.836 ms</w:t>
            </w:r>
          </w:p>
        </w:tc>
        <w:tc>
          <w:tcPr>
            <w:tcW w:type="dxa" w:w="2409"/>
          </w:tcPr>
          <w:p>
            <w:pPr>
              <w:spacing w:lineRule="exact" w:line="280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主线代表模型的统一单帧测量</w:t>
            </w:r>
          </w:p>
        </w:tc>
        <w:tc>
          <w:tcPr>
            <w:tcW w:type="dxa" w:w="2409"/>
          </w:tcPr>
          <w:p>
            <w:pPr>
              <w:spacing w:lineRule="exact" w:line="280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模型推理阶段的九成五分位耗时</w:t>
            </w:r>
          </w:p>
        </w:tc>
      </w:tr>
      <w:tr>
        <w:tc>
          <w:tcPr>
            <w:tcW w:type="dxa" w:w="2409"/>
          </w:tcPr>
          <w:p>
            <w:pPr>
              <w:spacing w:lineRule="exact" w:line="280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峰值显存</w:t>
            </w:r>
          </w:p>
        </w:tc>
        <w:tc>
          <w:tcPr>
            <w:tcW w:type="dxa" w:w="2409"/>
          </w:tcPr>
          <w:p>
            <w:pPr>
              <w:spacing w:lineRule="exact" w:line="280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26.032 MB</w:t>
            </w:r>
          </w:p>
        </w:tc>
        <w:tc>
          <w:tcPr>
            <w:tcW w:type="dxa" w:w="2409"/>
          </w:tcPr>
          <w:p>
            <w:pPr>
              <w:spacing w:lineRule="exact" w:line="280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主线代表模型的统一单帧测量</w:t>
            </w:r>
          </w:p>
        </w:tc>
        <w:tc>
          <w:tcPr>
            <w:tcW w:type="dxa" w:w="2409"/>
          </w:tcPr>
          <w:p>
            <w:pPr>
              <w:spacing w:lineRule="exact" w:line="280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模型推理阶段的峰值显存占用</w:t>
            </w:r>
          </w:p>
        </w:tc>
      </w:tr>
    </w:tbl>
    <w:p>
      <w:pPr>
        <w:spacing w:lineRule="exact" w:line="200"/>
      </w:pPr>
    </w:p>
    <w:p>
      <w:pPr>
        <w:spacing w:lineRule="exact" w:line="360" w:before="120" w:after="60"/>
        <w:jc w:val="left"/>
      </w:pPr>
      <w:r>
        <w:rPr>
          <w:rFonts w:ascii="Times New Roman" w:hAnsi="Times New Roman" w:eastAsia="宋体"/>
          <w:b/>
          <w:i w:val="0"/>
          <w:sz w:val="24"/>
        </w:rPr>
        <w:t>3. 分辨率分层运行性能</w:t>
      </w:r>
    </w:p>
    <w:tbl>
      <w:tblPr>
        <w:tblW w:type="auto" w:w="0"/>
        <w:jc w:val="center"/>
        <w:tblBorders>
          <w:top w:val="single" w:sz="12" w:color="000000"/>
          <w:left w:val="none"/>
          <w:bottom w:val="single" w:sz="12" w:color="000000"/>
          <w:right w:val="none"/>
          <w:insideH w:val="single" w:sz="4" w:color="000000"/>
          <w:insideV w:val="none"/>
        </w:tblBorders>
        <w:tblLayout w:type="autofit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1928"/>
            <w:tcBorders>
              <w:bottom w:val="single" w:sz="8" w:color="000000"/>
            </w:tcBorders>
          </w:tcPr>
          <w:p>
            <w:pPr>
              <w:spacing w:lineRule="exact" w:line="280"/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sz w:val="18"/>
              </w:rPr>
              <w:t>输入分辨率与路径</w:t>
            </w:r>
          </w:p>
        </w:tc>
        <w:tc>
          <w:tcPr>
            <w:tcW w:type="dxa" w:w="1928"/>
            <w:tcBorders>
              <w:bottom w:val="single" w:sz="8" w:color="000000"/>
            </w:tcBorders>
          </w:tcPr>
          <w:p>
            <w:pPr>
              <w:spacing w:lineRule="exact" w:line="280"/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sz w:val="18"/>
              </w:rPr>
              <w:t>模型 P95</w:t>
            </w:r>
          </w:p>
        </w:tc>
        <w:tc>
          <w:tcPr>
            <w:tcW w:type="dxa" w:w="1928"/>
            <w:tcBorders>
              <w:bottom w:val="single" w:sz="8" w:color="000000"/>
            </w:tcBorders>
          </w:tcPr>
          <w:p>
            <w:pPr>
              <w:spacing w:lineRule="exact" w:line="280"/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sz w:val="18"/>
              </w:rPr>
              <w:t>服务端端到端 P95</w:t>
            </w:r>
          </w:p>
        </w:tc>
        <w:tc>
          <w:tcPr>
            <w:tcW w:type="dxa" w:w="1928"/>
            <w:tcBorders>
              <w:bottom w:val="single" w:sz="8" w:color="000000"/>
            </w:tcBorders>
          </w:tcPr>
          <w:p>
            <w:pPr>
              <w:spacing w:lineRule="exact" w:line="280"/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sz w:val="18"/>
              </w:rPr>
              <w:t>峰值显存</w:t>
            </w:r>
          </w:p>
        </w:tc>
        <w:tc>
          <w:tcPr>
            <w:tcW w:type="dxa" w:w="1928"/>
            <w:tcBorders>
              <w:bottom w:val="single" w:sz="8" w:color="000000"/>
            </w:tcBorders>
          </w:tcPr>
          <w:p>
            <w:pPr>
              <w:spacing w:lineRule="exact" w:line="280"/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sz w:val="18"/>
              </w:rPr>
              <w:t>适用展示场景</w:t>
            </w:r>
          </w:p>
        </w:tc>
      </w:tr>
      <w:tr>
        <w:tc>
          <w:tcPr>
            <w:tcW w:type="dxa" w:w="1928"/>
          </w:tcPr>
          <w:p>
            <w:pPr>
              <w:spacing w:lineRule="exact" w:line="280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3840×2160，4K 分块完整证据</w:t>
            </w:r>
          </w:p>
        </w:tc>
        <w:tc>
          <w:tcPr>
            <w:tcW w:type="dxa" w:w="1928"/>
          </w:tcPr>
          <w:p>
            <w:pPr>
              <w:spacing w:lineRule="exact" w:line="280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0.724432 s</w:t>
            </w:r>
          </w:p>
        </w:tc>
        <w:tc>
          <w:tcPr>
            <w:tcW w:type="dxa" w:w="1928"/>
          </w:tcPr>
          <w:p>
            <w:pPr>
              <w:spacing w:lineRule="exact" w:line="280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5.776683 s</w:t>
            </w:r>
          </w:p>
        </w:tc>
        <w:tc>
          <w:tcPr>
            <w:tcW w:type="dxa" w:w="1928"/>
          </w:tcPr>
          <w:p>
            <w:pPr>
              <w:spacing w:lineRule="exact" w:line="280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723.579 MB</w:t>
            </w:r>
          </w:p>
        </w:tc>
        <w:tc>
          <w:tcPr>
            <w:tcW w:type="dxa" w:w="1928"/>
          </w:tcPr>
          <w:p>
            <w:pPr>
              <w:spacing w:lineRule="exact" w:line="280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高分辨率关键帧的完整候选、风险、不确定性与证据生成</w:t>
            </w:r>
          </w:p>
        </w:tc>
      </w:tr>
      <w:tr>
        <w:tc>
          <w:tcPr>
            <w:tcW w:type="dxa" w:w="1928"/>
          </w:tcPr>
          <w:p>
            <w:pPr>
              <w:spacing w:lineRule="exact" w:line="280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960×720，连续帧辅助显示</w:t>
            </w:r>
          </w:p>
        </w:tc>
        <w:tc>
          <w:tcPr>
            <w:tcW w:type="dxa" w:w="1928"/>
          </w:tcPr>
          <w:p>
            <w:pPr>
              <w:spacing w:lineRule="exact" w:line="280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0.036377 s</w:t>
            </w:r>
          </w:p>
        </w:tc>
        <w:tc>
          <w:tcPr>
            <w:tcW w:type="dxa" w:w="1928"/>
          </w:tcPr>
          <w:p>
            <w:pPr>
              <w:spacing w:lineRule="exact" w:line="280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0.176457 s</w:t>
            </w:r>
          </w:p>
        </w:tc>
        <w:tc>
          <w:tcPr>
            <w:tcW w:type="dxa" w:w="1928"/>
          </w:tcPr>
          <w:p>
            <w:pPr>
              <w:spacing w:lineRule="exact" w:line="280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380.134 MB</w:t>
            </w:r>
          </w:p>
        </w:tc>
        <w:tc>
          <w:tcPr>
            <w:tcW w:type="dxa" w:w="1928"/>
          </w:tcPr>
          <w:p>
            <w:pPr>
              <w:spacing w:lineRule="exact" w:line="280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视频播放期间的受控串行刷新与最近已完成结果展示</w:t>
            </w:r>
          </w:p>
        </w:tc>
      </w:tr>
      <w:tr>
        <w:tc>
          <w:tcPr>
            <w:tcW w:type="dxa" w:w="1928"/>
          </w:tcPr>
          <w:p>
            <w:pPr>
              <w:spacing w:lineRule="exact" w:line="280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512×384，连续帧辅助显示</w:t>
            </w:r>
          </w:p>
        </w:tc>
        <w:tc>
          <w:tcPr>
            <w:tcW w:type="dxa" w:w="1928"/>
          </w:tcPr>
          <w:p>
            <w:pPr>
              <w:spacing w:lineRule="exact" w:line="280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0.010251 s</w:t>
            </w:r>
          </w:p>
        </w:tc>
        <w:tc>
          <w:tcPr>
            <w:tcW w:type="dxa" w:w="1928"/>
          </w:tcPr>
          <w:p>
            <w:pPr>
              <w:spacing w:lineRule="exact" w:line="280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0.047416 s</w:t>
            </w:r>
          </w:p>
        </w:tc>
        <w:tc>
          <w:tcPr>
            <w:tcW w:type="dxa" w:w="1928"/>
          </w:tcPr>
          <w:p>
            <w:pPr>
              <w:spacing w:lineRule="exact" w:line="280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109.454 MB</w:t>
            </w:r>
          </w:p>
        </w:tc>
        <w:tc>
          <w:tcPr>
            <w:tcW w:type="dxa" w:w="1928"/>
          </w:tcPr>
          <w:p>
            <w:pPr>
              <w:spacing w:lineRule="exact" w:line="280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更低延迟的受控串行刷新与交互检查</w:t>
            </w:r>
          </w:p>
        </w:tc>
      </w:tr>
    </w:tbl>
    <w:p>
      <w:pPr>
        <w:spacing w:lineRule="exact" w:line="200"/>
      </w:pPr>
    </w:p>
    <w:p>
      <w:pPr>
        <w:spacing w:lineRule="exact" w:line="360" w:before="120" w:after="60"/>
        <w:jc w:val="left"/>
      </w:pPr>
      <w:r>
        <w:rPr>
          <w:rFonts w:ascii="Times New Roman" w:hAnsi="Times New Roman" w:eastAsia="宋体"/>
          <w:b/>
          <w:i w:val="0"/>
          <w:sz w:val="24"/>
        </w:rPr>
        <w:t>4. 任务 3 计时边界</w:t>
      </w:r>
    </w:p>
    <w:p>
      <w:pPr>
        <w:spacing w:lineRule="exact" w:line="320"/>
        <w:ind w:firstLineChars="200" w:firstLine="420"/>
      </w:pPr>
      <w:r>
        <w:rPr>
          <w:rFonts w:ascii="Times New Roman" w:hAnsi="Times New Roman" w:eastAsia="宋体"/>
          <w:b w:val="0"/>
          <w:i w:val="0"/>
          <w:sz w:val="21"/>
        </w:rPr>
        <w:t>模型 P95 指模型推理阶段耗时。服务端端到端 P95 覆盖服务端接收图像后至结果生成的处理链，包含推理及对应的服务端处理开销。浏览器调度、网络传输、目标显微镜采集与显示链路不计入服务端端到端 P95。4K 完整证据路径服务于离线关键帧证据生成；960×720 与 512×384 路径服务于连续帧辅助显示，三档指标不以同一“实时”表述混用。</w:t>
      </w:r>
    </w:p>
    <w:p>
      <w:pPr>
        <w:spacing w:lineRule="exact" w:line="360" w:before="120" w:after="60"/>
        <w:jc w:val="left"/>
      </w:pPr>
      <w:r>
        <w:rPr>
          <w:rFonts w:ascii="Times New Roman" w:hAnsi="Times New Roman" w:eastAsia="宋体"/>
          <w:b/>
          <w:i w:val="0"/>
          <w:sz w:val="24"/>
        </w:rPr>
        <w:t>5. 任务 3 可展示结论</w:t>
      </w:r>
    </w:p>
    <w:p>
      <w:pPr>
        <w:spacing w:lineRule="exact" w:line="320"/>
        <w:ind w:firstLineChars="200" w:firstLine="420"/>
      </w:pPr>
      <w:r>
        <w:rPr>
          <w:rFonts w:ascii="Times New Roman" w:hAnsi="Times New Roman" w:eastAsia="宋体"/>
          <w:b w:val="0"/>
          <w:i w:val="0"/>
          <w:sz w:val="21"/>
        </w:rPr>
        <w:t>1. 在相同的 24 帧锁定测试集和评价协议下，残差注意力 U-Net 的三种子均值 Dice 为 0.914894、IoU 为 0.843474、Recall 为 0.909918，优于 ConvNeXt 2D 基线与多尺度深度可分离 U-Net；主线代表模型的 Dice 为 0.917681、IoU 为 0.848335。</w:t>
      </w:r>
    </w:p>
    <w:p>
      <w:pPr>
        <w:spacing w:lineRule="exact" w:line="320"/>
        <w:ind w:firstLineChars="200" w:firstLine="420"/>
      </w:pPr>
      <w:r>
        <w:rPr>
          <w:rFonts w:ascii="Times New Roman" w:hAnsi="Times New Roman" w:eastAsia="宋体"/>
          <w:b w:val="0"/>
          <w:i w:val="0"/>
          <w:sz w:val="21"/>
        </w:rPr>
        <w:t>2. 4K 分块完整证据路径的模型 P95 为 0.724432 s，服务端端到端 P95 为 5.776683 s，峰值显存为 723.579 MB，适合高分辨率关键帧的完整证据生成与复核回放。</w:t>
      </w:r>
    </w:p>
    <w:p>
      <w:pPr>
        <w:spacing w:lineRule="exact" w:line="320"/>
        <w:ind w:firstLineChars="200" w:firstLine="420"/>
      </w:pPr>
      <w:r>
        <w:rPr>
          <w:rFonts w:ascii="Times New Roman" w:hAnsi="Times New Roman" w:eastAsia="宋体"/>
          <w:b w:val="0"/>
          <w:i w:val="0"/>
          <w:sz w:val="21"/>
        </w:rPr>
        <w:t>3. 960×720 路径的模型 P95 为 0.036377 s、服务端端到端 P95 为 0.176457 s、峰值显存为 380.134 MB；512×384 路径对应 0.010251 s、0.047416 s、109.454 MB，可用于受控连续帧辅助显示。</w:t>
      </w:r>
    </w:p>
    <w:p>
      <w:pPr>
        <w:spacing w:lineRule="exact" w:line="320"/>
        <w:ind w:firstLineChars="200" w:firstLine="420"/>
      </w:pPr>
      <w:r>
        <w:rPr>
          <w:rFonts w:ascii="Times New Roman" w:hAnsi="Times New Roman" w:eastAsia="宋体"/>
          <w:b w:val="0"/>
          <w:i w:val="0"/>
          <w:sz w:val="21"/>
        </w:rPr>
        <w:t>4. AI 输出用于提示需要进一步检查的信号候选、边界风险与不确定区域。候选结果需由医生结合原始影像、融合结果和质量状态复核，不输出疾病自动诊断、病理终判或治疗边界。</w:t>
      </w:r>
    </w:p>
    <w:p>
      <w:pPr>
        <w:spacing w:lineRule="exact" w:line="360" w:before="120" w:after="120"/>
        <w:jc w:val="left"/>
      </w:pPr>
      <w:r>
        <w:rPr>
          <w:rFonts w:ascii="Times New Roman" w:hAnsi="Times New Roman" w:eastAsia="黑体"/>
          <w:b/>
          <w:i w:val="0"/>
          <w:sz w:val="24"/>
        </w:rPr>
        <w:t>（五）五、答辩展示建议</w:t>
      </w:r>
    </w:p>
    <w:tbl>
      <w:tblPr>
        <w:tblW w:type="auto" w:w="0"/>
        <w:jc w:val="center"/>
        <w:tblBorders>
          <w:top w:val="single" w:sz="12" w:color="000000"/>
          <w:left w:val="none"/>
          <w:bottom w:val="single" w:sz="12" w:color="000000"/>
          <w:right w:val="none"/>
          <w:insideH w:val="single" w:sz="4" w:color="000000"/>
          <w:insideV w:val="none"/>
        </w:tblBorders>
        <w:tblLayout w:type="autofit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tcBorders>
              <w:bottom w:val="single" w:sz="8" w:color="000000"/>
            </w:tcBorders>
          </w:tcPr>
          <w:p>
            <w:pPr>
              <w:spacing w:lineRule="exact" w:line="280"/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sz w:val="18"/>
              </w:rPr>
              <w:t>展示顺序</w:t>
            </w:r>
          </w:p>
        </w:tc>
        <w:tc>
          <w:tcPr>
            <w:tcW w:type="dxa" w:w="3213"/>
            <w:tcBorders>
              <w:bottom w:val="single" w:sz="8" w:color="000000"/>
            </w:tcBorders>
          </w:tcPr>
          <w:p>
            <w:pPr>
              <w:spacing w:lineRule="exact" w:line="280"/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sz w:val="18"/>
              </w:rPr>
              <w:t>建议呈现内容</w:t>
            </w:r>
          </w:p>
        </w:tc>
        <w:tc>
          <w:tcPr>
            <w:tcW w:type="dxa" w:w="3213"/>
            <w:tcBorders>
              <w:bottom w:val="single" w:sz="8" w:color="000000"/>
            </w:tcBorders>
          </w:tcPr>
          <w:p>
            <w:pPr>
              <w:spacing w:lineRule="exact" w:line="280"/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sz w:val="18"/>
              </w:rPr>
              <w:t>评审可检查点</w:t>
            </w:r>
          </w:p>
        </w:tc>
      </w:tr>
      <w:tr>
        <w:tc>
          <w:tcPr>
            <w:tcW w:type="dxa" w:w="3213"/>
          </w:tcPr>
          <w:p>
            <w:pPr>
              <w:spacing w:lineRule="exact" w:line="280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</w:t>
            </w:r>
          </w:p>
        </w:tc>
        <w:tc>
          <w:tcPr>
            <w:tcW w:type="dxa" w:w="3213"/>
          </w:tcPr>
          <w:p>
            <w:pPr>
              <w:spacing w:lineRule="exact" w:line="280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展示白光与荧光的配对输入、配准状态和融合画面</w:t>
            </w:r>
          </w:p>
        </w:tc>
        <w:tc>
          <w:tcPr>
            <w:tcW w:type="dxa" w:w="3213"/>
          </w:tcPr>
          <w:p>
            <w:pPr>
              <w:spacing w:lineRule="exact" w:line="280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双通道输入、融合结果与质量提示</w:t>
            </w:r>
          </w:p>
        </w:tc>
      </w:tr>
      <w:tr>
        <w:tc>
          <w:tcPr>
            <w:tcW w:type="dxa" w:w="3213"/>
          </w:tcPr>
          <w:p>
            <w:pPr>
              <w:spacing w:lineRule="exact" w:line="280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2</w:t>
            </w:r>
          </w:p>
        </w:tc>
        <w:tc>
          <w:tcPr>
            <w:tcW w:type="dxa" w:w="3213"/>
          </w:tcPr>
          <w:p>
            <w:pPr>
              <w:spacing w:lineRule="exact" w:line="280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展示任务 2 指标表：59.022 ms、21.891 ms、82.026 ms 与 5.187 px → 1.361 px</w:t>
            </w:r>
          </w:p>
        </w:tc>
        <w:tc>
          <w:tcPr>
            <w:tcW w:type="dxa" w:w="3213"/>
          </w:tcPr>
          <w:p>
            <w:pPr>
              <w:spacing w:lineRule="exact" w:line="280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4K 融合计算的阶段拆分与几何改善</w:t>
            </w:r>
          </w:p>
        </w:tc>
      </w:tr>
      <w:tr>
        <w:tc>
          <w:tcPr>
            <w:tcW w:type="dxa" w:w="3213"/>
          </w:tcPr>
          <w:p>
            <w:pPr>
              <w:spacing w:lineRule="exact" w:line="280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3</w:t>
            </w:r>
          </w:p>
        </w:tc>
        <w:tc>
          <w:tcPr>
            <w:tcW w:type="dxa" w:w="3213"/>
          </w:tcPr>
          <w:p>
            <w:pPr>
              <w:spacing w:lineRule="exact" w:line="280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展示任务 3 同协议模型选型表与主线详细指标</w:t>
            </w:r>
          </w:p>
        </w:tc>
        <w:tc>
          <w:tcPr>
            <w:tcW w:type="dxa" w:w="3213"/>
          </w:tcPr>
          <w:p>
            <w:pPr>
              <w:spacing w:lineRule="exact" w:line="280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三模型统一数据域、24 帧锁定测试口径与未替换原因</w:t>
            </w:r>
          </w:p>
        </w:tc>
      </w:tr>
      <w:tr>
        <w:tc>
          <w:tcPr>
            <w:tcW w:type="dxa" w:w="3213"/>
          </w:tcPr>
          <w:p>
            <w:pPr>
              <w:spacing w:lineRule="exact" w:line="280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4</w:t>
            </w:r>
          </w:p>
        </w:tc>
        <w:tc>
          <w:tcPr>
            <w:tcW w:type="dxa" w:w="3213"/>
          </w:tcPr>
          <w:p>
            <w:pPr>
              <w:spacing w:lineRule="exact" w:line="280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对照展示 4K、960×720、512×384 三档性能</w:t>
            </w:r>
          </w:p>
        </w:tc>
        <w:tc>
          <w:tcPr>
            <w:tcW w:type="dxa" w:w="3213"/>
          </w:tcPr>
          <w:p>
            <w:pPr>
              <w:spacing w:lineRule="exact" w:line="280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完整证据生成与连续帧辅助显示的适用范围</w:t>
            </w:r>
          </w:p>
        </w:tc>
      </w:tr>
      <w:tr>
        <w:tc>
          <w:tcPr>
            <w:tcW w:type="dxa" w:w="3213"/>
          </w:tcPr>
          <w:p>
            <w:pPr>
              <w:spacing w:lineRule="exact" w:line="280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5</w:t>
            </w:r>
          </w:p>
        </w:tc>
        <w:tc>
          <w:tcPr>
            <w:tcW w:type="dxa" w:w="3213"/>
          </w:tcPr>
          <w:p>
            <w:pPr>
              <w:spacing w:lineRule="exact" w:line="280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展示候选、风险与不确定性图层进入医生复核</w:t>
            </w:r>
          </w:p>
        </w:tc>
        <w:tc>
          <w:tcPr>
            <w:tcW w:type="dxa" w:w="3213"/>
          </w:tcPr>
          <w:p>
            <w:pPr>
              <w:spacing w:lineRule="exact" w:line="280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AI 提示、原始影像与医生复核的闭环边界</w:t>
            </w:r>
          </w:p>
        </w:tc>
      </w:tr>
    </w:tbl>
    <w:p>
      <w:pPr>
        <w:spacing w:lineRule="exact" w:line="200"/>
      </w:pPr>
    </w:p>
    <w:p>
      <w:pPr>
        <w:spacing w:lineRule="exact" w:line="360" w:before="120" w:after="120"/>
        <w:jc w:val="left"/>
      </w:pPr>
      <w:r>
        <w:rPr>
          <w:rFonts w:ascii="Times New Roman" w:hAnsi="Times New Roman" w:eastAsia="黑体"/>
          <w:b/>
          <w:i w:val="0"/>
          <w:sz w:val="24"/>
        </w:rPr>
        <w:t>（六）六、结论与边界</w:t>
      </w:r>
    </w:p>
    <w:p>
      <w:pPr>
        <w:spacing w:lineRule="exact" w:line="320"/>
        <w:ind w:firstLineChars="200" w:firstLine="420"/>
      </w:pPr>
      <w:r>
        <w:rPr>
          <w:rFonts w:ascii="Times New Roman" w:hAnsi="Times New Roman" w:eastAsia="宋体"/>
          <w:b w:val="0"/>
          <w:i w:val="0"/>
          <w:sz w:val="21"/>
        </w:rPr>
        <w:t>任务 2 已形成白光/荧光 4K 配准、归一化、伪彩与融合的分阶段性能证据：配准与融合计算合计 P95 为 82.026 ms，局部残差 P95 由 5.187 px 降至 1.361 px。任务 3 已形成公开离体荧光代理锁定测试集的效果指标、三种子稳定性指标及 4K 至受控分辨率连续帧辅助显示的分层资源与延迟指标。</w:t>
      </w:r>
    </w:p>
    <w:p>
      <w:pPr>
        <w:spacing w:lineRule="exact" w:line="320"/>
        <w:ind w:firstLineChars="200" w:firstLine="420"/>
      </w:pPr>
      <w:r>
        <w:rPr>
          <w:rFonts w:ascii="Times New Roman" w:hAnsi="Times New Roman" w:eastAsia="宋体"/>
          <w:b w:val="0"/>
          <w:i w:val="0"/>
          <w:sz w:val="21"/>
        </w:rPr>
        <w:t>当前证据用于赛题任务 2 与任务 3 的平台软件工程验证和答辩展示。真实术中 ICG 颌骨骨髓炎目标域数据、设备级同步标定、医生金标准标注与独立临床验证仍需后续分级完成；平台输出持续保持医生复核和非诊断边界。</w:t>
      </w:r>
    </w:p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12" w:type="linesAndChars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