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exact" w:line="560" w:before="480" w:after="360"/>
        <w:jc w:val="center"/>
      </w:pPr>
      <w:r>
        <w:rPr>
          <w:rFonts w:ascii="Times New Roman" w:hAnsi="Times New Roman" w:eastAsia="黑体"/>
          <w:b/>
          <w:i w:val="0"/>
          <w:sz w:val="44"/>
        </w:rPr>
        <w:t>颌骨骨髓炎智能化荧光诊疗比赛方案</w:t>
      </w:r>
    </w:p>
    <w:p>
      <w:pPr>
        <w:spacing w:lineRule="exact" w:line="360" w:after="360"/>
        <w:jc w:val="center"/>
      </w:pPr>
      <w:r>
        <w:rPr>
          <w:rFonts w:ascii="Times New Roman" w:hAnsi="Times New Roman" w:eastAsia="黑体"/>
          <w:b w:val="0"/>
          <w:i w:val="0"/>
          <w:sz w:val="32"/>
        </w:rPr>
        <w:t>——研发验证与工程可行性方案</w:t>
      </w:r>
    </w:p>
    <w:p>
      <w:pPr>
        <w:spacing w:lineRule="exact" w:line="360" w:after="120"/>
        <w:jc w:val="center"/>
      </w:pPr>
      <w:r>
        <w:rPr>
          <w:rFonts w:ascii="Times New Roman" w:hAnsi="Times New Roman" w:eastAsia="楷体_GB2312"/>
          <w:b w:val="0"/>
          <w:i w:val="0"/>
          <w:sz w:val="28"/>
        </w:rPr>
        <w:t>项目团队</w:t>
      </w:r>
    </w:p>
    <w:p>
      <w:pPr>
        <w:spacing w:lineRule="exact" w:line="320" w:after="120"/>
        <w:jc w:val="both"/>
        <w:ind w:firstLineChars="200" w:firstLine="360"/>
      </w:pPr>
      <w:r>
        <w:rPr>
          <w:rFonts w:ascii="Times New Roman" w:hAnsi="Times New Roman" w:eastAsia="宋体"/>
          <w:b/>
          <w:i w:val="0"/>
          <w:sz w:val="18"/>
        </w:rPr>
        <w:t>摘要：</w:t>
      </w:r>
      <w:r>
        <w:rPr>
          <w:rFonts w:ascii="Times New Roman" w:hAnsi="Times New Roman" w:eastAsia="宋体"/>
          <w:b w:val="0"/>
          <w:i w:val="0"/>
          <w:sz w:val="18"/>
        </w:rPr>
        <w:t>本方案围绕新型荧光造影剂设计、多模态医学图像融合处理和人工智能辅助显微成像判读三项要求，构建术前数字化参考、术中多通道分析与医生复核、术后证据回顾的研发验证平台软件闭环。平台以赛题方确认的 4K JPEG 图像和 MP4 视频为主输入，支持白光与荧光成对分析、视频关键帧与连续帧串行分析、伪彩融合、感兴趣区量化、候选提示、人工标注复核、三维参考和证据导出。公开离体荧光代理、公开人体 ICG 视频和数字仿体分别用于软件流程、时序展示和三维工程验证。当前真实术中 ICG 颌骨骨髓炎记录与训练准入记录均为零。所有结果均用于工程验证与医生复核辅助，不构成临床诊断、切除范围或真实术中导航结论。</w:t>
      </w:r>
    </w:p>
    <w:p>
      <w:pPr>
        <w:spacing w:lineRule="exact" w:line="320" w:after="240"/>
        <w:jc w:val="both"/>
        <w:ind w:firstLineChars="200" w:firstLine="360"/>
      </w:pPr>
      <w:r>
        <w:rPr>
          <w:rFonts w:ascii="Times New Roman" w:hAnsi="Times New Roman" w:eastAsia="宋体"/>
          <w:b/>
          <w:i w:val="0"/>
          <w:sz w:val="18"/>
        </w:rPr>
        <w:t>关键词：</w:t>
      </w:r>
      <w:r>
        <w:rPr>
          <w:rFonts w:ascii="Times New Roman" w:hAnsi="Times New Roman" w:eastAsia="宋体"/>
          <w:b w:val="0"/>
          <w:i w:val="0"/>
          <w:sz w:val="18"/>
        </w:rPr>
        <w:t>颌骨骨髓炎；ICG 荧光成像；多模态图像融合；人工智能辅助判读；医生复核</w:t>
      </w:r>
    </w:p>
    <w:p>
      <w:pPr>
        <w:spacing w:lineRule="exact" w:line="320" w:before="120" w:after="120"/>
      </w:pPr>
    </w:p>
    <w:p>
      <w:pPr>
        <w:spacing w:lineRule="exact" w:line="320" w:before="240" w:after="120"/>
        <w:jc w:val="center"/>
      </w:pPr>
      <w:r>
        <w:rPr>
          <w:rFonts w:ascii="Times New Roman" w:hAnsi="Times New Roman" w:eastAsia="黑体"/>
          <w:b/>
          <w:i w:val="0"/>
          <w:sz w:val="28"/>
        </w:rPr>
        <w:t>一、第 1 章 项目背景与临床需求</w:t>
      </w:r>
    </w:p>
    <w:p>
      <w:pPr>
        <w:spacing w:lineRule="exact" w:line="320" w:before="120" w:after="120"/>
      </w:pPr>
    </w:p>
    <w:p>
      <w:pPr>
        <w:spacing w:lineRule="exact" w:line="320" w:before="120" w:after="60"/>
        <w:jc w:val="left"/>
        <w:ind w:firstLineChars="200" w:firstLine="480"/>
      </w:pPr>
      <w:r>
        <w:rPr>
          <w:rFonts w:ascii="Times New Roman" w:hAnsi="Times New Roman" w:eastAsia="仿宋_GB2312"/>
          <w:b/>
          <w:i w:val="0"/>
          <w:sz w:val="24"/>
        </w:rPr>
        <w:t>（一）颌骨骨髓炎的术中判读需求</w:t>
      </w:r>
    </w:p>
    <w:p>
      <w:pPr>
        <w:spacing w:lineRule="exact" w:line="320" w:before="0" w:after="0"/>
        <w:jc w:val="both"/>
        <w:ind w:firstLineChars="200" w:firstLine="420"/>
      </w:pPr>
      <w:r>
        <w:rPr>
          <w:rFonts w:ascii="Times New Roman" w:hAnsi="Times New Roman" w:eastAsia="宋体"/>
          <w:b w:val="0"/>
          <w:i w:val="0"/>
          <w:sz w:val="21"/>
        </w:rPr>
        <w:t>颌骨骨髓炎及其相关骨坏死处理常伴随感染、血供改变、骨重塑受限、死骨形成与软组织炎症等多种因素。术前影像、病理、微生物学检查和临床资料能够为病变范围与治疗方案提供依据；当术野暴露和清创持续推进时，医生仍需结合骨面颜色、出血、硬度、软组织状态及必要的术中检查，对清创边界和保留范围作出综合判断。</w:t>
      </w:r>
    </w:p>
    <w:p>
      <w:pPr>
        <w:spacing w:lineRule="exact" w:line="320" w:before="0" w:after="0"/>
        <w:jc w:val="both"/>
        <w:ind w:firstLineChars="200" w:firstLine="420"/>
      </w:pPr>
      <w:r>
        <w:rPr>
          <w:rFonts w:ascii="Times New Roman" w:hAnsi="Times New Roman" w:eastAsia="宋体"/>
          <w:b w:val="0"/>
          <w:i w:val="0"/>
          <w:sz w:val="21"/>
        </w:rPr>
        <w:t>这一过程存在三个紧密关联的临床工程问题。其一，骨面活性与病变边界具有连续过渡特征，单一视觉线索难以覆盖全部术野。其二，清创过程中的出血、炎性充血、水肿、烟雾和器械遮挡会改变成像条件，增加即时比较难度。其三，术中判断多以经验性观察为主，关键帧、处理结果、复核意见和后续回顾证据容易分散，难以形成可追溯的闭环。</w:t>
      </w:r>
    </w:p>
    <w:p>
      <w:pPr>
        <w:spacing w:lineRule="exact" w:line="320" w:before="0" w:after="0"/>
        <w:jc w:val="both"/>
        <w:ind w:firstLineChars="200" w:firstLine="420"/>
      </w:pPr>
      <w:r>
        <w:rPr>
          <w:rFonts w:ascii="Times New Roman" w:hAnsi="Times New Roman" w:eastAsia="宋体"/>
          <w:b w:val="0"/>
          <w:i w:val="0"/>
          <w:sz w:val="21"/>
        </w:rPr>
        <w:t>项目据此将软件目标定位为：在显微镜影像文件进入平台后，将白光结构信息、荧光强度信息、视频时序、术前结构参考和医生复核意见组织为可解释、可回看、可降级的辅助判读链。平台输出服务于研发验证、工程证据与医生复核，不形成自动诊断、自动切除范围或真实术中导航结论。</w:t>
      </w:r>
    </w:p>
    <w:p>
      <w:pPr>
        <w:spacing w:lineRule="exact" w:line="320"/>
        <w:jc w:val="center"/>
      </w:pPr>
      <w:r>
        <w:drawing>
          <wp:inline xmlns:a="http://schemas.openxmlformats.org/drawingml/2006/main" xmlns:pic="http://schemas.openxmlformats.org/drawingml/2006/picture">
            <wp:extent cx="4320000" cy="2434909"/>
            <wp:docPr id="1" name="Picture 1"/>
            <wp:cNvGraphicFramePr>
              <a:graphicFrameLocks noChangeAspect="1"/>
            </wp:cNvGraphicFramePr>
            <a:graphic>
              <a:graphicData uri="http://schemas.openxmlformats.org/drawingml/2006/picture">
                <pic:pic>
                  <pic:nvPicPr>
                    <pic:cNvPr id="0" name="fig_01_boundary_review_concept.png"/>
                    <pic:cNvPicPr/>
                  </pic:nvPicPr>
                  <pic:blipFill>
                    <a:blip r:embed="rId9"/>
                    <a:stretch>
                      <a:fillRect/>
                    </a:stretch>
                  </pic:blipFill>
                  <pic:spPr>
                    <a:xfrm>
                      <a:off x="0" y="0"/>
                      <a:ext cx="4320000" cy="2434909"/>
                    </a:xfrm>
                    <a:prstGeom prst="rect"/>
                  </pic:spPr>
                </pic:pic>
              </a:graphicData>
            </a:graphic>
          </wp:inline>
        </w:drawing>
      </w:r>
    </w:p>
    <w:p>
      <w:pPr>
        <w:spacing w:lineRule="exact" w:line="320" w:before="0" w:after="120"/>
        <w:jc w:val="center"/>
      </w:pPr>
      <w:r>
        <w:rPr>
          <w:rFonts w:ascii="Times New Roman" w:hAnsi="Times New Roman" w:eastAsia="宋体"/>
          <w:b w:val="0"/>
          <w:i w:val="0"/>
          <w:sz w:val="18"/>
        </w:rPr>
        <w:t>图1 颌骨骨髓炎病理过程与复核边界概念图</w:t>
      </w:r>
    </w:p>
    <w:p>
      <w:pPr>
        <w:spacing w:lineRule="exact" w:line="320" w:before="0" w:after="120"/>
        <w:jc w:val="center"/>
      </w:pPr>
      <w:r>
        <w:rPr>
          <w:rFonts w:ascii="Times New Roman" w:hAnsi="Times New Roman" w:eastAsia="宋体"/>
          <w:b w:val="0"/>
          <w:i/>
          <w:color w:val="555555"/>
          <w:sz w:val="18"/>
        </w:rPr>
        <w:t>Fig 1 颌骨骨髓炎病理过程与复核边界概念图。结构信息、荧光相关信号、风险提示和医生复核共同组成平台的辅助判读层。图示用于说明研发验证的软件工作框架，未使用患者病理图像或病理边界标注。</w:t>
      </w:r>
    </w:p>
    <w:p>
      <w:pPr>
        <w:spacing w:lineRule="exact" w:line="320" w:before="120" w:after="60"/>
        <w:jc w:val="left"/>
        <w:ind w:firstLineChars="200" w:firstLine="480"/>
      </w:pPr>
      <w:r>
        <w:rPr>
          <w:rFonts w:ascii="Times New Roman" w:hAnsi="Times New Roman" w:eastAsia="仿宋_GB2312"/>
          <w:b/>
          <w:i w:val="0"/>
          <w:sz w:val="24"/>
        </w:rPr>
        <w:t>（二）荧光显微成像的信息价值</w:t>
      </w:r>
    </w:p>
    <w:p>
      <w:pPr>
        <w:spacing w:lineRule="exact" w:line="320" w:before="0" w:after="0"/>
        <w:jc w:val="both"/>
        <w:ind w:firstLineChars="200" w:firstLine="420"/>
      </w:pPr>
      <w:r>
        <w:rPr>
          <w:rFonts w:ascii="Times New Roman" w:hAnsi="Times New Roman" w:eastAsia="宋体"/>
          <w:b w:val="0"/>
          <w:i w:val="0"/>
          <w:sz w:val="21"/>
        </w:rPr>
        <w:t>赛题官方技术资料确认，荧光手术显微镜可形成 4K 影像，图片以 JPEG 保存、视频以 MP4 保存；显微成像支持约 1.3 倍至 17 倍放大、约 200 mm 至 630 mm 工作距离。官方资料描述 ICG 的近红外成像窗口为约 750 nm 至 810 nm 激发、约 830 nm 发射，并用于术中血流和灌注相关可视化。</w:t>
      </w:r>
    </w:p>
    <w:p>
      <w:pPr>
        <w:spacing w:lineRule="exact" w:line="320" w:before="0" w:after="0"/>
        <w:jc w:val="both"/>
        <w:ind w:firstLineChars="200" w:firstLine="420"/>
      </w:pPr>
      <w:r>
        <w:rPr>
          <w:rFonts w:ascii="Times New Roman" w:hAnsi="Times New Roman" w:eastAsia="宋体"/>
          <w:b w:val="0"/>
          <w:i w:val="0"/>
          <w:sz w:val="21"/>
        </w:rPr>
        <w:t>白光图像能够保留术野结构、器械、骨面形态和软组织上下文；ICG 荧光可提供与灌注、血管通透性和组织活性相关的相对信号。二者结合，为医生增加一个可量化、可回放的术野参考层。ICG 对颌骨骨髓炎缺乏特异性结合，炎症充血、水肿、操作过程、给药时相、曝光与组织深度均可能影响信号表现。因此，荧光高低不能独立解释为病灶性质或切除边界。</w:t>
      </w:r>
    </w:p>
    <w:p>
      <w:pPr>
        <w:spacing w:lineRule="exact" w:line="320" w:before="0" w:after="0"/>
        <w:jc w:val="both"/>
        <w:ind w:firstLineChars="200" w:firstLine="420"/>
      </w:pPr>
      <w:r>
        <w:rPr>
          <w:rFonts w:ascii="Times New Roman" w:hAnsi="Times New Roman" w:eastAsia="宋体"/>
          <w:b w:val="0"/>
          <w:i w:val="0"/>
          <w:sz w:val="21"/>
        </w:rPr>
        <w:t>本项目以“信号辅助、质量门控、医生复核”为基本原则：先核验输入可用性、通道关系和几何条件，再呈现配准融合、候选区、风险与不确定性；当证据不足或质量门未通过时，保留原始影像及失败原因，并降低空间叠加和定量结果的解释等级。</w:t>
      </w:r>
    </w:p>
    <w:p>
      <w:pPr>
        <w:spacing w:lineRule="exact" w:line="320" w:before="120" w:after="60"/>
        <w:jc w:val="left"/>
        <w:ind w:firstLineChars="200" w:firstLine="480"/>
      </w:pPr>
      <w:r>
        <w:rPr>
          <w:rFonts w:ascii="Times New Roman" w:hAnsi="Times New Roman" w:eastAsia="仿宋_GB2312"/>
          <w:b/>
          <w:i w:val="0"/>
          <w:sz w:val="24"/>
        </w:rPr>
        <w:t>（三）现有工作流的工程缺口</w:t>
      </w:r>
    </w:p>
    <w:p>
      <w:pPr>
        <w:spacing w:lineRule="exact" w:line="320" w:before="0" w:after="0"/>
        <w:jc w:val="both"/>
        <w:ind w:firstLineChars="200" w:firstLine="420"/>
      </w:pPr>
      <w:r>
        <w:rPr>
          <w:rFonts w:ascii="Times New Roman" w:hAnsi="Times New Roman" w:eastAsia="宋体"/>
          <w:b w:val="0"/>
          <w:i w:val="0"/>
          <w:sz w:val="21"/>
        </w:rPr>
        <w:t>术前 CBCT、CT、MRI、病理和实验室检查各有信息价值，术中仍需要将这些资料与持续变化的显微视野结合。常规白光观察和触诊具有直接性，难以稳定保存量化过程；单张荧光叠加图可加强视觉对照，缺少时间序列、输入质量与医生修改记录时，仍难支持术后回顾和模型迭代。</w:t>
      </w:r>
    </w:p>
    <w:p>
      <w:pPr>
        <w:spacing w:lineRule="exact" w:line="320" w:before="0" w:after="0"/>
        <w:jc w:val="both"/>
        <w:ind w:firstLineChars="200" w:firstLine="420"/>
      </w:pPr>
      <w:r>
        <w:rPr>
          <w:rFonts w:ascii="Times New Roman" w:hAnsi="Times New Roman" w:eastAsia="宋体"/>
          <w:b w:val="0"/>
          <w:i w:val="0"/>
          <w:sz w:val="21"/>
        </w:rPr>
        <w:t>面向评审与后续转化，平台需要解决以下工程缺口：</w:t>
      </w:r>
    </w:p>
    <w:tbl>
      <w:tblPr>
        <w:tblW w:type="auto" w:w="0"/>
        <w:jc w:val="center"/>
        <w:tblLayout w:type="autofit"/>
        <w:tblLook w:firstColumn="1" w:firstRow="1" w:lastColumn="0" w:lastRow="0" w:noHBand="0" w:noVBand="1" w:val="04A0"/>
      </w:tblPr>
      <w:tblGrid>
        <w:gridCol w:w="3213"/>
        <w:gridCol w:w="3213"/>
        <w:gridCol w:w="3213"/>
      </w:tblGrid>
      <w:tr>
        <w:tc>
          <w:tcPr>
            <w:tcW w:type="dxa" w:w="3213"/>
            <w:tcBorders>
              <w:top w:val="single" w:sz="6" w:color="000000"/>
              <w:bottom w:val="single" w:sz="6" w:color="000000"/>
              <w:left w:val="nil"/>
              <w:right w:val="nil"/>
              <w:insideH w:val="single" w:sz="6" w:color="000000"/>
              <w:insideV w:val="nil"/>
            </w:tcBorders>
          </w:tcPr>
          <w:p>
            <w:pPr>
              <w:spacing w:lineRule="exact" w:line="320"/>
              <w:jc w:val="center"/>
            </w:pPr>
            <w:r/>
            <w:r>
              <w:rPr>
                <w:rFonts w:ascii="Times New Roman" w:hAnsi="Times New Roman" w:eastAsia="宋体"/>
                <w:b/>
                <w:i w:val="0"/>
                <w:sz w:val="18"/>
              </w:rPr>
              <w:t>需求</w:t>
            </w:r>
          </w:p>
        </w:tc>
        <w:tc>
          <w:tcPr>
            <w:tcW w:type="dxa" w:w="3213"/>
            <w:tcBorders>
              <w:top w:val="single" w:sz="6" w:color="000000"/>
              <w:bottom w:val="single" w:sz="6" w:color="000000"/>
              <w:left w:val="nil"/>
              <w:right w:val="nil"/>
              <w:insideH w:val="single" w:sz="6" w:color="000000"/>
              <w:insideV w:val="nil"/>
            </w:tcBorders>
          </w:tcPr>
          <w:p>
            <w:pPr>
              <w:spacing w:lineRule="exact" w:line="320"/>
              <w:jc w:val="center"/>
            </w:pPr>
            <w:r/>
            <w:r>
              <w:rPr>
                <w:rFonts w:ascii="Times New Roman" w:hAnsi="Times New Roman" w:eastAsia="宋体"/>
                <w:b/>
                <w:i w:val="0"/>
                <w:sz w:val="18"/>
              </w:rPr>
              <w:t>平台响应</w:t>
            </w:r>
          </w:p>
        </w:tc>
        <w:tc>
          <w:tcPr>
            <w:tcW w:type="dxa" w:w="3213"/>
            <w:tcBorders>
              <w:top w:val="single" w:sz="6" w:color="000000"/>
              <w:bottom w:val="single" w:sz="6" w:color="000000"/>
              <w:left w:val="nil"/>
              <w:right w:val="nil"/>
              <w:insideH w:val="single" w:sz="6" w:color="000000"/>
              <w:insideV w:val="nil"/>
            </w:tcBorders>
          </w:tcPr>
          <w:p>
            <w:pPr>
              <w:spacing w:lineRule="exact" w:line="320"/>
              <w:jc w:val="center"/>
            </w:pPr>
            <w:r/>
            <w:r>
              <w:rPr>
                <w:rFonts w:ascii="Times New Roman" w:hAnsi="Times New Roman" w:eastAsia="宋体"/>
                <w:b/>
                <w:i w:val="0"/>
                <w:sz w:val="18"/>
              </w:rPr>
              <w:t>安全边界</w:t>
            </w:r>
          </w:p>
        </w:tc>
      </w:tr>
      <w:tr>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文件化术中信息进入软件</w:t>
            </w:r>
          </w:p>
        </w:tc>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支持官方 JPEG 与 MP4 输入，保留来源、可解码性、通道关系与时间信息</w:t>
            </w:r>
          </w:p>
        </w:tc>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设备驱动、厂商接口与实时硬件采集由设备侧负责</w:t>
            </w:r>
          </w:p>
        </w:tc>
      </w:tr>
      <w:tr>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白光与荧光的可检查对照</w:t>
            </w:r>
          </w:p>
        </w:tc>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提供配准、归一化、伪彩、叠加、ROI 量化与质量状态</w:t>
            </w:r>
          </w:p>
        </w:tc>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配准失败时停止高风险空间解释</w:t>
            </w:r>
          </w:p>
        </w:tc>
      </w:tr>
      <w:tr>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视频序列的连续证据</w:t>
            </w:r>
          </w:p>
        </w:tc>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支持原始播放、关键帧分析和串行连续帧分析</w:t>
            </w:r>
          </w:p>
        </w:tc>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明确区分关键帧结果与连续帧处理节奏</w:t>
            </w:r>
          </w:p>
        </w:tc>
      </w:tr>
      <w:tr>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模型输出的可控使用</w:t>
            </w:r>
          </w:p>
        </w:tc>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提供候选区、风险提示、不确定性与人工修改入口</w:t>
            </w:r>
          </w:p>
        </w:tc>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候选结果需医生复核，不能替代临床判断</w:t>
            </w:r>
          </w:p>
        </w:tc>
      </w:tr>
      <w:tr>
        <w:tc>
          <w:tcPr>
            <w:tcW w:type="dxa" w:w="3213"/>
            <w:tcBorders>
              <w:top w:val="nil"/>
              <w:bottom w:val="single" w:sz="6" w:color="000000"/>
              <w:left w:val="nil"/>
              <w:right w:val="nil"/>
              <w:insideH w:val="nil"/>
              <w:insideV w:val="nil"/>
            </w:tcBorders>
          </w:tcPr>
          <w:p>
            <w:pPr>
              <w:spacing w:lineRule="exact" w:line="320"/>
              <w:jc w:val="left"/>
            </w:pPr>
            <w:r/>
            <w:r>
              <w:rPr>
                <w:rFonts w:ascii="Times New Roman" w:hAnsi="Times New Roman" w:eastAsia="宋体"/>
                <w:b w:val="0"/>
                <w:i w:val="0"/>
                <w:sz w:val="18"/>
              </w:rPr>
              <w:t>术后可追溯回顾</w:t>
            </w:r>
          </w:p>
        </w:tc>
        <w:tc>
          <w:tcPr>
            <w:tcW w:type="dxa" w:w="3213"/>
            <w:tcBorders>
              <w:top w:val="nil"/>
              <w:bottom w:val="single" w:sz="6" w:color="000000"/>
              <w:left w:val="nil"/>
              <w:right w:val="nil"/>
              <w:insideH w:val="nil"/>
              <w:insideV w:val="nil"/>
            </w:tcBorders>
          </w:tcPr>
          <w:p>
            <w:pPr>
              <w:spacing w:lineRule="exact" w:line="320"/>
              <w:jc w:val="left"/>
            </w:pPr>
            <w:r/>
            <w:r>
              <w:rPr>
                <w:rFonts w:ascii="Times New Roman" w:hAnsi="Times New Roman" w:eastAsia="宋体"/>
                <w:b w:val="0"/>
                <w:i w:val="0"/>
                <w:sz w:val="18"/>
              </w:rPr>
              <w:t>汇总关键画面、量化结果、复核状态与证据材料</w:t>
            </w:r>
          </w:p>
        </w:tc>
        <w:tc>
          <w:tcPr>
            <w:tcW w:type="dxa" w:w="3213"/>
            <w:tcBorders>
              <w:top w:val="nil"/>
              <w:bottom w:val="single" w:sz="6" w:color="000000"/>
              <w:left w:val="nil"/>
              <w:right w:val="nil"/>
              <w:insideH w:val="nil"/>
              <w:insideV w:val="nil"/>
            </w:tcBorders>
          </w:tcPr>
          <w:p>
            <w:pPr>
              <w:spacing w:lineRule="exact" w:line="320"/>
              <w:jc w:val="left"/>
            </w:pPr>
            <w:r/>
            <w:r>
              <w:rPr>
                <w:rFonts w:ascii="Times New Roman" w:hAnsi="Times New Roman" w:eastAsia="宋体"/>
                <w:b w:val="0"/>
                <w:i w:val="0"/>
                <w:sz w:val="18"/>
              </w:rPr>
              <w:t>公开代理与真实目标域数据分层管理</w:t>
            </w:r>
          </w:p>
        </w:tc>
      </w:tr>
    </w:tbl>
    <w:p>
      <w:pPr>
        <w:spacing w:lineRule="exact" w:line="320" w:before="0" w:after="60"/>
      </w:pPr>
    </w:p>
    <w:p>
      <w:pPr>
        <w:spacing w:lineRule="exact" w:line="320" w:before="120" w:after="60"/>
        <w:jc w:val="left"/>
        <w:ind w:firstLineChars="200" w:firstLine="480"/>
      </w:pPr>
      <w:r>
        <w:rPr>
          <w:rFonts w:ascii="Times New Roman" w:hAnsi="Times New Roman" w:eastAsia="仿宋_GB2312"/>
          <w:b/>
          <w:i w:val="0"/>
          <w:sz w:val="24"/>
        </w:rPr>
        <w:t>（四）数据现状与项目切入点</w:t>
      </w:r>
    </w:p>
    <w:p>
      <w:pPr>
        <w:spacing w:lineRule="exact" w:line="320" w:before="0" w:after="0"/>
        <w:jc w:val="both"/>
        <w:ind w:firstLineChars="200" w:firstLine="420"/>
      </w:pPr>
      <w:r>
        <w:rPr>
          <w:rFonts w:ascii="Times New Roman" w:hAnsi="Times New Roman" w:eastAsia="宋体"/>
          <w:b w:val="0"/>
          <w:i w:val="0"/>
          <w:sz w:val="21"/>
        </w:rPr>
        <w:t>当前已建立公开荧光代理、公开近域视频、公开人体 ICG 视频、颌面解剖与数字仿体等分层资源，用于验证文件处理、融合、时序分析、模型工程、三维参考和医生复核流程。默认视频展示采用公开离体荧光手术代理，静态展示采用公开人体 ICG 骨移植视频关键帧；两类资产均明确标注为非目标域工程材料。</w:t>
      </w:r>
    </w:p>
    <w:p>
      <w:pPr>
        <w:spacing w:lineRule="exact" w:line="320" w:before="0" w:after="0"/>
        <w:jc w:val="both"/>
        <w:ind w:firstLineChars="200" w:firstLine="420"/>
      </w:pPr>
      <w:r>
        <w:rPr>
          <w:rFonts w:ascii="Times New Roman" w:hAnsi="Times New Roman" w:eastAsia="宋体"/>
          <w:b w:val="0"/>
          <w:i w:val="0"/>
          <w:sz w:val="21"/>
        </w:rPr>
        <w:t>截至本次基线核对，真实术中 ICG 颌骨骨髓炎记录和训练准入记录均为零。公开代理、近域资料、合成输入、数字仿体和伪标注可用于工程验证与候选模型开发，不能外推为真实颌骨骨髓炎的临床诊断性能、患者获益或手术结局。</w:t>
      </w:r>
    </w:p>
    <w:p>
      <w:pPr>
        <w:spacing w:lineRule="exact" w:line="320" w:before="0" w:after="0"/>
        <w:jc w:val="both"/>
        <w:ind w:firstLineChars="200" w:firstLine="420"/>
      </w:pPr>
      <w:r>
        <w:rPr>
          <w:rFonts w:ascii="Times New Roman" w:hAnsi="Times New Roman" w:eastAsia="宋体"/>
          <w:b w:val="0"/>
          <w:i w:val="0"/>
          <w:sz w:val="21"/>
        </w:rPr>
        <w:t>项目的切入价值在于，在目标域真实数据尚待积累的阶段，先建立可运行的文件准入、4K 图像与视频处理、多通道质量控制、AI 辅助提示、医生复核和证据回顾平台。未来经授权、脱敏、准入和医生复核的目标域数据可沿用同一安全链路进入持续验证；候选造影剂、融合方法和模型能力也将以分级证据逐步提升。</w:t>
      </w:r>
    </w:p>
    <w:p>
      <w:pPr>
        <w:spacing w:lineRule="exact" w:line="320" w:before="240" w:after="120"/>
        <w:jc w:val="center"/>
      </w:pPr>
      <w:r>
        <w:rPr>
          <w:rFonts w:ascii="Times New Roman" w:hAnsi="Times New Roman" w:eastAsia="黑体"/>
          <w:b/>
          <w:i w:val="0"/>
          <w:sz w:val="28"/>
        </w:rPr>
        <w:t>二、第 2 章 总体技术方案设计</w:t>
      </w:r>
    </w:p>
    <w:p>
      <w:pPr>
        <w:spacing w:lineRule="exact" w:line="320" w:before="120" w:after="120"/>
      </w:pPr>
    </w:p>
    <w:p>
      <w:pPr>
        <w:spacing w:lineRule="exact" w:line="320" w:before="120" w:after="60"/>
        <w:jc w:val="left"/>
        <w:ind w:firstLineChars="200" w:firstLine="480"/>
      </w:pPr>
      <w:r>
        <w:rPr>
          <w:rFonts w:ascii="Times New Roman" w:hAnsi="Times New Roman" w:eastAsia="仿宋_GB2312"/>
          <w:b/>
          <w:i w:val="0"/>
          <w:sz w:val="24"/>
        </w:rPr>
        <w:t>（一）总体方案与赛题对应</w:t>
      </w:r>
    </w:p>
    <w:p>
      <w:pPr>
        <w:spacing w:lineRule="exact" w:line="320" w:before="0" w:after="0"/>
        <w:jc w:val="both"/>
        <w:ind w:firstLineChars="200" w:firstLine="420"/>
      </w:pPr>
      <w:r>
        <w:rPr>
          <w:rFonts w:ascii="Times New Roman" w:hAnsi="Times New Roman" w:eastAsia="宋体"/>
          <w:b w:val="0"/>
          <w:i w:val="0"/>
          <w:sz w:val="21"/>
        </w:rPr>
        <w:t>本项目围绕“新型荧光造影剂设计、多模态医学图像融合与处理、AI 辅助显微成像判读”三项核心要求，构建“术前数字化准备—术中多通道分析与医生复核—术后证据回顾”的平台软件闭环。平台以官方确认的 4K JPEG 和 MP4 文件为主要输入边界，采用设备解耦的方式接收可用元数据，形成可扩展的工程基础。</w:t>
      </w:r>
    </w:p>
    <w:tbl>
      <w:tblPr>
        <w:tblW w:type="auto" w:w="0"/>
        <w:jc w:val="center"/>
        <w:tblLayout w:type="autofit"/>
        <w:tblLook w:firstColumn="1" w:firstRow="1" w:lastColumn="0" w:lastRow="0" w:noHBand="0" w:noVBand="1" w:val="04A0"/>
      </w:tblPr>
      <w:tblGrid>
        <w:gridCol w:w="3213"/>
        <w:gridCol w:w="3213"/>
        <w:gridCol w:w="3213"/>
      </w:tblGrid>
      <w:tr>
        <w:tc>
          <w:tcPr>
            <w:tcW w:type="dxa" w:w="3213"/>
            <w:tcBorders>
              <w:top w:val="single" w:sz="6" w:color="000000"/>
              <w:bottom w:val="single" w:sz="6" w:color="000000"/>
              <w:left w:val="nil"/>
              <w:right w:val="nil"/>
              <w:insideH w:val="single" w:sz="6" w:color="000000"/>
              <w:insideV w:val="nil"/>
            </w:tcBorders>
          </w:tcPr>
          <w:p>
            <w:pPr>
              <w:spacing w:lineRule="exact" w:line="320"/>
              <w:jc w:val="center"/>
            </w:pPr>
            <w:r/>
            <w:r>
              <w:rPr>
                <w:rFonts w:ascii="Times New Roman" w:hAnsi="Times New Roman" w:eastAsia="宋体"/>
                <w:b/>
                <w:i w:val="0"/>
                <w:sz w:val="18"/>
              </w:rPr>
              <w:t>赛题核心要求</w:t>
            </w:r>
          </w:p>
        </w:tc>
        <w:tc>
          <w:tcPr>
            <w:tcW w:type="dxa" w:w="3213"/>
            <w:tcBorders>
              <w:top w:val="single" w:sz="6" w:color="000000"/>
              <w:bottom w:val="single" w:sz="6" w:color="000000"/>
              <w:left w:val="nil"/>
              <w:right w:val="nil"/>
              <w:insideH w:val="single" w:sz="6" w:color="000000"/>
              <w:insideV w:val="nil"/>
            </w:tcBorders>
          </w:tcPr>
          <w:p>
            <w:pPr>
              <w:spacing w:lineRule="exact" w:line="320"/>
              <w:jc w:val="center"/>
            </w:pPr>
            <w:r/>
            <w:r>
              <w:rPr>
                <w:rFonts w:ascii="Times New Roman" w:hAnsi="Times New Roman" w:eastAsia="宋体"/>
                <w:b/>
                <w:i w:val="0"/>
                <w:sz w:val="18"/>
              </w:rPr>
              <w:t>方案响应</w:t>
            </w:r>
          </w:p>
        </w:tc>
        <w:tc>
          <w:tcPr>
            <w:tcW w:type="dxa" w:w="3213"/>
            <w:tcBorders>
              <w:top w:val="single" w:sz="6" w:color="000000"/>
              <w:bottom w:val="single" w:sz="6" w:color="000000"/>
              <w:left w:val="nil"/>
              <w:right w:val="nil"/>
              <w:insideH w:val="single" w:sz="6" w:color="000000"/>
              <w:insideV w:val="nil"/>
            </w:tcBorders>
          </w:tcPr>
          <w:p>
            <w:pPr>
              <w:spacing w:lineRule="exact" w:line="320"/>
              <w:jc w:val="center"/>
            </w:pPr>
            <w:r/>
            <w:r>
              <w:rPr>
                <w:rFonts w:ascii="Times New Roman" w:hAnsi="Times New Roman" w:eastAsia="宋体"/>
                <w:b/>
                <w:i w:val="0"/>
                <w:sz w:val="18"/>
              </w:rPr>
              <w:t>当前可核验范围</w:t>
            </w:r>
          </w:p>
        </w:tc>
      </w:tr>
      <w:tr>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新型荧光造影剂设计</w:t>
            </w:r>
          </w:p>
        </w:tc>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以 ICG 灌注信号为成像基线，提出骨亲和、感染识别与近红外发光协同的模块化候选路线</w:t>
            </w:r>
          </w:p>
        </w:tc>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文献证据、光谱适配分析与分级验证方案</w:t>
            </w:r>
          </w:p>
        </w:tc>
      </w:tr>
      <w:tr>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多模态图像融合与处理</w:t>
            </w:r>
          </w:p>
        </w:tc>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对白光、原始荧光与设备叠加信息进行配准、伪彩、融合、定量与质量控制</w:t>
            </w:r>
          </w:p>
        </w:tc>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4K JPEG 成对分析、视频关键帧与多通道视频工程流程</w:t>
            </w:r>
          </w:p>
        </w:tc>
      </w:tr>
      <w:tr>
        <w:tc>
          <w:tcPr>
            <w:tcW w:type="dxa" w:w="3213"/>
            <w:tcBorders>
              <w:top w:val="nil"/>
              <w:bottom w:val="single" w:sz="6" w:color="000000"/>
              <w:left w:val="nil"/>
              <w:right w:val="nil"/>
              <w:insideH w:val="nil"/>
              <w:insideV w:val="nil"/>
            </w:tcBorders>
          </w:tcPr>
          <w:p>
            <w:pPr>
              <w:spacing w:lineRule="exact" w:line="320"/>
              <w:jc w:val="left"/>
            </w:pPr>
            <w:r/>
            <w:r>
              <w:rPr>
                <w:rFonts w:ascii="Times New Roman" w:hAnsi="Times New Roman" w:eastAsia="宋体"/>
                <w:b w:val="0"/>
                <w:i w:val="0"/>
                <w:sz w:val="18"/>
              </w:rPr>
              <w:t>AI 辅助显微判读</w:t>
            </w:r>
          </w:p>
        </w:tc>
        <w:tc>
          <w:tcPr>
            <w:tcW w:type="dxa" w:w="3213"/>
            <w:tcBorders>
              <w:top w:val="nil"/>
              <w:bottom w:val="single" w:sz="6" w:color="000000"/>
              <w:left w:val="nil"/>
              <w:right w:val="nil"/>
              <w:insideH w:val="nil"/>
              <w:insideV w:val="nil"/>
            </w:tcBorders>
          </w:tcPr>
          <w:p>
            <w:pPr>
              <w:spacing w:lineRule="exact" w:line="320"/>
              <w:jc w:val="left"/>
            </w:pPr>
            <w:r/>
            <w:r>
              <w:rPr>
                <w:rFonts w:ascii="Times New Roman" w:hAnsi="Times New Roman" w:eastAsia="宋体"/>
                <w:b w:val="0"/>
                <w:i w:val="0"/>
                <w:sz w:val="18"/>
              </w:rPr>
              <w:t>输出荧光信号候选、边界风险和不确定性提示，并接入医生标注与复核</w:t>
            </w:r>
          </w:p>
        </w:tc>
        <w:tc>
          <w:tcPr>
            <w:tcW w:type="dxa" w:w="3213"/>
            <w:tcBorders>
              <w:top w:val="nil"/>
              <w:bottom w:val="single" w:sz="6" w:color="000000"/>
              <w:left w:val="nil"/>
              <w:right w:val="nil"/>
              <w:insideH w:val="nil"/>
              <w:insideV w:val="nil"/>
            </w:tcBorders>
          </w:tcPr>
          <w:p>
            <w:pPr>
              <w:spacing w:lineRule="exact" w:line="320"/>
              <w:jc w:val="left"/>
            </w:pPr>
            <w:r/>
            <w:r>
              <w:rPr>
                <w:rFonts w:ascii="Times New Roman" w:hAnsi="Times New Roman" w:eastAsia="宋体"/>
                <w:b w:val="0"/>
                <w:i w:val="0"/>
                <w:sz w:val="18"/>
              </w:rPr>
              <w:t>公开代理数据上的工程验证与可运行复核闭环</w:t>
            </w:r>
          </w:p>
        </w:tc>
      </w:tr>
    </w:tbl>
    <w:p>
      <w:pPr>
        <w:spacing w:lineRule="exact" w:line="320" w:before="0" w:after="60"/>
      </w:pPr>
    </w:p>
    <w:p>
      <w:pPr>
        <w:spacing w:lineRule="exact" w:line="320" w:before="0" w:after="0"/>
        <w:jc w:val="both"/>
        <w:ind w:firstLineChars="200" w:firstLine="420"/>
      </w:pPr>
      <w:r>
        <w:rPr>
          <w:rFonts w:ascii="Times New Roman" w:hAnsi="Times New Roman" w:eastAsia="宋体"/>
          <w:b w:val="0"/>
          <w:i w:val="0"/>
          <w:sz w:val="21"/>
        </w:rPr>
        <w:t>平台采用分层安全策略。文件准入、数据域标注、通道同步和配准质量决定后续分析的可用范围；模型候选、患者条件信息、骨活性分层与三维参考均以医生复核和安全回退为前提。任一环节证据不足时，系统保留原始影像与可读原因，回退至更低风险的图像基础参考。</w:t>
      </w:r>
    </w:p>
    <w:p>
      <w:pPr>
        <w:spacing w:lineRule="exact" w:line="320"/>
        <w:jc w:val="center"/>
      </w:pPr>
      <w:r>
        <w:drawing>
          <wp:inline xmlns:a="http://schemas.openxmlformats.org/drawingml/2006/main" xmlns:pic="http://schemas.openxmlformats.org/drawingml/2006/picture">
            <wp:extent cx="4320000" cy="2434909"/>
            <wp:docPr id="2" name="Picture 2"/>
            <wp:cNvGraphicFramePr>
              <a:graphicFrameLocks noChangeAspect="1"/>
            </wp:cNvGraphicFramePr>
            <a:graphic>
              <a:graphicData uri="http://schemas.openxmlformats.org/drawingml/2006/picture">
                <pic:pic>
                  <pic:nvPicPr>
                    <pic:cNvPr id="0" name="fig_02_system_architecture.png"/>
                    <pic:cNvPicPr/>
                  </pic:nvPicPr>
                  <pic:blipFill>
                    <a:blip r:embed="rId10"/>
                    <a:stretch>
                      <a:fillRect/>
                    </a:stretch>
                  </pic:blipFill>
                  <pic:spPr>
                    <a:xfrm>
                      <a:off x="0" y="0"/>
                      <a:ext cx="4320000" cy="2434909"/>
                    </a:xfrm>
                    <a:prstGeom prst="rect"/>
                  </pic:spPr>
                </pic:pic>
              </a:graphicData>
            </a:graphic>
          </wp:inline>
        </w:drawing>
      </w:r>
    </w:p>
    <w:p>
      <w:pPr>
        <w:spacing w:lineRule="exact" w:line="320" w:before="0" w:after="120"/>
        <w:jc w:val="center"/>
      </w:pPr>
      <w:r>
        <w:rPr>
          <w:rFonts w:ascii="Times New Roman" w:hAnsi="Times New Roman" w:eastAsia="宋体"/>
          <w:b w:val="0"/>
          <w:i w:val="0"/>
          <w:sz w:val="18"/>
        </w:rPr>
        <w:t>图2 荧光-三维证据闭环平台总体架构</w:t>
      </w:r>
    </w:p>
    <w:p>
      <w:pPr>
        <w:spacing w:lineRule="exact" w:line="320" w:before="0" w:after="120"/>
        <w:jc w:val="center"/>
      </w:pPr>
      <w:r>
        <w:rPr>
          <w:rFonts w:ascii="Times New Roman" w:hAnsi="Times New Roman" w:eastAsia="宋体"/>
          <w:b w:val="0"/>
          <w:i/>
          <w:color w:val="555555"/>
          <w:sz w:val="18"/>
        </w:rPr>
        <w:t>Fig 2 荧光-三维证据闭环平台总体架构。平台将文件输入、融合处理、AI 辅助、医生复核与结构化输出串联；空间证据条件不足时，三维内容保持未配准参考状态。</w:t>
      </w:r>
    </w:p>
    <w:p>
      <w:pPr>
        <w:spacing w:lineRule="exact" w:line="320" w:before="120" w:after="60"/>
        <w:jc w:val="left"/>
        <w:ind w:firstLineChars="200" w:firstLine="480"/>
      </w:pPr>
      <w:r>
        <w:rPr>
          <w:rFonts w:ascii="Times New Roman" w:hAnsi="Times New Roman" w:eastAsia="仿宋_GB2312"/>
          <w:b/>
          <w:i w:val="0"/>
          <w:sz w:val="24"/>
        </w:rPr>
        <w:t>（二）三层平台架构</w:t>
      </w:r>
    </w:p>
    <w:p>
      <w:pPr>
        <w:spacing w:lineRule="exact" w:line="320" w:before="60" w:after="40"/>
        <w:jc w:val="left"/>
        <w:ind w:firstLineChars="200" w:firstLine="420"/>
      </w:pPr>
      <w:r>
        <w:rPr>
          <w:rFonts w:ascii="Times New Roman" w:hAnsi="Times New Roman" w:eastAsia="宋体"/>
          <w:b/>
          <w:i w:val="0"/>
          <w:sz w:val="21"/>
        </w:rPr>
        <w:t>1．荧光分析层</w:t>
      </w:r>
    </w:p>
    <w:p>
      <w:pPr>
        <w:spacing w:lineRule="exact" w:line="320" w:before="0" w:after="0"/>
        <w:jc w:val="both"/>
        <w:ind w:firstLineChars="200" w:firstLine="420"/>
      </w:pPr>
      <w:r>
        <w:rPr>
          <w:rFonts w:ascii="Times New Roman" w:hAnsi="Times New Roman" w:eastAsia="宋体"/>
          <w:b w:val="0"/>
          <w:i w:val="0"/>
          <w:sz w:val="21"/>
        </w:rPr>
        <w:t>荧光分析层承担影像进入软件后的基础处理任务。对于白光与荧光成对 JPEG，平台完成几何一致性检查、荧光背景处理、空间配准、强度归一化、伪彩显示、融合叠加、ROI 量化和质量状态记录。对于 MP4，平台提供原始播放、关键帧分析与串行连续帧分析；视频分析将处理时刻、最近结果帧和刷新类型同步呈现，避免把关键帧分析误解为逐帧实时判断。</w:t>
      </w:r>
    </w:p>
    <w:p>
      <w:pPr>
        <w:spacing w:lineRule="exact" w:line="320" w:before="0" w:after="0"/>
        <w:jc w:val="both"/>
        <w:ind w:firstLineChars="200" w:firstLine="420"/>
      </w:pPr>
      <w:r>
        <w:rPr>
          <w:rFonts w:ascii="Times New Roman" w:hAnsi="Times New Roman" w:eastAsia="宋体"/>
          <w:b w:val="0"/>
          <w:i w:val="0"/>
          <w:sz w:val="21"/>
        </w:rPr>
        <w:t>官方资料后续确认可获得原彩图、荧光图和设备叠加图三类输出时，平台将原彩图与原始荧光图作为分析主体，设备叠加图用于显示参照和一致性核对。三路材料可围绕分辨率、时间关系、几何一致性和叠加差异开展质量检查。倍率、工作距离、相机标定与位姿等信息可由文件伴随信息或人工录入提供；相关信息缺失时，物理量换算和空间解释保持待复核，文件级分析仍可继续。</w:t>
      </w:r>
    </w:p>
    <w:p>
      <w:pPr>
        <w:spacing w:lineRule="exact" w:line="320" w:before="60" w:after="40"/>
        <w:jc w:val="left"/>
        <w:ind w:firstLineChars="200" w:firstLine="420"/>
      </w:pPr>
      <w:r>
        <w:rPr>
          <w:rFonts w:ascii="Times New Roman" w:hAnsi="Times New Roman" w:eastAsia="宋体"/>
          <w:b/>
          <w:i w:val="0"/>
          <w:sz w:val="21"/>
        </w:rPr>
        <w:t>2．AI 与医生交互判读层</w:t>
      </w:r>
    </w:p>
    <w:p>
      <w:pPr>
        <w:spacing w:lineRule="exact" w:line="320" w:before="0" w:after="0"/>
        <w:jc w:val="both"/>
        <w:ind w:firstLineChars="200" w:firstLine="420"/>
      </w:pPr>
      <w:r>
        <w:rPr>
          <w:rFonts w:ascii="Times New Roman" w:hAnsi="Times New Roman" w:eastAsia="宋体"/>
          <w:b w:val="0"/>
          <w:i w:val="0"/>
          <w:sz w:val="21"/>
        </w:rPr>
        <w:t>AI 判读层的第一阶段任务定位为视频信号分割，面向暴露区域、荧光或灌注信号、边界风险与不确定性提供组合提示。平台将结果组织为骨面门控、荧光信号、风险和不确定性四类图层。其中骨面门控依赖医生 ROI 或提示辅助复核；未获得相应复核时，该图层保持待复核或不可用状态。</w:t>
      </w:r>
    </w:p>
    <w:p>
      <w:pPr>
        <w:spacing w:lineRule="exact" w:line="320" w:before="0" w:after="0"/>
        <w:jc w:val="both"/>
        <w:ind w:firstLineChars="200" w:firstLine="420"/>
      </w:pPr>
      <w:r>
        <w:rPr>
          <w:rFonts w:ascii="Times New Roman" w:hAnsi="Times New Roman" w:eastAsia="宋体"/>
          <w:b w:val="0"/>
          <w:i w:val="0"/>
          <w:sz w:val="21"/>
        </w:rPr>
        <w:t>医生复核界面支持像素级修改、画笔、橡皮擦、多边形、缩放、撤销与重做、草稿、提交复核和版本回看。医生可接受、修改或驳回候选结果，形成模型提示到人工意见的可追溯转换。经可信医生身份提交并完成复核的标注，才可作为后续训练准入评估对象；工程标注、草稿和未复核结果保持独立来源边界。</w:t>
      </w:r>
    </w:p>
    <w:p>
      <w:pPr>
        <w:spacing w:lineRule="exact" w:line="320" w:before="0" w:after="0"/>
        <w:jc w:val="both"/>
        <w:ind w:firstLineChars="200" w:firstLine="420"/>
      </w:pPr>
      <w:r>
        <w:rPr>
          <w:rFonts w:ascii="Times New Roman" w:hAnsi="Times New Roman" w:eastAsia="宋体"/>
          <w:b w:val="0"/>
          <w:i w:val="0"/>
          <w:sz w:val="21"/>
        </w:rPr>
        <w:t>患者年龄、性别、基础病、用药和血液指标已纳入受限条件信息链路。当前条件候选未达到安全门，运行时保持影像基础结果优先。骨活性分层可呈现低活性候选、过渡复核区、高活性参考、无法判断区和连续评分；其空间输出目前维持关闭，避免把代理数据结果外推为病理或手术结论。</w:t>
      </w:r>
    </w:p>
    <w:p>
      <w:pPr>
        <w:spacing w:lineRule="exact" w:line="320" w:before="60" w:after="40"/>
        <w:jc w:val="left"/>
        <w:ind w:firstLineChars="200" w:firstLine="420"/>
      </w:pPr>
      <w:r>
        <w:rPr>
          <w:rFonts w:ascii="Times New Roman" w:hAnsi="Times New Roman" w:eastAsia="宋体"/>
          <w:b/>
          <w:i w:val="0"/>
          <w:sz w:val="21"/>
        </w:rPr>
        <w:t>3．结果输出层</w:t>
      </w:r>
    </w:p>
    <w:p>
      <w:pPr>
        <w:spacing w:lineRule="exact" w:line="320" w:before="0" w:after="0"/>
        <w:jc w:val="both"/>
        <w:ind w:firstLineChars="200" w:firstLine="420"/>
      </w:pPr>
      <w:r>
        <w:rPr>
          <w:rFonts w:ascii="Times New Roman" w:hAnsi="Times New Roman" w:eastAsia="宋体"/>
          <w:b w:val="0"/>
          <w:i w:val="0"/>
          <w:sz w:val="21"/>
        </w:rPr>
        <w:t>结果输出层将关键截图、融合图、量化结果、候选与复核状态、质量标记、来源信息和运行记录汇总为病例证据。输出可覆盖结构化结果、量化表、可读报告、影像截图扩展与证据归档包，便于术后回顾、团队讨论和后续训练管理。</w:t>
      </w:r>
    </w:p>
    <w:p>
      <w:pPr>
        <w:spacing w:lineRule="exact" w:line="320" w:before="0" w:after="0"/>
        <w:jc w:val="both"/>
        <w:ind w:firstLineChars="200" w:firstLine="420"/>
      </w:pPr>
      <w:r>
        <w:rPr>
          <w:rFonts w:ascii="Times New Roman" w:hAnsi="Times New Roman" w:eastAsia="宋体"/>
          <w:b w:val="0"/>
          <w:i w:val="0"/>
          <w:sz w:val="21"/>
        </w:rPr>
        <w:t>输出中持续保留三类边界：第一，ICG 为灌注与组织活性相关信号，不构成颌骨骨髓炎特异性真值；第二，公开代理与目标域真实数据分别登记，工程指标不替代临床性能；第三，三维模块当前主展示为未配准参考，静态配准和离线位姿回放属于工程验证。</w:t>
      </w:r>
    </w:p>
    <w:p>
      <w:pPr>
        <w:spacing w:lineRule="exact" w:line="320" w:before="120" w:after="60"/>
        <w:jc w:val="left"/>
        <w:ind w:firstLineChars="200" w:firstLine="480"/>
      </w:pPr>
      <w:r>
        <w:rPr>
          <w:rFonts w:ascii="Times New Roman" w:hAnsi="Times New Roman" w:eastAsia="仿宋_GB2312"/>
          <w:b/>
          <w:i w:val="0"/>
          <w:sz w:val="24"/>
        </w:rPr>
        <w:t>（三）多通道视频工作流</w:t>
      </w:r>
    </w:p>
    <w:p>
      <w:pPr>
        <w:spacing w:lineRule="exact" w:line="320" w:before="0" w:after="0"/>
        <w:jc w:val="both"/>
        <w:ind w:firstLineChars="200" w:firstLine="420"/>
      </w:pPr>
      <w:r>
        <w:rPr>
          <w:rFonts w:ascii="Times New Roman" w:hAnsi="Times New Roman" w:eastAsia="宋体"/>
          <w:b w:val="0"/>
          <w:i w:val="0"/>
          <w:sz w:val="21"/>
        </w:rPr>
        <w:t>平台面向比赛展示和后续设备文件接入，支持三种互斥的视频工作流：单路 MP4、独立白光与荧光双路 MP4、以及原彩图、荧光图、设备叠加图组成的可选三路视频。多通道会话记录各通道角色、视频探测信息、时间偏移、共同有效区间、同步状态、关键帧配准证据和来源边界。</w:t>
      </w:r>
    </w:p>
    <w:tbl>
      <w:tblPr>
        <w:tblW w:type="auto" w:w="0"/>
        <w:jc w:val="center"/>
        <w:tblLayout w:type="autofit"/>
        <w:tblLook w:firstColumn="1" w:firstRow="1" w:lastColumn="0" w:lastRow="0" w:noHBand="0" w:noVBand="1" w:val="04A0"/>
      </w:tblPr>
      <w:tblGrid>
        <w:gridCol w:w="2409"/>
        <w:gridCol w:w="2409"/>
        <w:gridCol w:w="2409"/>
        <w:gridCol w:w="2409"/>
      </w:tblGrid>
      <w:tr>
        <w:tc>
          <w:tcPr>
            <w:tcW w:type="dxa" w:w="2409"/>
            <w:tcBorders>
              <w:top w:val="single" w:sz="6" w:color="000000"/>
              <w:bottom w:val="single" w:sz="6" w:color="000000"/>
              <w:left w:val="nil"/>
              <w:right w:val="nil"/>
              <w:insideH w:val="single" w:sz="6" w:color="000000"/>
              <w:insideV w:val="nil"/>
            </w:tcBorders>
          </w:tcPr>
          <w:p>
            <w:pPr>
              <w:spacing w:lineRule="exact" w:line="320"/>
              <w:jc w:val="center"/>
            </w:pPr>
            <w:r/>
            <w:r>
              <w:rPr>
                <w:rFonts w:ascii="Times New Roman" w:hAnsi="Times New Roman" w:eastAsia="宋体"/>
                <w:b/>
                <w:i w:val="0"/>
                <w:sz w:val="18"/>
              </w:rPr>
              <w:t>视频工作流</w:t>
            </w:r>
          </w:p>
        </w:tc>
        <w:tc>
          <w:tcPr>
            <w:tcW w:type="dxa" w:w="2409"/>
            <w:tcBorders>
              <w:top w:val="single" w:sz="6" w:color="000000"/>
              <w:bottom w:val="single" w:sz="6" w:color="000000"/>
              <w:left w:val="nil"/>
              <w:right w:val="nil"/>
              <w:insideH w:val="single" w:sz="6" w:color="000000"/>
              <w:insideV w:val="nil"/>
            </w:tcBorders>
          </w:tcPr>
          <w:p>
            <w:pPr>
              <w:spacing w:lineRule="exact" w:line="320"/>
              <w:jc w:val="center"/>
            </w:pPr>
            <w:r/>
            <w:r>
              <w:rPr>
                <w:rFonts w:ascii="Times New Roman" w:hAnsi="Times New Roman" w:eastAsia="宋体"/>
                <w:b/>
                <w:i w:val="0"/>
                <w:sz w:val="18"/>
              </w:rPr>
              <w:t>输入组织</w:t>
            </w:r>
          </w:p>
        </w:tc>
        <w:tc>
          <w:tcPr>
            <w:tcW w:type="dxa" w:w="2409"/>
            <w:tcBorders>
              <w:top w:val="single" w:sz="6" w:color="000000"/>
              <w:bottom w:val="single" w:sz="6" w:color="000000"/>
              <w:left w:val="nil"/>
              <w:right w:val="nil"/>
              <w:insideH w:val="single" w:sz="6" w:color="000000"/>
              <w:insideV w:val="nil"/>
            </w:tcBorders>
          </w:tcPr>
          <w:p>
            <w:pPr>
              <w:spacing w:lineRule="exact" w:line="320"/>
              <w:jc w:val="center"/>
            </w:pPr>
            <w:r/>
            <w:r>
              <w:rPr>
                <w:rFonts w:ascii="Times New Roman" w:hAnsi="Times New Roman" w:eastAsia="宋体"/>
                <w:b/>
                <w:i w:val="0"/>
                <w:sz w:val="18"/>
              </w:rPr>
              <w:t>核心处理</w:t>
            </w:r>
          </w:p>
        </w:tc>
        <w:tc>
          <w:tcPr>
            <w:tcW w:type="dxa" w:w="2409"/>
            <w:tcBorders>
              <w:top w:val="single" w:sz="6" w:color="000000"/>
              <w:bottom w:val="single" w:sz="6" w:color="000000"/>
              <w:left w:val="nil"/>
              <w:right w:val="nil"/>
              <w:insideH w:val="single" w:sz="6" w:color="000000"/>
              <w:insideV w:val="nil"/>
            </w:tcBorders>
          </w:tcPr>
          <w:p>
            <w:pPr>
              <w:spacing w:lineRule="exact" w:line="320"/>
              <w:jc w:val="center"/>
            </w:pPr>
            <w:r/>
            <w:r>
              <w:rPr>
                <w:rFonts w:ascii="Times New Roman" w:hAnsi="Times New Roman" w:eastAsia="宋体"/>
                <w:b/>
                <w:i w:val="0"/>
                <w:sz w:val="18"/>
              </w:rPr>
              <w:t>可见结果</w:t>
            </w:r>
          </w:p>
        </w:tc>
      </w:tr>
      <w:tr>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单路视频</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一个 MP4 视频</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原始播放、关键帧或串行连续帧分析</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最近分析帧、候选区、风险与不确定性提示</w:t>
            </w:r>
          </w:p>
        </w:tc>
      </w:tr>
      <w:tr>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双路视频</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独立白光视频与荧光视频</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共同播放时钟校正、关键帧配准与融合</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白光、荧光、融合和 AI 四个检查视口</w:t>
            </w:r>
          </w:p>
        </w:tc>
      </w:tr>
      <w:tr>
        <w:tc>
          <w:tcPr>
            <w:tcW w:type="dxa" w:w="2409"/>
            <w:tcBorders>
              <w:top w:val="nil"/>
              <w:bottom w:val="single" w:sz="6" w:color="000000"/>
              <w:left w:val="nil"/>
              <w:right w:val="nil"/>
              <w:insideH w:val="nil"/>
              <w:insideV w:val="nil"/>
            </w:tcBorders>
          </w:tcPr>
          <w:p>
            <w:pPr>
              <w:spacing w:lineRule="exact" w:line="320"/>
              <w:jc w:val="left"/>
            </w:pPr>
            <w:r/>
            <w:r>
              <w:rPr>
                <w:rFonts w:ascii="Times New Roman" w:hAnsi="Times New Roman" w:eastAsia="宋体"/>
                <w:b w:val="0"/>
                <w:i w:val="0"/>
                <w:sz w:val="18"/>
              </w:rPr>
              <w:t>三路视频</w:t>
            </w:r>
          </w:p>
        </w:tc>
        <w:tc>
          <w:tcPr>
            <w:tcW w:type="dxa" w:w="2409"/>
            <w:tcBorders>
              <w:top w:val="nil"/>
              <w:bottom w:val="single" w:sz="6" w:color="000000"/>
              <w:left w:val="nil"/>
              <w:right w:val="nil"/>
              <w:insideH w:val="nil"/>
              <w:insideV w:val="nil"/>
            </w:tcBorders>
          </w:tcPr>
          <w:p>
            <w:pPr>
              <w:spacing w:lineRule="exact" w:line="320"/>
              <w:jc w:val="left"/>
            </w:pPr>
            <w:r/>
            <w:r>
              <w:rPr>
                <w:rFonts w:ascii="Times New Roman" w:hAnsi="Times New Roman" w:eastAsia="宋体"/>
                <w:b w:val="0"/>
                <w:i w:val="0"/>
                <w:sz w:val="18"/>
              </w:rPr>
              <w:t>原彩图、荧光图与设备叠加图</w:t>
            </w:r>
          </w:p>
        </w:tc>
        <w:tc>
          <w:tcPr>
            <w:tcW w:type="dxa" w:w="2409"/>
            <w:tcBorders>
              <w:top w:val="nil"/>
              <w:bottom w:val="single" w:sz="6" w:color="000000"/>
              <w:left w:val="nil"/>
              <w:right w:val="nil"/>
              <w:insideH w:val="nil"/>
              <w:insideV w:val="nil"/>
            </w:tcBorders>
          </w:tcPr>
          <w:p>
            <w:pPr>
              <w:spacing w:lineRule="exact" w:line="320"/>
              <w:jc w:val="left"/>
            </w:pPr>
            <w:r/>
            <w:r>
              <w:rPr>
                <w:rFonts w:ascii="Times New Roman" w:hAnsi="Times New Roman" w:eastAsia="宋体"/>
                <w:b w:val="0"/>
                <w:i w:val="0"/>
                <w:sz w:val="18"/>
              </w:rPr>
              <w:t>双路分析加设备叠加一致性核对</w:t>
            </w:r>
          </w:p>
        </w:tc>
        <w:tc>
          <w:tcPr>
            <w:tcW w:type="dxa" w:w="2409"/>
            <w:tcBorders>
              <w:top w:val="nil"/>
              <w:bottom w:val="single" w:sz="6" w:color="000000"/>
              <w:left w:val="nil"/>
              <w:right w:val="nil"/>
              <w:insideH w:val="nil"/>
              <w:insideV w:val="nil"/>
            </w:tcBorders>
          </w:tcPr>
          <w:p>
            <w:pPr>
              <w:spacing w:lineRule="exact" w:line="320"/>
              <w:jc w:val="left"/>
            </w:pPr>
            <w:r/>
            <w:r>
              <w:rPr>
                <w:rFonts w:ascii="Times New Roman" w:hAnsi="Times New Roman" w:eastAsia="宋体"/>
                <w:b w:val="0"/>
                <w:i w:val="0"/>
                <w:sz w:val="18"/>
              </w:rPr>
              <w:t>三路质量状态、融合结果和差异证据</w:t>
            </w:r>
          </w:p>
        </w:tc>
      </w:tr>
    </w:tbl>
    <w:p>
      <w:pPr>
        <w:spacing w:lineRule="exact" w:line="320" w:before="0" w:after="60"/>
      </w:pPr>
    </w:p>
    <w:p>
      <w:pPr>
        <w:spacing w:lineRule="exact" w:line="320" w:before="0" w:after="0"/>
        <w:jc w:val="both"/>
        <w:ind w:firstLineChars="200" w:firstLine="420"/>
      </w:pPr>
      <w:r>
        <w:rPr>
          <w:rFonts w:ascii="Times New Roman" w:hAnsi="Times New Roman" w:eastAsia="宋体"/>
          <w:b w:val="0"/>
          <w:i w:val="0"/>
          <w:sz w:val="21"/>
        </w:rPr>
        <w:t>多通道视频优先保证医学画面的完整显示。白光、荧光、融合与 AI 结果共享稳定的检查布局；原始白光和荧光视频保持播放、暂停、倍速、拖动和连续时钟校正。离线关键帧结果会显示对应时间及其与当前播放时间的差异，连续帧分析则明确给出上一帧已完成结果的状态。设备叠加画面承担显示与质量核对角色，不作为模型病灶判读的单独依据。</w:t>
      </w:r>
    </w:p>
    <w:p>
      <w:pPr>
        <w:spacing w:lineRule="exact" w:line="320" w:before="120" w:after="60"/>
        <w:jc w:val="left"/>
        <w:ind w:firstLineChars="200" w:firstLine="480"/>
      </w:pPr>
      <w:r>
        <w:rPr>
          <w:rFonts w:ascii="Times New Roman" w:hAnsi="Times New Roman" w:eastAsia="仿宋_GB2312"/>
          <w:b/>
          <w:i w:val="0"/>
          <w:sz w:val="24"/>
        </w:rPr>
        <w:t>（四）术前、术中与术后闭环</w:t>
      </w:r>
    </w:p>
    <w:p>
      <w:pPr>
        <w:spacing w:lineRule="exact" w:line="320" w:before="0" w:after="0"/>
        <w:jc w:val="both"/>
        <w:ind w:firstLineChars="200" w:firstLine="420"/>
      </w:pPr>
      <w:r>
        <w:rPr>
          <w:rFonts w:ascii="Times New Roman" w:hAnsi="Times New Roman" w:eastAsia="宋体"/>
          <w:b w:val="0"/>
          <w:i w:val="0"/>
          <w:sz w:val="21"/>
        </w:rPr>
        <w:t>术前阶段，平台接收 CBCT、表面模型或公开解剖参考，组织对象来源、方向检查、表面质量和复核平面。缺少医生复核标签的原始体数据仅作为工程检查表面；当前三维展示保持未配准参考，避免把视觉关联解释为患者级空间定位。</w:t>
      </w:r>
    </w:p>
    <w:p>
      <w:pPr>
        <w:spacing w:lineRule="exact" w:line="320" w:before="0" w:after="0"/>
        <w:jc w:val="both"/>
        <w:ind w:firstLineChars="200" w:firstLine="420"/>
      </w:pPr>
      <w:r>
        <w:rPr>
          <w:rFonts w:ascii="Times New Roman" w:hAnsi="Times New Roman" w:eastAsia="宋体"/>
          <w:b w:val="0"/>
          <w:i w:val="0"/>
          <w:sz w:val="21"/>
        </w:rPr>
        <w:t>术中阶段，用户可导入官方格式图片或视频文件，选择单路、双路或三路视频工作流，查看融合、质量状态、候选图层和最近分析帧。模型和融合结果均进入医生复核路径，处理异常、配准失败或模型不可用时，平台保留原始画面、停止高风险解释并提供失败原因。</w:t>
      </w:r>
    </w:p>
    <w:p>
      <w:pPr>
        <w:spacing w:lineRule="exact" w:line="320" w:before="0" w:after="0"/>
        <w:jc w:val="both"/>
        <w:ind w:firstLineChars="200" w:firstLine="420"/>
      </w:pPr>
      <w:r>
        <w:rPr>
          <w:rFonts w:ascii="Times New Roman" w:hAnsi="Times New Roman" w:eastAsia="宋体"/>
          <w:b w:val="0"/>
          <w:i w:val="0"/>
          <w:sz w:val="21"/>
        </w:rPr>
        <w:t>术后阶段，系统将文件来源、处理结果、量化信息、医生修改与证据材料整理为同一病例的可回顾记录。真实医院数据进入病例前需完成机构授权、脱敏、用途、文件可解码性、重复项和通道关系核验；通过准入的材料才进入后续分析与复核。由此形成“可信输入—可检查处理—人工复核—证据留存—分层再利用”的安全闭环。</w:t>
      </w:r>
    </w:p>
    <w:p>
      <w:pPr>
        <w:spacing w:lineRule="exact" w:line="320" w:before="240" w:after="120"/>
        <w:jc w:val="center"/>
      </w:pPr>
      <w:r>
        <w:rPr>
          <w:rFonts w:ascii="Times New Roman" w:hAnsi="Times New Roman" w:eastAsia="黑体"/>
          <w:b/>
          <w:i w:val="0"/>
          <w:sz w:val="28"/>
        </w:rPr>
        <w:t>三、第 3 章 荧光造影剂设计</w:t>
      </w:r>
    </w:p>
    <w:p>
      <w:pPr>
        <w:spacing w:lineRule="exact" w:line="320" w:before="120" w:after="120"/>
      </w:pPr>
    </w:p>
    <w:p>
      <w:pPr>
        <w:spacing w:lineRule="exact" w:line="320" w:before="120" w:after="60"/>
        <w:jc w:val="left"/>
        <w:ind w:firstLineChars="200" w:firstLine="480"/>
      </w:pPr>
      <w:r>
        <w:rPr>
          <w:rFonts w:ascii="Times New Roman" w:hAnsi="Times New Roman" w:eastAsia="仿宋_GB2312"/>
          <w:b/>
          <w:i w:val="0"/>
          <w:sz w:val="24"/>
        </w:rPr>
        <w:t>（一）设计依据与目标</w:t>
      </w:r>
    </w:p>
    <w:p>
      <w:pPr>
        <w:spacing w:lineRule="exact" w:line="320" w:before="0" w:after="0"/>
        <w:jc w:val="both"/>
        <w:ind w:firstLineChars="200" w:firstLine="420"/>
      </w:pPr>
      <w:r>
        <w:rPr>
          <w:rFonts w:ascii="Times New Roman" w:hAnsi="Times New Roman" w:eastAsia="宋体"/>
          <w:b w:val="0"/>
          <w:i w:val="0"/>
          <w:sz w:val="21"/>
        </w:rPr>
        <w:t>颌骨骨髓炎术野同时存在灌注变化、炎性充血、渗出、坏死骨、残存活骨和软组织遮挡等因素。赛题官方资料所述 ICG 成像适用于近红外灌注相关可视化，能够为术中观察提供动态参考；ICG 信号受炎症、充血、水肿、操作和采集条件影响，对颌骨骨髓炎缺乏特异性结合，无法独立确定病灶组织或潜在活性骨的边界。</w:t>
      </w:r>
    </w:p>
    <w:p>
      <w:pPr>
        <w:spacing w:lineRule="exact" w:line="320" w:before="0" w:after="0"/>
        <w:jc w:val="both"/>
        <w:ind w:firstLineChars="200" w:firstLine="420"/>
      </w:pPr>
      <w:r>
        <w:rPr>
          <w:rFonts w:ascii="Times New Roman" w:hAnsi="Times New Roman" w:eastAsia="宋体"/>
          <w:b w:val="0"/>
          <w:i w:val="0"/>
          <w:sz w:val="21"/>
        </w:rPr>
        <w:t>因此，本项目将造影剂设计定义为“ICG 灌注基线加第二信号补充”的分层策略：保留 ICG 对实时灌注与通透性相关变化的参考价值，同时探索可提供骨亲和、感染识别或骨活性补充信息的候选探针。设计目标包括：</w:t>
      </w:r>
    </w:p>
    <w:p>
      <w:pPr>
        <w:spacing w:lineRule="exact" w:line="320" w:before="0" w:after="0"/>
        <w:ind w:left="420" w:hanging="210"/>
        <w:jc w:val="both"/>
      </w:pPr>
      <w:r>
        <w:rPr>
          <w:rFonts w:ascii="Times New Roman" w:hAnsi="Times New Roman" w:eastAsia="宋体"/>
          <w:b w:val="0"/>
          <w:i w:val="0"/>
          <w:sz w:val="21"/>
        </w:rPr>
        <w:t xml:space="preserve">1. </w:t>
      </w:r>
      <w:r>
        <w:rPr>
          <w:rFonts w:ascii="Times New Roman" w:hAnsi="Times New Roman" w:eastAsia="宋体"/>
          <w:b w:val="0"/>
          <w:i w:val="0"/>
          <w:sz w:val="21"/>
        </w:rPr>
        <w:t>在复杂术野背景中提高骨面、低活性区和周围炎性组织之间的可分辨信号；</w:t>
      </w:r>
    </w:p>
    <w:p>
      <w:pPr>
        <w:spacing w:lineRule="exact" w:line="320" w:before="0" w:after="0"/>
        <w:ind w:left="420" w:hanging="210"/>
        <w:jc w:val="both"/>
      </w:pPr>
      <w:r>
        <w:rPr>
          <w:rFonts w:ascii="Times New Roman" w:hAnsi="Times New Roman" w:eastAsia="宋体"/>
          <w:b w:val="0"/>
          <w:i w:val="0"/>
          <w:sz w:val="21"/>
        </w:rPr>
        <w:t xml:space="preserve">2. </w:t>
      </w:r>
      <w:r>
        <w:rPr>
          <w:rFonts w:ascii="Times New Roman" w:hAnsi="Times New Roman" w:eastAsia="宋体"/>
          <w:b w:val="0"/>
          <w:i w:val="0"/>
          <w:sz w:val="21"/>
        </w:rPr>
        <w:t>与显微镜的近红外采集能力形成可核验的光谱匹配关系；</w:t>
      </w:r>
    </w:p>
    <w:p>
      <w:pPr>
        <w:spacing w:lineRule="exact" w:line="320" w:before="0" w:after="0"/>
        <w:ind w:left="420" w:hanging="210"/>
        <w:jc w:val="both"/>
      </w:pPr>
      <w:r>
        <w:rPr>
          <w:rFonts w:ascii="Times New Roman" w:hAnsi="Times New Roman" w:eastAsia="宋体"/>
          <w:b w:val="0"/>
          <w:i w:val="0"/>
          <w:sz w:val="21"/>
        </w:rPr>
        <w:t xml:space="preserve">3. </w:t>
      </w:r>
      <w:r>
        <w:rPr>
          <w:rFonts w:ascii="Times New Roman" w:hAnsi="Times New Roman" w:eastAsia="宋体"/>
          <w:b w:val="0"/>
          <w:i w:val="0"/>
          <w:sz w:val="21"/>
        </w:rPr>
        <w:t>在不同放大倍率、工作距离和曝光条件下保留可复核的相对对比度；</w:t>
      </w:r>
    </w:p>
    <w:p>
      <w:pPr>
        <w:spacing w:lineRule="exact" w:line="320" w:before="0" w:after="0"/>
        <w:ind w:left="420" w:hanging="210"/>
        <w:jc w:val="both"/>
      </w:pPr>
      <w:r>
        <w:rPr>
          <w:rFonts w:ascii="Times New Roman" w:hAnsi="Times New Roman" w:eastAsia="宋体"/>
          <w:b w:val="0"/>
          <w:i w:val="0"/>
          <w:sz w:val="21"/>
        </w:rPr>
        <w:t xml:space="preserve">4. </w:t>
      </w:r>
      <w:r>
        <w:rPr>
          <w:rFonts w:ascii="Times New Roman" w:hAnsi="Times New Roman" w:eastAsia="宋体"/>
          <w:b w:val="0"/>
          <w:i w:val="0"/>
          <w:sz w:val="21"/>
        </w:rPr>
        <w:t>以安全性、药代、毒理、伦理和监管为前置条件，逐级推进至后续实验验证。</w:t>
      </w:r>
    </w:p>
    <w:p>
      <w:pPr>
        <w:spacing w:lineRule="exact" w:line="320" w:before="0" w:after="0"/>
        <w:jc w:val="both"/>
        <w:ind w:firstLineChars="200" w:firstLine="420"/>
      </w:pPr>
      <w:r>
        <w:rPr>
          <w:rFonts w:ascii="Times New Roman" w:hAnsi="Times New Roman" w:eastAsia="宋体"/>
          <w:b w:val="0"/>
          <w:i w:val="0"/>
          <w:sz w:val="21"/>
        </w:rPr>
        <w:t>项目当前没有新型探针实物合成、湿实验或人体给药结果。本章所列的分子、光谱和靶向信息均来自公开文献与设计分析，不能解释为项目实测结果或临床使用建议。</w:t>
      </w:r>
    </w:p>
    <w:p>
      <w:pPr>
        <w:spacing w:lineRule="exact" w:line="320" w:before="120" w:after="60"/>
        <w:jc w:val="left"/>
        <w:ind w:firstLineChars="200" w:firstLine="480"/>
      </w:pPr>
      <w:r>
        <w:rPr>
          <w:rFonts w:ascii="Times New Roman" w:hAnsi="Times New Roman" w:eastAsia="仿宋_GB2312"/>
          <w:b/>
          <w:i w:val="0"/>
          <w:sz w:val="24"/>
        </w:rPr>
        <w:t>（二）ICG 基线与补充信号路线</w:t>
      </w:r>
    </w:p>
    <w:p>
      <w:pPr>
        <w:spacing w:lineRule="exact" w:line="320" w:before="60" w:after="40"/>
        <w:jc w:val="left"/>
        <w:ind w:firstLineChars="200" w:firstLine="420"/>
      </w:pPr>
      <w:r>
        <w:rPr>
          <w:rFonts w:ascii="Times New Roman" w:hAnsi="Times New Roman" w:eastAsia="宋体"/>
          <w:b/>
          <w:i w:val="0"/>
          <w:sz w:val="21"/>
        </w:rPr>
        <w:t>1．ICG 作为灌注参考层</w:t>
      </w:r>
    </w:p>
    <w:p>
      <w:pPr>
        <w:spacing w:lineRule="exact" w:line="320" w:before="0" w:after="0"/>
        <w:jc w:val="both"/>
        <w:ind w:firstLineChars="200" w:firstLine="420"/>
      </w:pPr>
      <w:r>
        <w:rPr>
          <w:rFonts w:ascii="Times New Roman" w:hAnsi="Times New Roman" w:eastAsia="宋体"/>
          <w:b w:val="0"/>
          <w:i w:val="0"/>
          <w:sz w:val="21"/>
        </w:rPr>
        <w:t>ICG 在赛题方显微镜的近红外窗口内具备直接成像基础。其信号主要反映血流灌注、血管通透性和组织活性相关差异，适合作为术中动态参考层。对颌骨骨髓炎而言，ICG 高信号可来自炎症性充血或通透性升高，低信号也可能受组织深度、遮挡、曝光或时相影响。平台将其呈现为相对信号、时间变化和需复核的候选信息，不将其转换为疾病终判。</w:t>
      </w:r>
    </w:p>
    <w:p>
      <w:pPr>
        <w:spacing w:lineRule="exact" w:line="320" w:before="60" w:after="40"/>
        <w:jc w:val="left"/>
        <w:ind w:firstLineChars="200" w:firstLine="420"/>
      </w:pPr>
      <w:r>
        <w:rPr>
          <w:rFonts w:ascii="Times New Roman" w:hAnsi="Times New Roman" w:eastAsia="宋体"/>
          <w:b/>
          <w:i w:val="0"/>
          <w:sz w:val="21"/>
        </w:rPr>
        <w:t>2．骨活性补充：四环素类骨结合荧光</w:t>
      </w:r>
    </w:p>
    <w:p>
      <w:pPr>
        <w:spacing w:lineRule="exact" w:line="320" w:before="0" w:after="0"/>
        <w:jc w:val="both"/>
        <w:ind w:firstLineChars="200" w:firstLine="420"/>
      </w:pPr>
      <w:r>
        <w:rPr>
          <w:rFonts w:ascii="Times New Roman" w:hAnsi="Times New Roman" w:eastAsia="宋体"/>
          <w:b w:val="0"/>
          <w:i w:val="0"/>
          <w:sz w:val="21"/>
        </w:rPr>
        <w:t>四环素类药物可与钙结合并沉积于活跃矿化和骨重塑区域。公开研究描述其在紫蓝光激发下形成绿黄荧光，活骨与低活性或坏死骨可呈现不同信号表现。该机制与 ICG 的灌注信号具有互补性：前者可提供骨代谢或骨活性参考，后者可提供灌注与通透性相关参考。</w:t>
      </w:r>
    </w:p>
    <w:p>
      <w:pPr>
        <w:spacing w:lineRule="exact" w:line="320" w:before="0" w:after="0"/>
        <w:jc w:val="both"/>
        <w:ind w:firstLineChars="200" w:firstLine="420"/>
      </w:pPr>
      <w:r>
        <w:rPr>
          <w:rFonts w:ascii="Times New Roman" w:hAnsi="Times New Roman" w:eastAsia="宋体"/>
          <w:b w:val="0"/>
          <w:i w:val="0"/>
          <w:sz w:val="21"/>
        </w:rPr>
        <w:t>四环素路线的光谱与 ICG 有明显分离，工程上需要独立的紫蓝光激发、相应发射滤光和安全控制。其作为抗生素还涉及过敏、耐药、妊娠与儿童用药、肝肾功能、光敏反应和药物相互作用等风险。比赛阶段不开展以成像为目的的人体给药展示；该路线保留为文献支持的骨活性补充方向和后续设备适配研究对象。</w:t>
      </w:r>
    </w:p>
    <w:p>
      <w:pPr>
        <w:spacing w:lineRule="exact" w:line="320" w:before="60" w:after="40"/>
        <w:jc w:val="left"/>
        <w:ind w:firstLineChars="200" w:firstLine="420"/>
      </w:pPr>
      <w:r>
        <w:rPr>
          <w:rFonts w:ascii="Times New Roman" w:hAnsi="Times New Roman" w:eastAsia="宋体"/>
          <w:b/>
          <w:i w:val="0"/>
          <w:sz w:val="21"/>
        </w:rPr>
        <w:t>3．通透性对照：Evans blue 路线</w:t>
      </w:r>
    </w:p>
    <w:p>
      <w:pPr>
        <w:spacing w:lineRule="exact" w:line="320" w:before="0" w:after="0"/>
        <w:jc w:val="both"/>
        <w:ind w:firstLineChars="200" w:firstLine="420"/>
      </w:pPr>
      <w:r>
        <w:rPr>
          <w:rFonts w:ascii="Times New Roman" w:hAnsi="Times New Roman" w:eastAsia="宋体"/>
          <w:b w:val="0"/>
          <w:i w:val="0"/>
          <w:sz w:val="21"/>
        </w:rPr>
        <w:t>Evans blue 与血清白蛋白结合，可反映血管通透性和蛋白渗漏。其可为炎性软组织通透性信号建模提供机理对照，难以直接解决死骨选择性问题。原始临床产品状态与人体使用可行性仍需独立确认，当前不纳入患者应用主线。该路线的价值在于帮助比较“炎症通透性增强”与“骨面活性变化”两类信号来源，降低将单一高信号误读为病灶特异性信号的风险。</w:t>
      </w:r>
    </w:p>
    <w:tbl>
      <w:tblPr>
        <w:tblW w:type="auto" w:w="0"/>
        <w:jc w:val="center"/>
        <w:tblLayout w:type="autofit"/>
        <w:tblLook w:firstColumn="1" w:firstRow="1" w:lastColumn="0" w:lastRow="0" w:noHBand="0" w:noVBand="1" w:val="04A0"/>
      </w:tblPr>
      <w:tblGrid>
        <w:gridCol w:w="2409"/>
        <w:gridCol w:w="2409"/>
        <w:gridCol w:w="2409"/>
        <w:gridCol w:w="2409"/>
      </w:tblGrid>
      <w:tr>
        <w:tc>
          <w:tcPr>
            <w:tcW w:type="dxa" w:w="2409"/>
            <w:tcBorders>
              <w:top w:val="single" w:sz="6" w:color="000000"/>
              <w:bottom w:val="single" w:sz="6" w:color="000000"/>
              <w:left w:val="nil"/>
              <w:right w:val="nil"/>
              <w:insideH w:val="single" w:sz="6" w:color="000000"/>
              <w:insideV w:val="nil"/>
            </w:tcBorders>
          </w:tcPr>
          <w:p>
            <w:pPr>
              <w:spacing w:lineRule="exact" w:line="320"/>
              <w:jc w:val="center"/>
            </w:pPr>
            <w:r/>
            <w:r>
              <w:rPr>
                <w:rFonts w:ascii="Times New Roman" w:hAnsi="Times New Roman" w:eastAsia="宋体"/>
                <w:b/>
                <w:i w:val="0"/>
                <w:sz w:val="18"/>
              </w:rPr>
              <w:t>信号路线</w:t>
            </w:r>
          </w:p>
        </w:tc>
        <w:tc>
          <w:tcPr>
            <w:tcW w:type="dxa" w:w="2409"/>
            <w:tcBorders>
              <w:top w:val="single" w:sz="6" w:color="000000"/>
              <w:bottom w:val="single" w:sz="6" w:color="000000"/>
              <w:left w:val="nil"/>
              <w:right w:val="nil"/>
              <w:insideH w:val="single" w:sz="6" w:color="000000"/>
              <w:insideV w:val="nil"/>
            </w:tcBorders>
          </w:tcPr>
          <w:p>
            <w:pPr>
              <w:spacing w:lineRule="exact" w:line="320"/>
              <w:jc w:val="center"/>
            </w:pPr>
            <w:r/>
            <w:r>
              <w:rPr>
                <w:rFonts w:ascii="Times New Roman" w:hAnsi="Times New Roman" w:eastAsia="宋体"/>
                <w:b/>
                <w:i w:val="0"/>
                <w:sz w:val="18"/>
              </w:rPr>
              <w:t>主要信息</w:t>
            </w:r>
          </w:p>
        </w:tc>
        <w:tc>
          <w:tcPr>
            <w:tcW w:type="dxa" w:w="2409"/>
            <w:tcBorders>
              <w:top w:val="single" w:sz="6" w:color="000000"/>
              <w:bottom w:val="single" w:sz="6" w:color="000000"/>
              <w:left w:val="nil"/>
              <w:right w:val="nil"/>
              <w:insideH w:val="single" w:sz="6" w:color="000000"/>
              <w:insideV w:val="nil"/>
            </w:tcBorders>
          </w:tcPr>
          <w:p>
            <w:pPr>
              <w:spacing w:lineRule="exact" w:line="320"/>
              <w:jc w:val="center"/>
            </w:pPr>
            <w:r/>
            <w:r>
              <w:rPr>
                <w:rFonts w:ascii="Times New Roman" w:hAnsi="Times New Roman" w:eastAsia="宋体"/>
                <w:b/>
                <w:i w:val="0"/>
                <w:sz w:val="18"/>
              </w:rPr>
              <w:t>预期工程作用</w:t>
            </w:r>
          </w:p>
        </w:tc>
        <w:tc>
          <w:tcPr>
            <w:tcW w:type="dxa" w:w="2409"/>
            <w:tcBorders>
              <w:top w:val="single" w:sz="6" w:color="000000"/>
              <w:bottom w:val="single" w:sz="6" w:color="000000"/>
              <w:left w:val="nil"/>
              <w:right w:val="nil"/>
              <w:insideH w:val="single" w:sz="6" w:color="000000"/>
              <w:insideV w:val="nil"/>
            </w:tcBorders>
          </w:tcPr>
          <w:p>
            <w:pPr>
              <w:spacing w:lineRule="exact" w:line="320"/>
              <w:jc w:val="center"/>
            </w:pPr>
            <w:r/>
            <w:r>
              <w:rPr>
                <w:rFonts w:ascii="Times New Roman" w:hAnsi="Times New Roman" w:eastAsia="宋体"/>
                <w:b/>
                <w:i w:val="0"/>
                <w:sz w:val="18"/>
              </w:rPr>
              <w:t>当前边界</w:t>
            </w:r>
          </w:p>
        </w:tc>
      </w:tr>
      <w:tr>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ICG</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灌注、通透性与组织活性相关变化</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近红外动态参考与时间序列分析</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无颌骨骨髓炎特异性</w:t>
            </w:r>
          </w:p>
        </w:tc>
      </w:tr>
      <w:tr>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四环素类骨荧光</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骨矿化与重塑相关信号</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骨活性补充参考</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需独立光路与安全验证</w:t>
            </w:r>
          </w:p>
        </w:tc>
      </w:tr>
      <w:tr>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Evans blue 对照</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白蛋白结合与通透性变化</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炎性通透性机理对照</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不进入当前人体应用路线</w:t>
            </w:r>
          </w:p>
        </w:tc>
      </w:tr>
      <w:tr>
        <w:tc>
          <w:tcPr>
            <w:tcW w:type="dxa" w:w="2409"/>
            <w:tcBorders>
              <w:top w:val="nil"/>
              <w:bottom w:val="single" w:sz="6" w:color="000000"/>
              <w:left w:val="nil"/>
              <w:right w:val="nil"/>
              <w:insideH w:val="nil"/>
              <w:insideV w:val="nil"/>
            </w:tcBorders>
          </w:tcPr>
          <w:p>
            <w:pPr>
              <w:spacing w:lineRule="exact" w:line="320"/>
              <w:jc w:val="left"/>
            </w:pPr>
            <w:r/>
            <w:r>
              <w:rPr>
                <w:rFonts w:ascii="Times New Roman" w:hAnsi="Times New Roman" w:eastAsia="宋体"/>
                <w:b w:val="0"/>
                <w:i w:val="0"/>
                <w:sz w:val="18"/>
              </w:rPr>
              <w:t>自体荧光</w:t>
            </w:r>
          </w:p>
        </w:tc>
        <w:tc>
          <w:tcPr>
            <w:tcW w:type="dxa" w:w="2409"/>
            <w:tcBorders>
              <w:top w:val="nil"/>
              <w:bottom w:val="single" w:sz="6" w:color="000000"/>
              <w:left w:val="nil"/>
              <w:right w:val="nil"/>
              <w:insideH w:val="nil"/>
              <w:insideV w:val="nil"/>
            </w:tcBorders>
          </w:tcPr>
          <w:p>
            <w:pPr>
              <w:spacing w:lineRule="exact" w:line="320"/>
              <w:jc w:val="left"/>
            </w:pPr>
            <w:r/>
            <w:r>
              <w:rPr>
                <w:rFonts w:ascii="Times New Roman" w:hAnsi="Times New Roman" w:eastAsia="宋体"/>
                <w:b w:val="0"/>
                <w:i w:val="0"/>
                <w:sz w:val="18"/>
              </w:rPr>
              <w:t>骨组织内源光学特性</w:t>
            </w:r>
          </w:p>
        </w:tc>
        <w:tc>
          <w:tcPr>
            <w:tcW w:type="dxa" w:w="2409"/>
            <w:tcBorders>
              <w:top w:val="nil"/>
              <w:bottom w:val="single" w:sz="6" w:color="000000"/>
              <w:left w:val="nil"/>
              <w:right w:val="nil"/>
              <w:insideH w:val="nil"/>
              <w:insideV w:val="nil"/>
            </w:tcBorders>
          </w:tcPr>
          <w:p>
            <w:pPr>
              <w:spacing w:lineRule="exact" w:line="320"/>
              <w:jc w:val="left"/>
            </w:pPr>
            <w:r/>
            <w:r>
              <w:rPr>
                <w:rFonts w:ascii="Times New Roman" w:hAnsi="Times New Roman" w:eastAsia="宋体"/>
                <w:b w:val="0"/>
                <w:i w:val="0"/>
                <w:sz w:val="18"/>
              </w:rPr>
              <w:t>无外源探针的补充研究方向</w:t>
            </w:r>
          </w:p>
        </w:tc>
        <w:tc>
          <w:tcPr>
            <w:tcW w:type="dxa" w:w="2409"/>
            <w:tcBorders>
              <w:top w:val="nil"/>
              <w:bottom w:val="single" w:sz="6" w:color="000000"/>
              <w:left w:val="nil"/>
              <w:right w:val="nil"/>
              <w:insideH w:val="nil"/>
              <w:insideV w:val="nil"/>
            </w:tcBorders>
          </w:tcPr>
          <w:p>
            <w:pPr>
              <w:spacing w:lineRule="exact" w:line="320"/>
              <w:jc w:val="left"/>
            </w:pPr>
            <w:r/>
            <w:r>
              <w:rPr>
                <w:rFonts w:ascii="Times New Roman" w:hAnsi="Times New Roman" w:eastAsia="宋体"/>
                <w:b w:val="0"/>
                <w:i w:val="0"/>
                <w:sz w:val="18"/>
              </w:rPr>
              <w:t>受设备、组织状态和标定影响</w:t>
            </w:r>
          </w:p>
        </w:tc>
      </w:tr>
    </w:tbl>
    <w:p>
      <w:pPr>
        <w:spacing w:lineRule="exact" w:line="320" w:before="0" w:after="60"/>
      </w:pPr>
    </w:p>
    <w:p>
      <w:pPr>
        <w:spacing w:lineRule="exact" w:line="320" w:before="120" w:after="60"/>
        <w:jc w:val="left"/>
        <w:ind w:firstLineChars="200" w:firstLine="480"/>
      </w:pPr>
      <w:r>
        <w:rPr>
          <w:rFonts w:ascii="Times New Roman" w:hAnsi="Times New Roman" w:eastAsia="仿宋_GB2312"/>
          <w:b/>
          <w:i w:val="0"/>
          <w:sz w:val="24"/>
        </w:rPr>
        <w:t>（三）模块化骨亲和近红外探针方案</w:t>
      </w:r>
    </w:p>
    <w:p>
      <w:pPr>
        <w:spacing w:lineRule="exact" w:line="320" w:before="0" w:after="0"/>
        <w:jc w:val="both"/>
        <w:ind w:firstLineChars="200" w:firstLine="420"/>
      </w:pPr>
      <w:r>
        <w:rPr>
          <w:rFonts w:ascii="Times New Roman" w:hAnsi="Times New Roman" w:eastAsia="宋体"/>
          <w:b w:val="0"/>
          <w:i w:val="0"/>
          <w:sz w:val="21"/>
        </w:rPr>
        <w:t>为兼顾骨表面定位、感染相关识别和现有显微镜窗口适配，项目提出模块化候选探针架构。该架构将候选分为四个可独立优化的部分：</w:t>
      </w:r>
    </w:p>
    <w:tbl>
      <w:tblPr>
        <w:tblW w:type="auto" w:w="0"/>
        <w:jc w:val="center"/>
        <w:tblLayout w:type="autofit"/>
        <w:tblLook w:firstColumn="1" w:firstRow="1" w:lastColumn="0" w:lastRow="0" w:noHBand="0" w:noVBand="1" w:val="04A0"/>
      </w:tblPr>
      <w:tblGrid>
        <w:gridCol w:w="3213"/>
        <w:gridCol w:w="3213"/>
        <w:gridCol w:w="3213"/>
      </w:tblGrid>
      <w:tr>
        <w:tc>
          <w:tcPr>
            <w:tcW w:type="dxa" w:w="3213"/>
            <w:tcBorders>
              <w:top w:val="single" w:sz="6" w:color="000000"/>
              <w:bottom w:val="single" w:sz="6" w:color="000000"/>
              <w:left w:val="nil"/>
              <w:right w:val="nil"/>
              <w:insideH w:val="single" w:sz="6" w:color="000000"/>
              <w:insideV w:val="nil"/>
            </w:tcBorders>
          </w:tcPr>
          <w:p>
            <w:pPr>
              <w:spacing w:lineRule="exact" w:line="320"/>
              <w:jc w:val="center"/>
            </w:pPr>
            <w:r/>
            <w:r>
              <w:rPr>
                <w:rFonts w:ascii="Times New Roman" w:hAnsi="Times New Roman" w:eastAsia="宋体"/>
                <w:b/>
                <w:i w:val="0"/>
                <w:sz w:val="18"/>
              </w:rPr>
              <w:t>模块</w:t>
            </w:r>
          </w:p>
        </w:tc>
        <w:tc>
          <w:tcPr>
            <w:tcW w:type="dxa" w:w="3213"/>
            <w:tcBorders>
              <w:top w:val="single" w:sz="6" w:color="000000"/>
              <w:bottom w:val="single" w:sz="6" w:color="000000"/>
              <w:left w:val="nil"/>
              <w:right w:val="nil"/>
              <w:insideH w:val="single" w:sz="6" w:color="000000"/>
              <w:insideV w:val="nil"/>
            </w:tcBorders>
          </w:tcPr>
          <w:p>
            <w:pPr>
              <w:spacing w:lineRule="exact" w:line="320"/>
              <w:jc w:val="center"/>
            </w:pPr>
            <w:r/>
            <w:r>
              <w:rPr>
                <w:rFonts w:ascii="Times New Roman" w:hAnsi="Times New Roman" w:eastAsia="宋体"/>
                <w:b/>
                <w:i w:val="0"/>
                <w:sz w:val="18"/>
              </w:rPr>
              <w:t>设计任务</w:t>
            </w:r>
          </w:p>
        </w:tc>
        <w:tc>
          <w:tcPr>
            <w:tcW w:type="dxa" w:w="3213"/>
            <w:tcBorders>
              <w:top w:val="single" w:sz="6" w:color="000000"/>
              <w:bottom w:val="single" w:sz="6" w:color="000000"/>
              <w:left w:val="nil"/>
              <w:right w:val="nil"/>
              <w:insideH w:val="single" w:sz="6" w:color="000000"/>
              <w:insideV w:val="nil"/>
            </w:tcBorders>
          </w:tcPr>
          <w:p>
            <w:pPr>
              <w:spacing w:lineRule="exact" w:line="320"/>
              <w:jc w:val="center"/>
            </w:pPr>
            <w:r/>
            <w:r>
              <w:rPr>
                <w:rFonts w:ascii="Times New Roman" w:hAnsi="Times New Roman" w:eastAsia="宋体"/>
                <w:b/>
                <w:i w:val="0"/>
                <w:sz w:val="18"/>
              </w:rPr>
              <w:t>候选依据</w:t>
            </w:r>
          </w:p>
        </w:tc>
      </w:tr>
      <w:tr>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骨亲和端</w:t>
            </w:r>
          </w:p>
        </w:tc>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与羟基磷灰石等骨矿物成分形成可测结合</w:t>
            </w:r>
          </w:p>
        </w:tc>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双膦酸或膦酸类骨亲和基团</w:t>
            </w:r>
          </w:p>
        </w:tc>
      </w:tr>
      <w:tr>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感染识别端</w:t>
            </w:r>
          </w:p>
        </w:tc>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面向细菌、生物膜或感染相关微环境建立选择性比较</w:t>
            </w:r>
          </w:p>
        </w:tc>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革兰阳性菌细胞壁或生物膜结合分子，并设置多菌种与无菌坏死对照</w:t>
            </w:r>
          </w:p>
        </w:tc>
      </w:tr>
      <w:tr>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近红外发光端</w:t>
            </w:r>
          </w:p>
        </w:tc>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与现有近红外激发、探测和滤光窗口开展匹配测试</w:t>
            </w:r>
          </w:p>
        </w:tc>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近红外花菁、方酸酰胺等公开发光骨架</w:t>
            </w:r>
          </w:p>
        </w:tc>
      </w:tr>
      <w:tr>
        <w:tc>
          <w:tcPr>
            <w:tcW w:type="dxa" w:w="3213"/>
            <w:tcBorders>
              <w:top w:val="nil"/>
              <w:bottom w:val="single" w:sz="6" w:color="000000"/>
              <w:left w:val="nil"/>
              <w:right w:val="nil"/>
              <w:insideH w:val="nil"/>
              <w:insideV w:val="nil"/>
            </w:tcBorders>
          </w:tcPr>
          <w:p>
            <w:pPr>
              <w:spacing w:lineRule="exact" w:line="320"/>
              <w:jc w:val="left"/>
            </w:pPr>
            <w:r/>
            <w:r>
              <w:rPr>
                <w:rFonts w:ascii="Times New Roman" w:hAnsi="Times New Roman" w:eastAsia="宋体"/>
                <w:b w:val="0"/>
                <w:i w:val="0"/>
                <w:sz w:val="18"/>
              </w:rPr>
              <w:t>连接臂</w:t>
            </w:r>
          </w:p>
        </w:tc>
        <w:tc>
          <w:tcPr>
            <w:tcW w:type="dxa" w:w="3213"/>
            <w:tcBorders>
              <w:top w:val="nil"/>
              <w:bottom w:val="single" w:sz="6" w:color="000000"/>
              <w:left w:val="nil"/>
              <w:right w:val="nil"/>
              <w:insideH w:val="nil"/>
              <w:insideV w:val="nil"/>
            </w:tcBorders>
          </w:tcPr>
          <w:p>
            <w:pPr>
              <w:spacing w:lineRule="exact" w:line="320"/>
              <w:jc w:val="left"/>
            </w:pPr>
            <w:r/>
            <w:r>
              <w:rPr>
                <w:rFonts w:ascii="Times New Roman" w:hAnsi="Times New Roman" w:eastAsia="宋体"/>
                <w:b w:val="0"/>
                <w:i w:val="0"/>
                <w:sz w:val="18"/>
              </w:rPr>
              <w:t>调整亲水性、空间位阻、药代和非特异吸附</w:t>
            </w:r>
          </w:p>
        </w:tc>
        <w:tc>
          <w:tcPr>
            <w:tcW w:type="dxa" w:w="3213"/>
            <w:tcBorders>
              <w:top w:val="nil"/>
              <w:bottom w:val="single" w:sz="6" w:color="000000"/>
              <w:left w:val="nil"/>
              <w:right w:val="nil"/>
              <w:insideH w:val="nil"/>
              <w:insideV w:val="nil"/>
            </w:tcBorders>
          </w:tcPr>
          <w:p>
            <w:pPr>
              <w:spacing w:lineRule="exact" w:line="320"/>
              <w:jc w:val="left"/>
            </w:pPr>
            <w:r/>
            <w:r>
              <w:rPr>
                <w:rFonts w:ascii="Times New Roman" w:hAnsi="Times New Roman" w:eastAsia="宋体"/>
                <w:b w:val="0"/>
                <w:i w:val="0"/>
                <w:sz w:val="18"/>
              </w:rPr>
              <w:t>聚乙二醇链、烷基链或可裂解连接结构</w:t>
            </w:r>
          </w:p>
        </w:tc>
      </w:tr>
    </w:tbl>
    <w:p>
      <w:pPr>
        <w:spacing w:lineRule="exact" w:line="320" w:before="0" w:after="60"/>
      </w:pPr>
    </w:p>
    <w:p>
      <w:pPr>
        <w:spacing w:lineRule="exact" w:line="320" w:before="0" w:after="0"/>
        <w:jc w:val="both"/>
        <w:ind w:firstLineChars="200" w:firstLine="420"/>
      </w:pPr>
      <w:r>
        <w:rPr>
          <w:rFonts w:ascii="Times New Roman" w:hAnsi="Times New Roman" w:eastAsia="宋体"/>
          <w:b w:val="0"/>
          <w:i w:val="0"/>
          <w:sz w:val="21"/>
        </w:rPr>
        <w:t>公开资料可为模块收敛提供若干起点。万古霉素与近红外染料偶联物可作为感染识别与近红外成像的工程基准；含骨亲和基团的近红外小分子可用于羟基磷灰石结合对照；部分近红外第二窗口骨成像材料可作为远期储备。上述公开路线均缺少“颌骨骨髓炎死骨选择性、完整药代安全性和人体显微应用”的闭环证据，需通过统一实验矩阵筛选后再形成单一候选。</w:t>
      </w:r>
    </w:p>
    <w:p>
      <w:pPr>
        <w:spacing w:lineRule="exact" w:line="320" w:before="120" w:after="60"/>
        <w:jc w:val="left"/>
        <w:ind w:firstLineChars="200" w:firstLine="480"/>
      </w:pPr>
      <w:r>
        <w:rPr>
          <w:rFonts w:ascii="Times New Roman" w:hAnsi="Times New Roman" w:eastAsia="仿宋_GB2312"/>
          <w:b/>
          <w:i w:val="0"/>
          <w:sz w:val="24"/>
        </w:rPr>
        <w:t>（四）显微系统适配与验证矩阵</w:t>
      </w:r>
    </w:p>
    <w:p>
      <w:pPr>
        <w:spacing w:lineRule="exact" w:line="320" w:before="0" w:after="0"/>
        <w:jc w:val="both"/>
        <w:ind w:firstLineChars="200" w:firstLine="420"/>
      </w:pPr>
      <w:r>
        <w:rPr>
          <w:rFonts w:ascii="Times New Roman" w:hAnsi="Times New Roman" w:eastAsia="宋体"/>
          <w:b w:val="0"/>
          <w:i w:val="0"/>
          <w:sz w:val="21"/>
        </w:rPr>
        <w:t>赛题官方资料已确认 ICG 的近红外窗口。与该窗口相邻的近红外候选可优先完成滤光片覆盖、串扰、灵敏度、曝光范围和背景噪声测试；紫蓝光骨荧光路线需要额外确认激发源、发射滤光、白光串扰、血液吸收、烟雾干扰、饱和控制及光源安全机制。近红外第二窗口相关候选需待设备光源、探测器和滤光配置获得实测确认后再进入适配阶段。</w:t>
      </w:r>
    </w:p>
    <w:p>
      <w:pPr>
        <w:spacing w:lineRule="exact" w:line="320" w:before="0" w:after="0"/>
        <w:jc w:val="both"/>
        <w:ind w:firstLineChars="200" w:firstLine="420"/>
      </w:pPr>
      <w:r>
        <w:rPr>
          <w:rFonts w:ascii="Times New Roman" w:hAnsi="Times New Roman" w:eastAsia="宋体"/>
          <w:b w:val="0"/>
          <w:i w:val="0"/>
          <w:sz w:val="21"/>
        </w:rPr>
        <w:t>建议按照 A0 至 A4 的分级验证推进：</w:t>
      </w:r>
    </w:p>
    <w:tbl>
      <w:tblPr>
        <w:tblW w:type="auto" w:w="0"/>
        <w:jc w:val="center"/>
        <w:tblLayout w:type="autofit"/>
        <w:tblLook w:firstColumn="1" w:firstRow="1" w:lastColumn="0" w:lastRow="0" w:noHBand="0" w:noVBand="1" w:val="04A0"/>
      </w:tblPr>
      <w:tblGrid>
        <w:gridCol w:w="2409"/>
        <w:gridCol w:w="2409"/>
        <w:gridCol w:w="2409"/>
        <w:gridCol w:w="2409"/>
      </w:tblGrid>
      <w:tr>
        <w:tc>
          <w:tcPr>
            <w:tcW w:type="dxa" w:w="2409"/>
            <w:tcBorders>
              <w:top w:val="single" w:sz="6" w:color="000000"/>
              <w:bottom w:val="single" w:sz="6" w:color="000000"/>
              <w:left w:val="nil"/>
              <w:right w:val="nil"/>
              <w:insideH w:val="single" w:sz="6" w:color="000000"/>
              <w:insideV w:val="nil"/>
            </w:tcBorders>
          </w:tcPr>
          <w:p>
            <w:pPr>
              <w:spacing w:lineRule="exact" w:line="320"/>
              <w:jc w:val="center"/>
            </w:pPr>
            <w:r/>
            <w:r>
              <w:rPr>
                <w:rFonts w:ascii="Times New Roman" w:hAnsi="Times New Roman" w:eastAsia="宋体"/>
                <w:b/>
                <w:i w:val="0"/>
                <w:sz w:val="18"/>
              </w:rPr>
              <w:t>阶段</w:t>
            </w:r>
          </w:p>
        </w:tc>
        <w:tc>
          <w:tcPr>
            <w:tcW w:type="dxa" w:w="2409"/>
            <w:tcBorders>
              <w:top w:val="single" w:sz="6" w:color="000000"/>
              <w:bottom w:val="single" w:sz="6" w:color="000000"/>
              <w:left w:val="nil"/>
              <w:right w:val="nil"/>
              <w:insideH w:val="single" w:sz="6" w:color="000000"/>
              <w:insideV w:val="nil"/>
            </w:tcBorders>
          </w:tcPr>
          <w:p>
            <w:pPr>
              <w:spacing w:lineRule="exact" w:line="320"/>
              <w:jc w:val="center"/>
            </w:pPr>
            <w:r/>
            <w:r>
              <w:rPr>
                <w:rFonts w:ascii="Times New Roman" w:hAnsi="Times New Roman" w:eastAsia="宋体"/>
                <w:b/>
                <w:i w:val="0"/>
                <w:sz w:val="18"/>
              </w:rPr>
              <w:t>验证体系</w:t>
            </w:r>
          </w:p>
        </w:tc>
        <w:tc>
          <w:tcPr>
            <w:tcW w:type="dxa" w:w="2409"/>
            <w:tcBorders>
              <w:top w:val="single" w:sz="6" w:color="000000"/>
              <w:bottom w:val="single" w:sz="6" w:color="000000"/>
              <w:left w:val="nil"/>
              <w:right w:val="nil"/>
              <w:insideH w:val="single" w:sz="6" w:color="000000"/>
              <w:insideV w:val="nil"/>
            </w:tcBorders>
          </w:tcPr>
          <w:p>
            <w:pPr>
              <w:spacing w:lineRule="exact" w:line="320"/>
              <w:jc w:val="center"/>
            </w:pPr>
            <w:r/>
            <w:r>
              <w:rPr>
                <w:rFonts w:ascii="Times New Roman" w:hAnsi="Times New Roman" w:eastAsia="宋体"/>
                <w:b/>
                <w:i w:val="0"/>
                <w:sz w:val="18"/>
              </w:rPr>
              <w:t>关键终点</w:t>
            </w:r>
          </w:p>
        </w:tc>
        <w:tc>
          <w:tcPr>
            <w:tcW w:type="dxa" w:w="2409"/>
            <w:tcBorders>
              <w:top w:val="single" w:sz="6" w:color="000000"/>
              <w:bottom w:val="single" w:sz="6" w:color="000000"/>
              <w:left w:val="nil"/>
              <w:right w:val="nil"/>
              <w:insideH w:val="single" w:sz="6" w:color="000000"/>
              <w:insideV w:val="nil"/>
            </w:tcBorders>
          </w:tcPr>
          <w:p>
            <w:pPr>
              <w:spacing w:lineRule="exact" w:line="320"/>
              <w:jc w:val="center"/>
            </w:pPr>
            <w:r/>
            <w:r>
              <w:rPr>
                <w:rFonts w:ascii="Times New Roman" w:hAnsi="Times New Roman" w:eastAsia="宋体"/>
                <w:b/>
                <w:i w:val="0"/>
                <w:sz w:val="18"/>
              </w:rPr>
              <w:t>典型停止条件</w:t>
            </w:r>
          </w:p>
        </w:tc>
      </w:tr>
      <w:tr>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A0</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候选分子、ICG 与功能模块对照</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光谱、光稳定性、滤光匹配、串扰</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光谱不匹配或稳定性不足</w:t>
            </w:r>
          </w:p>
        </w:tc>
      </w:tr>
      <w:tr>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A1</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骨矿物、蛋白、血清与不同酸碱环境</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骨亲和、非特异吸附、信噪比</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选择性不足</w:t>
            </w:r>
          </w:p>
        </w:tc>
      </w:tr>
      <w:tr>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A2</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多菌种、生物膜、细胞与无菌对照</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结合、竞争抑制、细胞毒性</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毒性或偏倚不可接受</w:t>
            </w:r>
          </w:p>
        </w:tc>
      </w:tr>
      <w:tr>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A3</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活骨、坏死骨、炎症软组织与仿体</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边界对比、深度、剂量窗口、显微适配</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重复性或对比度不足</w:t>
            </w:r>
          </w:p>
        </w:tc>
      </w:tr>
      <w:tr>
        <w:tc>
          <w:tcPr>
            <w:tcW w:type="dxa" w:w="2409"/>
            <w:tcBorders>
              <w:top w:val="nil"/>
              <w:bottom w:val="single" w:sz="6" w:color="000000"/>
              <w:left w:val="nil"/>
              <w:right w:val="nil"/>
              <w:insideH w:val="nil"/>
              <w:insideV w:val="nil"/>
            </w:tcBorders>
          </w:tcPr>
          <w:p>
            <w:pPr>
              <w:spacing w:lineRule="exact" w:line="320"/>
              <w:jc w:val="left"/>
            </w:pPr>
            <w:r/>
            <w:r>
              <w:rPr>
                <w:rFonts w:ascii="Times New Roman" w:hAnsi="Times New Roman" w:eastAsia="宋体"/>
                <w:b w:val="0"/>
                <w:i w:val="0"/>
                <w:sz w:val="18"/>
              </w:rPr>
              <w:t>A4</w:t>
            </w:r>
          </w:p>
        </w:tc>
        <w:tc>
          <w:tcPr>
            <w:tcW w:type="dxa" w:w="2409"/>
            <w:tcBorders>
              <w:top w:val="nil"/>
              <w:bottom w:val="single" w:sz="6" w:color="000000"/>
              <w:left w:val="nil"/>
              <w:right w:val="nil"/>
              <w:insideH w:val="nil"/>
              <w:insideV w:val="nil"/>
            </w:tcBorders>
          </w:tcPr>
          <w:p>
            <w:pPr>
              <w:spacing w:lineRule="exact" w:line="320"/>
              <w:jc w:val="left"/>
            </w:pPr>
            <w:r/>
            <w:r>
              <w:rPr>
                <w:rFonts w:ascii="Times New Roman" w:hAnsi="Times New Roman" w:eastAsia="宋体"/>
                <w:b w:val="0"/>
                <w:i w:val="0"/>
                <w:sz w:val="18"/>
              </w:rPr>
              <w:t>经伦理批准的前临床研究</w:t>
            </w:r>
          </w:p>
        </w:tc>
        <w:tc>
          <w:tcPr>
            <w:tcW w:type="dxa" w:w="2409"/>
            <w:tcBorders>
              <w:top w:val="nil"/>
              <w:bottom w:val="single" w:sz="6" w:color="000000"/>
              <w:left w:val="nil"/>
              <w:right w:val="nil"/>
              <w:insideH w:val="nil"/>
              <w:insideV w:val="nil"/>
            </w:tcBorders>
          </w:tcPr>
          <w:p>
            <w:pPr>
              <w:spacing w:lineRule="exact" w:line="320"/>
              <w:jc w:val="left"/>
            </w:pPr>
            <w:r/>
            <w:r>
              <w:rPr>
                <w:rFonts w:ascii="Times New Roman" w:hAnsi="Times New Roman" w:eastAsia="宋体"/>
                <w:b w:val="0"/>
                <w:i w:val="0"/>
                <w:sz w:val="18"/>
              </w:rPr>
              <w:t>药代、安全性、病理与培养对照</w:t>
            </w:r>
          </w:p>
        </w:tc>
        <w:tc>
          <w:tcPr>
            <w:tcW w:type="dxa" w:w="2409"/>
            <w:tcBorders>
              <w:top w:val="nil"/>
              <w:bottom w:val="single" w:sz="6" w:color="000000"/>
              <w:left w:val="nil"/>
              <w:right w:val="nil"/>
              <w:insideH w:val="nil"/>
              <w:insideV w:val="nil"/>
            </w:tcBorders>
          </w:tcPr>
          <w:p>
            <w:pPr>
              <w:spacing w:lineRule="exact" w:line="320"/>
              <w:jc w:val="left"/>
            </w:pPr>
            <w:r/>
            <w:r>
              <w:rPr>
                <w:rFonts w:ascii="Times New Roman" w:hAnsi="Times New Roman" w:eastAsia="宋体"/>
                <w:b w:val="0"/>
                <w:i w:val="0"/>
                <w:sz w:val="18"/>
              </w:rPr>
              <w:t>安全门未通过</w:t>
            </w:r>
          </w:p>
        </w:tc>
      </w:tr>
    </w:tbl>
    <w:p>
      <w:pPr>
        <w:spacing w:lineRule="exact" w:line="320" w:before="0" w:after="60"/>
      </w:pPr>
    </w:p>
    <w:p>
      <w:pPr>
        <w:spacing w:lineRule="exact" w:line="320" w:before="0" w:after="0"/>
        <w:jc w:val="both"/>
        <w:ind w:firstLineChars="200" w:firstLine="420"/>
      </w:pPr>
      <w:r>
        <w:rPr>
          <w:rFonts w:ascii="Times New Roman" w:hAnsi="Times New Roman" w:eastAsia="宋体"/>
          <w:b w:val="0"/>
          <w:i w:val="0"/>
          <w:sz w:val="21"/>
        </w:rPr>
        <w:t>软件平台可在每一阶段接收经核验的采集时相、激发和发射范围、曝光、增益、倍率、工作距离、背景策略和预期信号方向，用于完成多通道质控、归一化、伪彩、ROI 曲线和证据回顾。实测参数进入平台后仍需保留来源和验证等级，保证文献假设、工程结果与后续实验结果之间清晰可辨。</w:t>
      </w:r>
    </w:p>
    <w:p>
      <w:pPr>
        <w:spacing w:lineRule="exact" w:line="320" w:before="120" w:after="60"/>
        <w:jc w:val="left"/>
        <w:ind w:firstLineChars="200" w:firstLine="480"/>
      </w:pPr>
      <w:r>
        <w:rPr>
          <w:rFonts w:ascii="Times New Roman" w:hAnsi="Times New Roman" w:eastAsia="仿宋_GB2312"/>
          <w:b/>
          <w:i w:val="0"/>
          <w:sz w:val="24"/>
        </w:rPr>
        <w:t>（五）当前可行性结论</w:t>
      </w:r>
    </w:p>
    <w:p>
      <w:pPr>
        <w:spacing w:lineRule="exact" w:line="320" w:before="0" w:after="0"/>
        <w:jc w:val="both"/>
        <w:ind w:firstLineChars="200" w:firstLine="420"/>
      </w:pPr>
      <w:r>
        <w:rPr>
          <w:rFonts w:ascii="Times New Roman" w:hAnsi="Times New Roman" w:eastAsia="宋体"/>
          <w:b w:val="0"/>
          <w:i w:val="0"/>
          <w:sz w:val="21"/>
        </w:rPr>
        <w:t>造影剂路线当前形成了“ICG 灌注基线—骨活性补充—模块化双功能探针”的分层设计。现阶段的可行性来自公开文献、光谱适配分析、分级实验设计和已运行的软件量化能力。真正的颌骨骨髓炎特异性、死骨选择性、人体安全性和临床应用价值，需要在目标分子确定后，依次完成材料、细胞、组织、前临床及监管伦理验证。</w:t>
      </w:r>
    </w:p>
    <w:p>
      <w:pPr>
        <w:spacing w:lineRule="exact" w:line="320" w:before="0" w:after="0"/>
        <w:jc w:val="both"/>
        <w:ind w:firstLineChars="200" w:firstLine="420"/>
      </w:pPr>
      <w:r>
        <w:rPr>
          <w:rFonts w:ascii="Times New Roman" w:hAnsi="Times New Roman" w:eastAsia="宋体"/>
          <w:b w:val="0"/>
          <w:i w:val="0"/>
          <w:sz w:val="21"/>
        </w:rPr>
        <w:t>该分级路径使造影剂研究与软件开发保持同一证据尺度：软件能够先支撑信号采集、质量控制、融合显示和医生复核；候选分子的性能主张仅随实测证据逐级增加，避免以软件展示或外部文献替代造影剂本身的验证。</w:t>
      </w:r>
    </w:p>
    <w:p>
      <w:pPr>
        <w:spacing w:lineRule="exact" w:line="320" w:before="240" w:after="120"/>
        <w:jc w:val="center"/>
      </w:pPr>
      <w:r>
        <w:rPr>
          <w:rFonts w:ascii="Times New Roman" w:hAnsi="Times New Roman" w:eastAsia="黑体"/>
          <w:b/>
          <w:i w:val="0"/>
          <w:sz w:val="28"/>
        </w:rPr>
        <w:t>四、第 4 章 多模态荧光显微图像融合方法</w:t>
      </w:r>
    </w:p>
    <w:p>
      <w:pPr>
        <w:spacing w:lineRule="exact" w:line="320" w:before="120" w:after="120"/>
      </w:pPr>
    </w:p>
    <w:p>
      <w:pPr>
        <w:spacing w:lineRule="exact" w:line="320" w:before="120" w:after="60"/>
        <w:jc w:val="left"/>
        <w:ind w:firstLineChars="200" w:firstLine="480"/>
      </w:pPr>
      <w:r>
        <w:rPr>
          <w:rFonts w:ascii="Times New Roman" w:hAnsi="Times New Roman" w:eastAsia="仿宋_GB2312"/>
          <w:b/>
          <w:i w:val="0"/>
          <w:sz w:val="24"/>
        </w:rPr>
        <w:t>（一）输入组织与多通道资料</w:t>
      </w:r>
    </w:p>
    <w:p>
      <w:pPr>
        <w:spacing w:lineRule="exact" w:line="320" w:before="0" w:after="0"/>
        <w:jc w:val="both"/>
        <w:ind w:firstLineChars="200" w:firstLine="420"/>
      </w:pPr>
      <w:r>
        <w:rPr>
          <w:rFonts w:ascii="Times New Roman" w:hAnsi="Times New Roman" w:eastAsia="宋体"/>
          <w:b w:val="0"/>
          <w:i w:val="0"/>
          <w:sz w:val="21"/>
        </w:rPr>
        <w:t>赛题官方技术资料确认显微镜影像采用 4K 分辨率，图片以 JPEG 保存，视频以 MP4 保存。平台以这两类文件作为一级输入：JPEG 工作流用于白光与荧光成对分析；MP4 工作流用于原始播放、关键帧分析和串行连续帧分析。医院设备导出的 AVI 可经受控转码后进入视频分析通道，并保留原始文件与转码材料的对应关系。</w:t>
      </w:r>
    </w:p>
    <w:p>
      <w:pPr>
        <w:spacing w:lineRule="exact" w:line="320" w:before="0" w:after="0"/>
        <w:jc w:val="both"/>
        <w:ind w:firstLineChars="200" w:firstLine="420"/>
      </w:pPr>
      <w:r>
        <w:rPr>
          <w:rFonts w:ascii="Times New Roman" w:hAnsi="Times New Roman" w:eastAsia="宋体"/>
          <w:b w:val="0"/>
          <w:i w:val="0"/>
          <w:sz w:val="21"/>
        </w:rPr>
        <w:t>平台支持单路视频、独立白光与荧光双路视频，以及原彩图、荧光图、设备叠加图组成的可选三路视频。每一视频会话记录通道角色、时长、帧率、时间偏移、共同有效区间和同步状态。白光、荧光、融合和 AI 结果在统一检查布局中呈现，保证医学画面完整居中显示；双路视频采用共同播放时钟校正，三路视频在双路分析基础上增加设备叠加图的一致性核对。</w:t>
      </w:r>
    </w:p>
    <w:tbl>
      <w:tblPr>
        <w:tblW w:type="auto" w:w="0"/>
        <w:jc w:val="center"/>
        <w:tblLayout w:type="autofit"/>
        <w:tblLook w:firstColumn="1" w:firstRow="1" w:lastColumn="0" w:lastRow="0" w:noHBand="0" w:noVBand="1" w:val="04A0"/>
      </w:tblPr>
      <w:tblGrid>
        <w:gridCol w:w="2409"/>
        <w:gridCol w:w="2409"/>
        <w:gridCol w:w="2409"/>
        <w:gridCol w:w="2409"/>
      </w:tblGrid>
      <w:tr>
        <w:tc>
          <w:tcPr>
            <w:tcW w:type="dxa" w:w="2409"/>
            <w:tcBorders>
              <w:top w:val="single" w:sz="6" w:color="000000"/>
              <w:bottom w:val="single" w:sz="6" w:color="000000"/>
              <w:left w:val="nil"/>
              <w:right w:val="nil"/>
              <w:insideH w:val="single" w:sz="6" w:color="000000"/>
              <w:insideV w:val="nil"/>
            </w:tcBorders>
          </w:tcPr>
          <w:p>
            <w:pPr>
              <w:spacing w:lineRule="exact" w:line="320"/>
              <w:jc w:val="center"/>
            </w:pPr>
            <w:r/>
            <w:r>
              <w:rPr>
                <w:rFonts w:ascii="Times New Roman" w:hAnsi="Times New Roman" w:eastAsia="宋体"/>
                <w:b/>
                <w:i w:val="0"/>
                <w:sz w:val="18"/>
              </w:rPr>
              <w:t>输入模式</w:t>
            </w:r>
          </w:p>
        </w:tc>
        <w:tc>
          <w:tcPr>
            <w:tcW w:type="dxa" w:w="2409"/>
            <w:tcBorders>
              <w:top w:val="single" w:sz="6" w:color="000000"/>
              <w:bottom w:val="single" w:sz="6" w:color="000000"/>
              <w:left w:val="nil"/>
              <w:right w:val="nil"/>
              <w:insideH w:val="single" w:sz="6" w:color="000000"/>
              <w:insideV w:val="nil"/>
            </w:tcBorders>
          </w:tcPr>
          <w:p>
            <w:pPr>
              <w:spacing w:lineRule="exact" w:line="320"/>
              <w:jc w:val="center"/>
            </w:pPr>
            <w:r/>
            <w:r>
              <w:rPr>
                <w:rFonts w:ascii="Times New Roman" w:hAnsi="Times New Roman" w:eastAsia="宋体"/>
                <w:b/>
                <w:i w:val="0"/>
                <w:sz w:val="18"/>
              </w:rPr>
              <w:t>适用场景</w:t>
            </w:r>
          </w:p>
        </w:tc>
        <w:tc>
          <w:tcPr>
            <w:tcW w:type="dxa" w:w="2409"/>
            <w:tcBorders>
              <w:top w:val="single" w:sz="6" w:color="000000"/>
              <w:bottom w:val="single" w:sz="6" w:color="000000"/>
              <w:left w:val="nil"/>
              <w:right w:val="nil"/>
              <w:insideH w:val="single" w:sz="6" w:color="000000"/>
              <w:insideV w:val="nil"/>
            </w:tcBorders>
          </w:tcPr>
          <w:p>
            <w:pPr>
              <w:spacing w:lineRule="exact" w:line="320"/>
              <w:jc w:val="center"/>
            </w:pPr>
            <w:r/>
            <w:r>
              <w:rPr>
                <w:rFonts w:ascii="Times New Roman" w:hAnsi="Times New Roman" w:eastAsia="宋体"/>
                <w:b/>
                <w:i w:val="0"/>
                <w:sz w:val="18"/>
              </w:rPr>
              <w:t>分析主体</w:t>
            </w:r>
          </w:p>
        </w:tc>
        <w:tc>
          <w:tcPr>
            <w:tcW w:type="dxa" w:w="2409"/>
            <w:tcBorders>
              <w:top w:val="single" w:sz="6" w:color="000000"/>
              <w:bottom w:val="single" w:sz="6" w:color="000000"/>
              <w:left w:val="nil"/>
              <w:right w:val="nil"/>
              <w:insideH w:val="single" w:sz="6" w:color="000000"/>
              <w:insideV w:val="nil"/>
            </w:tcBorders>
          </w:tcPr>
          <w:p>
            <w:pPr>
              <w:spacing w:lineRule="exact" w:line="320"/>
              <w:jc w:val="center"/>
            </w:pPr>
            <w:r/>
            <w:r>
              <w:rPr>
                <w:rFonts w:ascii="Times New Roman" w:hAnsi="Times New Roman" w:eastAsia="宋体"/>
                <w:b/>
                <w:i w:val="0"/>
                <w:sz w:val="18"/>
              </w:rPr>
              <w:t>质量控制重点</w:t>
            </w:r>
          </w:p>
        </w:tc>
      </w:tr>
      <w:tr>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成对 JPEG</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白光与荧光静态对照</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白光原图与原始荧光图</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配对关系、几何一致性、配准质量</w:t>
            </w:r>
          </w:p>
        </w:tc>
      </w:tr>
      <w:tr>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单路 MP4</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文件视频播放与信号工程验证</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原始视频及其关键帧或连续帧</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可解码性、最近结果帧、处理节奏</w:t>
            </w:r>
          </w:p>
        </w:tc>
      </w:tr>
      <w:tr>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双路 MP4</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独立白光与荧光视频</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同步白光、荧光与融合帧</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时间偏移、共同有效区间、关键帧配准</w:t>
            </w:r>
          </w:p>
        </w:tc>
      </w:tr>
      <w:tr>
        <w:tc>
          <w:tcPr>
            <w:tcW w:type="dxa" w:w="2409"/>
            <w:tcBorders>
              <w:top w:val="nil"/>
              <w:bottom w:val="single" w:sz="6" w:color="000000"/>
              <w:left w:val="nil"/>
              <w:right w:val="nil"/>
              <w:insideH w:val="nil"/>
              <w:insideV w:val="nil"/>
            </w:tcBorders>
          </w:tcPr>
          <w:p>
            <w:pPr>
              <w:spacing w:lineRule="exact" w:line="320"/>
              <w:jc w:val="left"/>
            </w:pPr>
            <w:r/>
            <w:r>
              <w:rPr>
                <w:rFonts w:ascii="Times New Roman" w:hAnsi="Times New Roman" w:eastAsia="宋体"/>
                <w:b w:val="0"/>
                <w:i w:val="0"/>
                <w:sz w:val="18"/>
              </w:rPr>
              <w:t>三路 MP4</w:t>
            </w:r>
          </w:p>
        </w:tc>
        <w:tc>
          <w:tcPr>
            <w:tcW w:type="dxa" w:w="2409"/>
            <w:tcBorders>
              <w:top w:val="nil"/>
              <w:bottom w:val="single" w:sz="6" w:color="000000"/>
              <w:left w:val="nil"/>
              <w:right w:val="nil"/>
              <w:insideH w:val="nil"/>
              <w:insideV w:val="nil"/>
            </w:tcBorders>
          </w:tcPr>
          <w:p>
            <w:pPr>
              <w:spacing w:lineRule="exact" w:line="320"/>
              <w:jc w:val="left"/>
            </w:pPr>
            <w:r/>
            <w:r>
              <w:rPr>
                <w:rFonts w:ascii="Times New Roman" w:hAnsi="Times New Roman" w:eastAsia="宋体"/>
                <w:b w:val="0"/>
                <w:i w:val="0"/>
                <w:sz w:val="18"/>
              </w:rPr>
              <w:t>原彩图、荧光图与设备叠加图</w:t>
            </w:r>
          </w:p>
        </w:tc>
        <w:tc>
          <w:tcPr>
            <w:tcW w:type="dxa" w:w="2409"/>
            <w:tcBorders>
              <w:top w:val="nil"/>
              <w:bottom w:val="single" w:sz="6" w:color="000000"/>
              <w:left w:val="nil"/>
              <w:right w:val="nil"/>
              <w:insideH w:val="nil"/>
              <w:insideV w:val="nil"/>
            </w:tcBorders>
          </w:tcPr>
          <w:p>
            <w:pPr>
              <w:spacing w:lineRule="exact" w:line="320"/>
              <w:jc w:val="left"/>
            </w:pPr>
            <w:r/>
            <w:r>
              <w:rPr>
                <w:rFonts w:ascii="Times New Roman" w:hAnsi="Times New Roman" w:eastAsia="宋体"/>
                <w:b w:val="0"/>
                <w:i w:val="0"/>
                <w:sz w:val="18"/>
              </w:rPr>
              <w:t>原彩图与原始荧光图；设备叠加图用于核对</w:t>
            </w:r>
          </w:p>
        </w:tc>
        <w:tc>
          <w:tcPr>
            <w:tcW w:type="dxa" w:w="2409"/>
            <w:tcBorders>
              <w:top w:val="nil"/>
              <w:bottom w:val="single" w:sz="6" w:color="000000"/>
              <w:left w:val="nil"/>
              <w:right w:val="nil"/>
              <w:insideH w:val="nil"/>
              <w:insideV w:val="nil"/>
            </w:tcBorders>
          </w:tcPr>
          <w:p>
            <w:pPr>
              <w:spacing w:lineRule="exact" w:line="320"/>
              <w:jc w:val="left"/>
            </w:pPr>
            <w:r/>
            <w:r>
              <w:rPr>
                <w:rFonts w:ascii="Times New Roman" w:hAnsi="Times New Roman" w:eastAsia="宋体"/>
                <w:b w:val="0"/>
                <w:i w:val="0"/>
                <w:sz w:val="18"/>
              </w:rPr>
              <w:t>通道同步、几何关系、叠加一致性</w:t>
            </w:r>
          </w:p>
        </w:tc>
      </w:tr>
    </w:tbl>
    <w:p>
      <w:pPr>
        <w:spacing w:lineRule="exact" w:line="320" w:before="0" w:after="60"/>
      </w:pPr>
    </w:p>
    <w:p>
      <w:pPr>
        <w:spacing w:lineRule="exact" w:line="320" w:before="0" w:after="0"/>
        <w:jc w:val="both"/>
        <w:ind w:firstLineChars="200" w:firstLine="420"/>
      </w:pPr>
      <w:r>
        <w:rPr>
          <w:rFonts w:ascii="Times New Roman" w:hAnsi="Times New Roman" w:eastAsia="宋体"/>
          <w:b w:val="0"/>
          <w:i w:val="0"/>
          <w:sz w:val="21"/>
        </w:rPr>
        <w:t>设备叠加图承担显示参照与质量核对职责。模型和量化分析基于原彩图与原始荧光图完成，避免把设备端已叠加效果当作独立的病灶证据。倍率、工作距离、曝光、增益、相机标定和位姿等信息可随文件记录或由人工补充；缺失时平台保持图像级结果，物理面积换算和空间解释标记为待复核。</w:t>
      </w:r>
    </w:p>
    <w:p>
      <w:pPr>
        <w:spacing w:lineRule="exact" w:line="320" w:before="120" w:after="60"/>
        <w:jc w:val="left"/>
        <w:ind w:firstLineChars="200" w:firstLine="480"/>
      </w:pPr>
      <w:r>
        <w:rPr>
          <w:rFonts w:ascii="Times New Roman" w:hAnsi="Times New Roman" w:eastAsia="仿宋_GB2312"/>
          <w:b/>
          <w:i w:val="0"/>
          <w:sz w:val="24"/>
        </w:rPr>
        <w:t>（二）白光—荧光融合链</w:t>
      </w:r>
    </w:p>
    <w:p>
      <w:pPr>
        <w:spacing w:lineRule="exact" w:line="320" w:before="0" w:after="0"/>
        <w:jc w:val="both"/>
        <w:ind w:firstLineChars="200" w:firstLine="420"/>
      </w:pPr>
      <w:r>
        <w:rPr>
          <w:rFonts w:ascii="Times New Roman" w:hAnsi="Times New Roman" w:eastAsia="宋体"/>
          <w:b w:val="0"/>
          <w:i w:val="0"/>
          <w:sz w:val="21"/>
        </w:rPr>
        <w:t>多模态融合将结构信息与荧光相对强度组织为同一可检查画面。处理链包括输入验证、几何一致性检查、荧光灰度化、背景扣除、空间配准、稳健归一化、伪彩映射、透明融合、局部增强、ROI 量化和证据写出。几何处理与强度处理分别完成，减少亮度差异对配准估计的干扰。</w:t>
      </w:r>
    </w:p>
    <w:p>
      <w:pPr>
        <w:spacing w:lineRule="exact" w:line="320"/>
        <w:jc w:val="center"/>
      </w:pPr>
      <w:r>
        <w:drawing>
          <wp:inline xmlns:a="http://schemas.openxmlformats.org/drawingml/2006/main" xmlns:pic="http://schemas.openxmlformats.org/drawingml/2006/picture">
            <wp:extent cx="4320000" cy="2434909"/>
            <wp:docPr id="3" name="Picture 3"/>
            <wp:cNvGraphicFramePr>
              <a:graphicFrameLocks noChangeAspect="1"/>
            </wp:cNvGraphicFramePr>
            <a:graphic>
              <a:graphicData uri="http://schemas.openxmlformats.org/drawingml/2006/picture">
                <pic:pic>
                  <pic:nvPicPr>
                    <pic:cNvPr id="0" name="fig_04_01_fusion_pipeline.png"/>
                    <pic:cNvPicPr/>
                  </pic:nvPicPr>
                  <pic:blipFill>
                    <a:blip r:embed="rId11"/>
                    <a:stretch>
                      <a:fillRect/>
                    </a:stretch>
                  </pic:blipFill>
                  <pic:spPr>
                    <a:xfrm>
                      <a:off x="0" y="0"/>
                      <a:ext cx="4320000" cy="2434909"/>
                    </a:xfrm>
                    <a:prstGeom prst="rect"/>
                  </pic:spPr>
                </pic:pic>
              </a:graphicData>
            </a:graphic>
          </wp:inline>
        </w:drawing>
      </w:r>
    </w:p>
    <w:p>
      <w:pPr>
        <w:spacing w:lineRule="exact" w:line="320" w:before="0" w:after="120"/>
        <w:jc w:val="center"/>
      </w:pPr>
      <w:r>
        <w:rPr>
          <w:rFonts w:ascii="Times New Roman" w:hAnsi="Times New Roman" w:eastAsia="宋体"/>
          <w:b w:val="0"/>
          <w:i w:val="0"/>
          <w:sz w:val="18"/>
        </w:rPr>
        <w:t>图4-1 白光与荧光双通道融合及三通道质控</w:t>
      </w:r>
    </w:p>
    <w:p>
      <w:pPr>
        <w:spacing w:lineRule="exact" w:line="320" w:before="0" w:after="120"/>
        <w:jc w:val="center"/>
      </w:pPr>
      <w:r>
        <w:rPr>
          <w:rFonts w:ascii="Times New Roman" w:hAnsi="Times New Roman" w:eastAsia="宋体"/>
          <w:b w:val="0"/>
          <w:i/>
          <w:color w:val="555555"/>
          <w:sz w:val="18"/>
        </w:rPr>
        <w:t>Fig 4-1 白光与荧光融合及三通道质量控制流程。原彩图和原始荧光图进入配准、归一化、伪彩与融合处理；设备叠加图用于显示参照和一致性核对。</w:t>
      </w:r>
    </w:p>
    <w:p>
      <w:pPr>
        <w:spacing w:lineRule="exact" w:line="320" w:before="0" w:after="0"/>
        <w:jc w:val="both"/>
        <w:ind w:firstLineChars="200" w:firstLine="420"/>
      </w:pPr>
      <w:r>
        <w:rPr>
          <w:rFonts w:ascii="Times New Roman" w:hAnsi="Times New Roman" w:eastAsia="宋体"/>
          <w:b w:val="0"/>
          <w:i w:val="0"/>
          <w:sz w:val="21"/>
        </w:rPr>
        <w:t>空间配准采用多尺度相位相关作为高效平移基线，并结合分块测量和相似变换候选处理局部遮挡、倍率切换和残余几何差异。所有候选变换均需通过相关响应、位移范围、尺度和残差改善等质量门，才应用于原始图像。对组织表面起伏或局部遮挡引起的残余差异，系统可在边界范围内进行局部补偿；质量不足时保留最近可信变换或退回全局结果。</w:t>
      </w:r>
    </w:p>
    <w:p>
      <w:pPr>
        <w:spacing w:lineRule="exact" w:line="320" w:before="0" w:after="0"/>
        <w:jc w:val="both"/>
        <w:ind w:firstLineChars="200" w:firstLine="420"/>
      </w:pPr>
      <w:r>
        <w:rPr>
          <w:rFonts w:ascii="Times New Roman" w:hAnsi="Times New Roman" w:eastAsia="宋体"/>
          <w:b w:val="0"/>
          <w:i w:val="0"/>
          <w:sz w:val="21"/>
        </w:rPr>
        <w:t>荧光强度经背景扣除和稳健归一化后映射为伪彩层，并以透明方式叠加于白光图。绿色、琥珀色和洋红色显示方案用于适应不同白光背景下的观察需求；伪彩不改变原始强度证据，ROI 与全图量化继续基于处理后的数值链记录。融合输出同时保留色标、信号分布、ROI 面积、相对高信号比例和配准状态，便于医生回看。</w:t>
      </w:r>
    </w:p>
    <w:p>
      <w:pPr>
        <w:spacing w:lineRule="exact" w:line="320"/>
        <w:jc w:val="center"/>
      </w:pPr>
      <w:r>
        <w:drawing>
          <wp:inline xmlns:a="http://schemas.openxmlformats.org/drawingml/2006/main" xmlns:pic="http://schemas.openxmlformats.org/drawingml/2006/picture">
            <wp:extent cx="4320000" cy="2434909"/>
            <wp:docPr id="4" name="Picture 4"/>
            <wp:cNvGraphicFramePr>
              <a:graphicFrameLocks noChangeAspect="1"/>
            </wp:cNvGraphicFramePr>
            <a:graphic>
              <a:graphicData uri="http://schemas.openxmlformats.org/drawingml/2006/picture">
                <pic:pic>
                  <pic:nvPicPr>
                    <pic:cNvPr id="0" name="fig_04_02_d083_review_layers.png"/>
                    <pic:cNvPicPr/>
                  </pic:nvPicPr>
                  <pic:blipFill>
                    <a:blip r:embed="rId12"/>
                    <a:stretch>
                      <a:fillRect/>
                    </a:stretch>
                  </pic:blipFill>
                  <pic:spPr>
                    <a:xfrm>
                      <a:off x="0" y="0"/>
                      <a:ext cx="4320000" cy="2434909"/>
                    </a:xfrm>
                    <a:prstGeom prst="rect"/>
                  </pic:spPr>
                </pic:pic>
              </a:graphicData>
            </a:graphic>
          </wp:inline>
        </w:drawing>
      </w:r>
    </w:p>
    <w:p>
      <w:pPr>
        <w:spacing w:lineRule="exact" w:line="320" w:before="0" w:after="120"/>
        <w:jc w:val="center"/>
      </w:pPr>
      <w:r>
        <w:rPr>
          <w:rFonts w:ascii="Times New Roman" w:hAnsi="Times New Roman" w:eastAsia="宋体"/>
          <w:b w:val="0"/>
          <w:i w:val="0"/>
          <w:sz w:val="18"/>
        </w:rPr>
        <w:t>图4-2 公开人体 ICG 视频代理关键帧的融合与复核图层</w:t>
      </w:r>
    </w:p>
    <w:p>
      <w:pPr>
        <w:spacing w:lineRule="exact" w:line="320" w:before="0" w:after="120"/>
        <w:jc w:val="center"/>
      </w:pPr>
      <w:r>
        <w:rPr>
          <w:rFonts w:ascii="Times New Roman" w:hAnsi="Times New Roman" w:eastAsia="宋体"/>
          <w:b w:val="0"/>
          <w:i/>
          <w:color w:val="555555"/>
          <w:sz w:val="18"/>
        </w:rPr>
        <w:t>Fig 4-2 公开人体 ICG 骨移植视频代理关键帧的融合与复核图层。图像用于融合、可视化和证据链工程验证，来源为公开人体 ICG 视频，非颌骨骨髓炎目标域。</w:t>
      </w:r>
    </w:p>
    <w:p>
      <w:pPr>
        <w:spacing w:lineRule="exact" w:line="320" w:before="120" w:after="60"/>
        <w:jc w:val="left"/>
        <w:ind w:firstLineChars="200" w:firstLine="480"/>
      </w:pPr>
      <w:r>
        <w:rPr>
          <w:rFonts w:ascii="Times New Roman" w:hAnsi="Times New Roman" w:eastAsia="仿宋_GB2312"/>
          <w:b/>
          <w:i w:val="0"/>
          <w:sz w:val="24"/>
        </w:rPr>
        <w:t>（三）视频时序分析与多通道同步</w:t>
      </w:r>
    </w:p>
    <w:p>
      <w:pPr>
        <w:spacing w:lineRule="exact" w:line="320" w:before="0" w:after="0"/>
        <w:jc w:val="both"/>
        <w:ind w:firstLineChars="200" w:firstLine="420"/>
      </w:pPr>
      <w:r>
        <w:rPr>
          <w:rFonts w:ascii="Times New Roman" w:hAnsi="Times New Roman" w:eastAsia="宋体"/>
          <w:b w:val="0"/>
          <w:i w:val="0"/>
          <w:sz w:val="21"/>
        </w:rPr>
        <w:t>视频分析区分两种刷新机制。关键帧分析面向离线抽帧、完整证据生成和回放复核；连续帧分析采用上一帧完成后立即处理下一帧的串行策略，降低请求积压并持续更新最近已验证结果。播放画面、关键帧采样、模型单帧耗时和端到端刷新时间分别记录，避免把浏览器播放帧率或关键帧刷新误读为逐帧模型性能。</w:t>
      </w:r>
    </w:p>
    <w:p>
      <w:pPr>
        <w:spacing w:lineRule="exact" w:line="320" w:before="0" w:after="0"/>
        <w:jc w:val="both"/>
        <w:ind w:firstLineChars="200" w:firstLine="420"/>
      </w:pPr>
      <w:r>
        <w:rPr>
          <w:rFonts w:ascii="Times New Roman" w:hAnsi="Times New Roman" w:eastAsia="宋体"/>
          <w:b w:val="0"/>
          <w:i w:val="0"/>
          <w:sz w:val="21"/>
        </w:rPr>
        <w:t>对于双路与三路视频，平台在播放过程中持续检查通道时间关系。原始白光和荧光视频共享播放、暂停、拖动与倍速控制；当时间偏移超过可接受范围、共同有效区间结束或同步证据不足时，融合结果会降低解释等级并提示医生复核。离线关键帧融合与 AI 结果显示最近分析时间及其与当前播放时刻的差值，连续帧分析显示当前处理状态和上一帧结果状态。</w:t>
      </w:r>
    </w:p>
    <w:p>
      <w:pPr>
        <w:spacing w:lineRule="exact" w:line="320" w:before="0" w:after="0"/>
        <w:jc w:val="both"/>
        <w:ind w:firstLineChars="200" w:firstLine="420"/>
      </w:pPr>
      <w:r>
        <w:rPr>
          <w:rFonts w:ascii="Times New Roman" w:hAnsi="Times New Roman" w:eastAsia="宋体"/>
          <w:b w:val="0"/>
          <w:i w:val="0"/>
          <w:sz w:val="21"/>
        </w:rPr>
        <w:t>平台可对视频关键帧序列计算基线校正强度、峰值校正强度、达峰时间、最大上升斜率、归一化曲线面积和持续时间。这些指标是视频信号与处理稳定性的工程参考；跨病例解释需统一采集协议、给药时相和设备条件，并由医生结合术中所见进行复核。</w:t>
      </w:r>
    </w:p>
    <w:p>
      <w:pPr>
        <w:spacing w:lineRule="exact" w:line="320" w:before="120" w:after="60"/>
        <w:jc w:val="left"/>
        <w:ind w:firstLineChars="200" w:firstLine="480"/>
      </w:pPr>
      <w:r>
        <w:rPr>
          <w:rFonts w:ascii="Times New Roman" w:hAnsi="Times New Roman" w:eastAsia="仿宋_GB2312"/>
          <w:b/>
          <w:i w:val="0"/>
          <w:sz w:val="24"/>
        </w:rPr>
        <w:t>（四）质量门控与失效降级</w:t>
      </w:r>
    </w:p>
    <w:p>
      <w:pPr>
        <w:spacing w:lineRule="exact" w:line="320" w:before="0" w:after="0"/>
        <w:jc w:val="both"/>
        <w:ind w:firstLineChars="200" w:firstLine="420"/>
      </w:pPr>
      <w:r>
        <w:rPr>
          <w:rFonts w:ascii="Times New Roman" w:hAnsi="Times New Roman" w:eastAsia="宋体"/>
          <w:b w:val="0"/>
          <w:i w:val="0"/>
          <w:sz w:val="21"/>
        </w:rPr>
        <w:t>融合处理将质量控制置于结果解释之前。配准低响应、异常大位移、图像几何不一致、视频时间关系不可信、文件解码异常或模型不可用时，平台记录原因并采取分级降级：保留原始画面；停止高风险空间叠加解释；将相关候选区或物理量化标记为待复核；继续提供可追溯的文件和处理记录。</w:t>
      </w:r>
    </w:p>
    <w:p>
      <w:pPr>
        <w:spacing w:lineRule="exact" w:line="320" w:before="0" w:after="0"/>
        <w:jc w:val="both"/>
        <w:ind w:firstLineChars="200" w:firstLine="420"/>
      </w:pPr>
      <w:r>
        <w:rPr>
          <w:rFonts w:ascii="Times New Roman" w:hAnsi="Times New Roman" w:eastAsia="宋体"/>
          <w:b w:val="0"/>
          <w:i w:val="0"/>
          <w:sz w:val="21"/>
        </w:rPr>
        <w:t>三路输出质量控制包括时间关系、几何一致性和设备叠加图差异检查。几何关系不足时，系统不执行无意义的像素级比较；叠加图差异通过可视化热图辅助人工核对。该机制的目的在于区分“可用融合证据”“需复核的融合结果”和“仅保留原始输入的情况”，避免将技术异常转化为医学解释。</w:t>
      </w:r>
    </w:p>
    <w:p>
      <w:pPr>
        <w:spacing w:lineRule="exact" w:line="320" w:before="120" w:after="60"/>
        <w:jc w:val="left"/>
        <w:ind w:firstLineChars="200" w:firstLine="480"/>
      </w:pPr>
      <w:r>
        <w:rPr>
          <w:rFonts w:ascii="Times New Roman" w:hAnsi="Times New Roman" w:eastAsia="仿宋_GB2312"/>
          <w:b/>
          <w:i w:val="0"/>
          <w:sz w:val="24"/>
        </w:rPr>
        <w:t>（五）4K 性能与工程验证</w:t>
      </w:r>
    </w:p>
    <w:p>
      <w:pPr>
        <w:spacing w:lineRule="exact" w:line="320" w:before="0" w:after="0"/>
        <w:jc w:val="both"/>
        <w:ind w:firstLineChars="200" w:firstLine="420"/>
      </w:pPr>
      <w:r>
        <w:rPr>
          <w:rFonts w:ascii="Times New Roman" w:hAnsi="Times New Roman" w:eastAsia="宋体"/>
          <w:b w:val="0"/>
          <w:i w:val="0"/>
          <w:sz w:val="21"/>
        </w:rPr>
        <w:t>平台针对官方 4K 输入提供两条处理路径。全证据路径采用分块处理，生成完整掩膜、概率图、叠加图、候选区和证据材料；连续帧路径面向播放过程中的稳定刷新，采用串行处理和受控快速叠加。两条路径保留相同的结果类别与质量状态，服务于不同的检查目的。</w:t>
      </w:r>
    </w:p>
    <w:p>
      <w:pPr>
        <w:spacing w:lineRule="exact" w:line="320" w:before="0" w:after="0"/>
        <w:jc w:val="both"/>
        <w:ind w:firstLineChars="200" w:firstLine="420"/>
      </w:pPr>
      <w:r>
        <w:rPr>
          <w:rFonts w:ascii="Times New Roman" w:hAnsi="Times New Roman" w:eastAsia="宋体"/>
          <w:b w:val="0"/>
          <w:i w:val="0"/>
          <w:sz w:val="21"/>
        </w:rPr>
        <w:t>在指定 4K 工程序列中，配准计算的 P95 为 59.022 ms，归一化、伪彩和融合计算的 P95 为 21.891 ms，合计 P95 为 82.026 ms。该结果对应项目内部的配准与融合计算验证，未包含文件解码、证据编码、存储、网络传输或 AI 推理。局部残差补偿使该工程序列的局部残差 P95 由 5.187 px 降至 1.361 px，反映工程输入中的几何一致性改善。</w:t>
      </w:r>
    </w:p>
    <w:p>
      <w:pPr>
        <w:spacing w:lineRule="exact" w:line="320"/>
        <w:jc w:val="center"/>
      </w:pPr>
      <w:r>
        <w:drawing>
          <wp:inline xmlns:a="http://schemas.openxmlformats.org/drawingml/2006/main" xmlns:pic="http://schemas.openxmlformats.org/drawingml/2006/picture">
            <wp:extent cx="4320000" cy="2434909"/>
            <wp:docPr id="5" name="Picture 5"/>
            <wp:cNvGraphicFramePr>
              <a:graphicFrameLocks noChangeAspect="1"/>
            </wp:cNvGraphicFramePr>
            <a:graphic>
              <a:graphicData uri="http://schemas.openxmlformats.org/drawingml/2006/picture">
                <pic:pic>
                  <pic:nvPicPr>
                    <pic:cNvPr id="0" name="fig_06_02_4k_engineering_input.png"/>
                    <pic:cNvPicPr/>
                  </pic:nvPicPr>
                  <pic:blipFill>
                    <a:blip r:embed="rId13"/>
                    <a:stretch>
                      <a:fillRect/>
                    </a:stretch>
                  </pic:blipFill>
                  <pic:spPr>
                    <a:xfrm>
                      <a:off x="0" y="0"/>
                      <a:ext cx="4320000" cy="2434909"/>
                    </a:xfrm>
                    <a:prstGeom prst="rect"/>
                  </pic:spPr>
                </pic:pic>
              </a:graphicData>
            </a:graphic>
          </wp:inline>
        </w:drawing>
      </w:r>
    </w:p>
    <w:p>
      <w:pPr>
        <w:spacing w:lineRule="exact" w:line="320" w:before="0" w:after="120"/>
        <w:jc w:val="center"/>
      </w:pPr>
      <w:r>
        <w:rPr>
          <w:rFonts w:ascii="Times New Roman" w:hAnsi="Times New Roman" w:eastAsia="宋体"/>
          <w:b w:val="0"/>
          <w:i w:val="0"/>
          <w:sz w:val="18"/>
        </w:rPr>
        <w:t>图4-3 4K 多通道视频处理与分级结果同步示意</w:t>
      </w:r>
    </w:p>
    <w:p>
      <w:pPr>
        <w:spacing w:lineRule="exact" w:line="320" w:before="0" w:after="120"/>
        <w:jc w:val="center"/>
      </w:pPr>
      <w:r>
        <w:rPr>
          <w:rFonts w:ascii="Times New Roman" w:hAnsi="Times New Roman" w:eastAsia="宋体"/>
          <w:b w:val="0"/>
          <w:i/>
          <w:color w:val="555555"/>
          <w:sz w:val="18"/>
        </w:rPr>
        <w:t>Fig 4-3 4K 输入进入全证据分块处理或连续帧处理的工程示意。多通道视频在同步检查后形成白光、荧光、融合和 AI 检查结果；图示用于工程流程说明，不代表真实术中逐帧病灶诊断。</w:t>
      </w:r>
    </w:p>
    <w:p>
      <w:pPr>
        <w:spacing w:lineRule="exact" w:line="320" w:before="0" w:after="0"/>
        <w:jc w:val="both"/>
        <w:ind w:firstLineChars="200" w:firstLine="420"/>
      </w:pPr>
      <w:r>
        <w:rPr>
          <w:rFonts w:ascii="Times New Roman" w:hAnsi="Times New Roman" w:eastAsia="宋体"/>
          <w:b w:val="0"/>
          <w:i w:val="0"/>
          <w:sz w:val="21"/>
        </w:rPr>
        <w:t>上述性能结果只适用于本机、版本化工程输入和既定测试协议。真实设备的通道同步、原始性、分光几何关系、标定误差、组织局部形变和连续显示稳定性仍需以实物文件与独立复核为准。平台通过质量门、分阶段计时和失效降级保留后续接入空间，同时维持当前研发验证与医生复核边界。</w:t>
      </w:r>
    </w:p>
    <w:p>
      <w:pPr>
        <w:spacing w:lineRule="exact" w:line="320" w:before="240" w:after="120"/>
        <w:jc w:val="center"/>
      </w:pPr>
      <w:r>
        <w:rPr>
          <w:rFonts w:ascii="Times New Roman" w:hAnsi="Times New Roman" w:eastAsia="黑体"/>
          <w:b/>
          <w:i w:val="0"/>
          <w:sz w:val="28"/>
        </w:rPr>
        <w:t>五、第 5 章 病灶智能识别与辅助决策模型</w:t>
      </w:r>
    </w:p>
    <w:p>
      <w:pPr>
        <w:spacing w:lineRule="exact" w:line="320" w:before="120" w:after="60"/>
        <w:jc w:val="left"/>
        <w:ind w:firstLineChars="200" w:firstLine="480"/>
      </w:pPr>
      <w:r>
        <w:rPr>
          <w:rFonts w:ascii="Times New Roman" w:hAnsi="Times New Roman" w:eastAsia="仿宋_GB2312"/>
          <w:b/>
          <w:i w:val="0"/>
          <w:sz w:val="24"/>
        </w:rPr>
        <w:t>（一）任务定位与复核流程</w:t>
      </w:r>
    </w:p>
    <w:p>
      <w:pPr>
        <w:spacing w:lineRule="exact" w:line="320" w:before="0" w:after="0"/>
        <w:jc w:val="both"/>
        <w:ind w:firstLineChars="200" w:firstLine="420"/>
      </w:pPr>
      <w:r>
        <w:rPr>
          <w:rFonts w:ascii="Times New Roman" w:hAnsi="Times New Roman" w:eastAsia="宋体"/>
          <w:b w:val="0"/>
          <w:i w:val="0"/>
          <w:sz w:val="21"/>
        </w:rPr>
        <w:t>平台的人工智能判读任务定位为术中视频信号分割与复核辅助。对官方 4K JPEG、MP4 及其可配对的白光、荧光输入，系统输出暴露骨面门控、荧光或灌注信号候选、边界风险和不确定性四类复核信息，并结合时间稳定性、图像质量和医生意见组织证据。该任务服务于“发现需要进一步查看的区域”，不输出颌骨骨髓炎自动诊断、病理终判、切除边界或真实术中导航结论。</w:t>
      </w:r>
    </w:p>
    <w:p>
      <w:pPr>
        <w:spacing w:lineRule="exact" w:line="320" w:before="0" w:after="0"/>
        <w:jc w:val="both"/>
        <w:ind w:firstLineChars="200" w:firstLine="420"/>
      </w:pPr>
      <w:r>
        <w:rPr>
          <w:rFonts w:ascii="Times New Roman" w:hAnsi="Times New Roman" w:eastAsia="宋体"/>
          <w:b w:val="0"/>
          <w:i w:val="0"/>
          <w:sz w:val="21"/>
        </w:rPr>
        <w:t>ICG 相关信号反映灌注、血管通透性和组织活性差异，受炎症、充血、水肿、出血、烟雾、曝光及操作时相影响。平台将低信号、高信号、边界变化和不确定区域表达为复核优先级，不能将其直接解释为坏死骨、感染组织或可保留骨的确定性结论。候选区、风险图和不确定性图均需进入医生复核，原始影像、融合结果和质量状态始终保留。</w:t>
      </w:r>
    </w:p>
    <w:p>
      <w:pPr>
        <w:spacing w:lineRule="exact" w:line="320" w:before="0" w:after="0"/>
        <w:jc w:val="both"/>
        <w:ind w:firstLineChars="200" w:firstLine="420"/>
      </w:pPr>
      <w:r>
        <w:rPr>
          <w:rFonts w:ascii="Times New Roman" w:hAnsi="Times New Roman" w:eastAsia="宋体"/>
          <w:b w:val="0"/>
          <w:i w:val="0"/>
          <w:sz w:val="21"/>
        </w:rPr>
        <w:t>暴露骨面门控只接受医生 ROI 或提示辅助后经复核的半自动结果。缺少可信骨面复核时，系统将该项标记为待复核或不可用，不以代理掩膜代替骨面真值。此约束使荧光信号、骨面范围与疾病解释保持分离，避免把工程演示结果外推为临床结论。</w:t>
      </w:r>
    </w:p>
    <w:p>
      <w:pPr>
        <w:spacing w:lineRule="exact" w:line="320"/>
        <w:jc w:val="center"/>
      </w:pPr>
      <w:r>
        <w:drawing>
          <wp:inline xmlns:a="http://schemas.openxmlformats.org/drawingml/2006/main" xmlns:pic="http://schemas.openxmlformats.org/drawingml/2006/picture">
            <wp:extent cx="4320000" cy="2434909"/>
            <wp:docPr id="6" name="Picture 6"/>
            <wp:cNvGraphicFramePr>
              <a:graphicFrameLocks noChangeAspect="1"/>
            </wp:cNvGraphicFramePr>
            <a:graphic>
              <a:graphicData uri="http://schemas.openxmlformats.org/drawingml/2006/picture">
                <pic:pic>
                  <pic:nvPicPr>
                    <pic:cNvPr id="0" name="fig_05_01_ai_review_pipeline.png"/>
                    <pic:cNvPicPr/>
                  </pic:nvPicPr>
                  <pic:blipFill>
                    <a:blip r:embed="rId14"/>
                    <a:stretch>
                      <a:fillRect/>
                    </a:stretch>
                  </pic:blipFill>
                  <pic:spPr>
                    <a:xfrm>
                      <a:off x="0" y="0"/>
                      <a:ext cx="4320000" cy="2434909"/>
                    </a:xfrm>
                    <a:prstGeom prst="rect"/>
                  </pic:spPr>
                </pic:pic>
              </a:graphicData>
            </a:graphic>
          </wp:inline>
        </w:drawing>
      </w:r>
    </w:p>
    <w:p>
      <w:pPr>
        <w:spacing w:lineRule="exact" w:line="320" w:before="0" w:after="120"/>
        <w:jc w:val="center"/>
      </w:pPr>
      <w:r>
        <w:rPr>
          <w:rFonts w:ascii="Times New Roman" w:hAnsi="Times New Roman" w:eastAsia="宋体"/>
          <w:b w:val="0"/>
          <w:i w:val="0"/>
          <w:sz w:val="18"/>
        </w:rPr>
        <w:t>图5-1 AI 辅助判读、医生复核与证据回灌流程</w:t>
      </w:r>
    </w:p>
    <w:p>
      <w:pPr>
        <w:spacing w:lineRule="exact" w:line="320" w:before="0" w:after="120"/>
        <w:jc w:val="center"/>
      </w:pPr>
      <w:r>
        <w:rPr>
          <w:rFonts w:ascii="Times New Roman" w:hAnsi="Times New Roman" w:eastAsia="宋体"/>
          <w:b w:val="0"/>
          <w:i/>
          <w:color w:val="555555"/>
          <w:sz w:val="18"/>
        </w:rPr>
        <w:t>图 5-1 从输入影像、融合与质量检查，到候选区、风险和不确定性提示，再到医生复核和受控回灌的闭环。所有输出均为研发验证和复核辅助信息。</w:t>
      </w:r>
    </w:p>
    <w:p>
      <w:pPr>
        <w:spacing w:lineRule="exact" w:line="320" w:before="120" w:after="60"/>
        <w:jc w:val="left"/>
        <w:ind w:firstLineChars="200" w:firstLine="480"/>
      </w:pPr>
      <w:r>
        <w:rPr>
          <w:rFonts w:ascii="Times New Roman" w:hAnsi="Times New Roman" w:eastAsia="仿宋_GB2312"/>
          <w:b/>
          <w:i w:val="0"/>
          <w:sz w:val="24"/>
        </w:rPr>
        <w:t>（二）严格主线与候选模型</w:t>
      </w:r>
    </w:p>
    <w:p>
      <w:pPr>
        <w:spacing w:lineRule="exact" w:line="320" w:before="60" w:after="40"/>
        <w:jc w:val="left"/>
        <w:ind w:firstLineChars="200" w:firstLine="420"/>
      </w:pPr>
      <w:r>
        <w:rPr>
          <w:rFonts w:ascii="Times New Roman" w:hAnsi="Times New Roman" w:eastAsia="宋体"/>
          <w:b/>
          <w:i w:val="0"/>
          <w:sz w:val="21"/>
        </w:rPr>
        <w:t>1．严格比赛主线</w:t>
      </w:r>
    </w:p>
    <w:p>
      <w:pPr>
        <w:spacing w:lineRule="exact" w:line="320" w:before="0" w:after="0"/>
        <w:jc w:val="both"/>
        <w:ind w:firstLineChars="200" w:firstLine="420"/>
      </w:pPr>
      <w:r>
        <w:rPr>
          <w:rFonts w:ascii="Times New Roman" w:hAnsi="Times New Roman" w:eastAsia="宋体"/>
          <w:b w:val="0"/>
          <w:i w:val="0"/>
          <w:sz w:val="21"/>
        </w:rPr>
        <w:t>当前严格比赛主线为残差注意力 U-Net 关键帧分割器，面向 JPEG 和 MP4 关键帧中的荧光信号候选生成。该模型参数量为 403,785，运行阈值为 0.4。严格运行仅允许已核验的主线权重参与推理，关闭测试占位模型、权重缺失回退、启发式关键帧回退和提示回退，保证现场展示的模型来源与运行行为一致、可追溯。</w:t>
      </w:r>
    </w:p>
    <w:p>
      <w:pPr>
        <w:spacing w:lineRule="exact" w:line="320" w:before="0" w:after="0"/>
        <w:jc w:val="both"/>
        <w:ind w:firstLineChars="200" w:firstLine="420"/>
      </w:pPr>
      <w:r>
        <w:rPr>
          <w:rFonts w:ascii="Times New Roman" w:hAnsi="Times New Roman" w:eastAsia="宋体"/>
          <w:b w:val="0"/>
          <w:i w:val="0"/>
          <w:sz w:val="21"/>
        </w:rPr>
        <w:t>对 4K 输入，主线采用 512 像素分块、64 像素重叠和批量推理，输出完整的候选掩膜、概率图、叠加图、风险图、不确定性图和关键帧证据。连续播放场景采用串行快速流程；上一帧完成后再启动下一帧，避免请求积压，并保留最近已完成帧及其端到端耗时。两种流程共享同一主线模型与同一复核语义，差异在于证据完整度和刷新节奏。</w:t>
      </w:r>
    </w:p>
    <w:p>
      <w:pPr>
        <w:spacing w:lineRule="exact" w:line="320" w:before="0" w:after="0"/>
        <w:jc w:val="both"/>
        <w:ind w:firstLineChars="200" w:firstLine="420"/>
      </w:pPr>
      <w:r>
        <w:rPr>
          <w:rFonts w:ascii="Times New Roman" w:hAnsi="Times New Roman" w:eastAsia="宋体"/>
          <w:b w:val="0"/>
          <w:i w:val="0"/>
          <w:sz w:val="21"/>
        </w:rPr>
        <w:t>主线在公开离体荧光代理锁定测试集上的 Dice 为 0.917681、IoU 为 0.848335、召回率为 0.9099；三种子 Dice 均值为 0.914894 ± 0.004139。空掩膜率和过分割率在该代理锁定测试中均为 0。该结果仅证明公开离体荧光代理条件下的模型选型、阈值扫描和工程推理可运行，不能代表真实术中 ICG 颌骨骨髓炎的性能。</w:t>
      </w:r>
    </w:p>
    <w:p>
      <w:pPr>
        <w:spacing w:lineRule="exact" w:line="320" w:before="60" w:after="40"/>
        <w:jc w:val="left"/>
        <w:ind w:firstLineChars="200" w:firstLine="420"/>
      </w:pPr>
      <w:r>
        <w:rPr>
          <w:rFonts w:ascii="Times New Roman" w:hAnsi="Times New Roman" w:eastAsia="宋体"/>
          <w:b/>
          <w:i w:val="0"/>
          <w:sz w:val="21"/>
        </w:rPr>
        <w:t>2．候选模型及其状态</w:t>
      </w:r>
    </w:p>
    <w:p>
      <w:pPr>
        <w:spacing w:lineRule="exact" w:line="320" w:before="0" w:after="0"/>
        <w:jc w:val="both"/>
        <w:ind w:firstLineChars="200" w:firstLine="420"/>
      </w:pPr>
      <w:r>
        <w:rPr>
          <w:rFonts w:ascii="Times New Roman" w:hAnsi="Times New Roman" w:eastAsia="宋体"/>
          <w:b w:val="0"/>
          <w:i w:val="0"/>
          <w:sz w:val="21"/>
        </w:rPr>
        <w:t>候选模型用于架构比较、目标域迁移准备和后续独立晋级，当前均未替换严格主线。</w:t>
      </w:r>
    </w:p>
    <w:tbl>
      <w:tblPr>
        <w:tblW w:type="auto" w:w="0"/>
        <w:jc w:val="center"/>
        <w:tblLayout w:type="autofit"/>
        <w:tblLook w:firstColumn="1" w:firstRow="1" w:lastColumn="0" w:lastRow="0" w:noHBand="0" w:noVBand="1" w:val="04A0"/>
      </w:tblPr>
      <w:tblGrid>
        <w:gridCol w:w="3213"/>
        <w:gridCol w:w="3213"/>
        <w:gridCol w:w="3213"/>
      </w:tblGrid>
      <w:tr>
        <w:tc>
          <w:tcPr>
            <w:tcW w:type="dxa" w:w="3213"/>
            <w:tcBorders>
              <w:top w:val="single" w:sz="6" w:color="000000"/>
              <w:bottom w:val="single" w:sz="6" w:color="000000"/>
              <w:left w:val="nil"/>
              <w:right w:val="nil"/>
              <w:insideH w:val="single" w:sz="6" w:color="000000"/>
              <w:insideV w:val="nil"/>
            </w:tcBorders>
          </w:tcPr>
          <w:p>
            <w:pPr>
              <w:spacing w:lineRule="exact" w:line="320"/>
              <w:jc w:val="center"/>
            </w:pPr>
            <w:r/>
            <w:r>
              <w:rPr>
                <w:rFonts w:ascii="Times New Roman" w:hAnsi="Times New Roman" w:eastAsia="宋体"/>
                <w:b/>
                <w:i w:val="0"/>
                <w:sz w:val="18"/>
              </w:rPr>
              <w:t>候选方向</w:t>
            </w:r>
          </w:p>
        </w:tc>
        <w:tc>
          <w:tcPr>
            <w:tcW w:type="dxa" w:w="3213"/>
            <w:tcBorders>
              <w:top w:val="single" w:sz="6" w:color="000000"/>
              <w:bottom w:val="single" w:sz="6" w:color="000000"/>
              <w:left w:val="nil"/>
              <w:right w:val="nil"/>
              <w:insideH w:val="single" w:sz="6" w:color="000000"/>
              <w:insideV w:val="nil"/>
            </w:tcBorders>
          </w:tcPr>
          <w:p>
            <w:pPr>
              <w:spacing w:lineRule="exact" w:line="320"/>
              <w:jc w:val="center"/>
            </w:pPr>
            <w:r/>
            <w:r>
              <w:rPr>
                <w:rFonts w:ascii="Times New Roman" w:hAnsi="Times New Roman" w:eastAsia="宋体"/>
                <w:b/>
                <w:i w:val="0"/>
                <w:sz w:val="18"/>
              </w:rPr>
              <w:t>当前工程结果</w:t>
            </w:r>
          </w:p>
        </w:tc>
        <w:tc>
          <w:tcPr>
            <w:tcW w:type="dxa" w:w="3213"/>
            <w:tcBorders>
              <w:top w:val="single" w:sz="6" w:color="000000"/>
              <w:bottom w:val="single" w:sz="6" w:color="000000"/>
              <w:left w:val="nil"/>
              <w:right w:val="nil"/>
              <w:insideH w:val="single" w:sz="6" w:color="000000"/>
              <w:insideV w:val="nil"/>
            </w:tcBorders>
          </w:tcPr>
          <w:p>
            <w:pPr>
              <w:spacing w:lineRule="exact" w:line="320"/>
              <w:jc w:val="center"/>
            </w:pPr>
            <w:r/>
            <w:r>
              <w:rPr>
                <w:rFonts w:ascii="Times New Roman" w:hAnsi="Times New Roman" w:eastAsia="宋体"/>
                <w:b/>
                <w:i w:val="0"/>
                <w:sz w:val="18"/>
              </w:rPr>
              <w:t>当前状态与边界</w:t>
            </w:r>
          </w:p>
        </w:tc>
      </w:tr>
      <w:tr>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多尺度深度可分离 U-Net</w:t>
            </w:r>
          </w:p>
        </w:tc>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同协议 Dice 0.8978 ± 0.0113；4K 模型 P95 4.25 ms；峰值显存 20.14 MB</w:t>
            </w:r>
          </w:p>
        </w:tc>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保持候选状态；需在同一独立协议下完成安全、复核和严格运行门控后再申请晋级</w:t>
            </w:r>
          </w:p>
        </w:tc>
      </w:tr>
      <w:tr>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ConvNeXt U-Net 基线</w:t>
            </w:r>
          </w:p>
        </w:tc>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Dice 0.8987；IoU 0.8164；召回率 0.8908；4K 模型 P95 800.159 ms</w:t>
            </w:r>
          </w:p>
        </w:tc>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作为可运行基线和历史对照，不参与严格比赛主线</w:t>
            </w:r>
          </w:p>
        </w:tc>
      </w:tr>
      <w:tr>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CBCT 病灶代理分割</w:t>
            </w:r>
          </w:p>
        </w:tc>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历史代理结果 Dice 0.6567、IoU 0.5553</w:t>
            </w:r>
          </w:p>
        </w:tc>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服务三维病灶代理研究，不能外推为显微视频或目标域指标</w:t>
            </w:r>
          </w:p>
        </w:tc>
      </w:tr>
      <w:tr>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患者条件分割候选</w:t>
            </w:r>
          </w:p>
        </w:tc>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条件 Dice 0.243974，低于影像基础 Dice 0.244188</w:t>
            </w:r>
          </w:p>
        </w:tc>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无伤害、亚组和物理边界门均未通过，空间影响关闭，运行时回退至影像基础结果</w:t>
            </w:r>
          </w:p>
        </w:tc>
      </w:tr>
      <w:tr>
        <w:tc>
          <w:tcPr>
            <w:tcW w:type="dxa" w:w="3213"/>
            <w:tcBorders>
              <w:top w:val="nil"/>
              <w:bottom w:val="single" w:sz="6" w:color="000000"/>
              <w:left w:val="nil"/>
              <w:right w:val="nil"/>
              <w:insideH w:val="nil"/>
              <w:insideV w:val="nil"/>
            </w:tcBorders>
          </w:tcPr>
          <w:p>
            <w:pPr>
              <w:spacing w:lineRule="exact" w:line="320"/>
              <w:jc w:val="left"/>
            </w:pPr>
            <w:r/>
            <w:r>
              <w:rPr>
                <w:rFonts w:ascii="Times New Roman" w:hAnsi="Times New Roman" w:eastAsia="宋体"/>
                <w:b w:val="0"/>
                <w:i w:val="0"/>
                <w:sz w:val="18"/>
              </w:rPr>
              <w:t>骨活性多任务候选</w:t>
            </w:r>
          </w:p>
        </w:tc>
        <w:tc>
          <w:tcPr>
            <w:tcW w:type="dxa" w:w="3213"/>
            <w:tcBorders>
              <w:top w:val="nil"/>
              <w:bottom w:val="single" w:sz="6" w:color="000000"/>
              <w:left w:val="nil"/>
              <w:right w:val="nil"/>
              <w:insideH w:val="nil"/>
              <w:insideV w:val="nil"/>
            </w:tcBorders>
          </w:tcPr>
          <w:p>
            <w:pPr>
              <w:spacing w:lineRule="exact" w:line="320"/>
              <w:jc w:val="left"/>
            </w:pPr>
            <w:r/>
            <w:r>
              <w:rPr>
                <w:rFonts w:ascii="Times New Roman" w:hAnsi="Times New Roman" w:eastAsia="宋体"/>
                <w:b w:val="0"/>
                <w:i w:val="0"/>
                <w:sz w:val="18"/>
              </w:rPr>
              <w:t>macro Dice 0.733064</w:t>
            </w:r>
          </w:p>
        </w:tc>
        <w:tc>
          <w:tcPr>
            <w:tcW w:type="dxa" w:w="3213"/>
            <w:tcBorders>
              <w:top w:val="nil"/>
              <w:bottom w:val="single" w:sz="6" w:color="000000"/>
              <w:left w:val="nil"/>
              <w:right w:val="nil"/>
              <w:insideH w:val="nil"/>
              <w:insideV w:val="nil"/>
            </w:tcBorders>
          </w:tcPr>
          <w:p>
            <w:pPr>
              <w:spacing w:lineRule="exact" w:line="320"/>
              <w:jc w:val="left"/>
            </w:pPr>
            <w:r/>
            <w:r>
              <w:rPr>
                <w:rFonts w:ascii="Times New Roman" w:hAnsi="Times New Roman" w:eastAsia="宋体"/>
                <w:b w:val="0"/>
                <w:i w:val="0"/>
                <w:sz w:val="18"/>
              </w:rPr>
              <w:t>工程实用门未通过，空间分类结果关闭，仅保留研发验证证据</w:t>
            </w:r>
          </w:p>
        </w:tc>
      </w:tr>
    </w:tbl>
    <w:p>
      <w:pPr>
        <w:spacing w:lineRule="exact" w:line="320" w:before="0" w:after="60"/>
      </w:pPr>
    </w:p>
    <w:p>
      <w:pPr>
        <w:spacing w:lineRule="exact" w:line="320" w:before="0" w:after="0"/>
        <w:jc w:val="both"/>
        <w:ind w:firstLineChars="200" w:firstLine="420"/>
      </w:pPr>
      <w:r>
        <w:rPr>
          <w:rFonts w:ascii="Times New Roman" w:hAnsi="Times New Roman" w:eastAsia="宋体"/>
          <w:b w:val="0"/>
          <w:i w:val="0"/>
          <w:sz w:val="21"/>
        </w:rPr>
        <w:t>候选模型之间的比较采用相同的数据清单、来源分组切分、预处理、阈值扫描和评价协议。模型需同时报告 Dice、IoU、召回率、精确率、空掩膜率、过分割率、校准、推理延迟和资源占用。只有在独立测试中优于当前主线，并通过严格运行、数据域审计和医生复核门槛后，候选才具备申请替换资格。</w:t>
      </w:r>
    </w:p>
    <w:p>
      <w:pPr>
        <w:spacing w:lineRule="exact" w:line="320" w:before="60" w:after="40"/>
        <w:jc w:val="left"/>
        <w:ind w:firstLineChars="200" w:firstLine="420"/>
      </w:pPr>
      <w:r>
        <w:rPr>
          <w:rFonts w:ascii="Times New Roman" w:hAnsi="Times New Roman" w:eastAsia="宋体"/>
          <w:b/>
          <w:i w:val="0"/>
          <w:sz w:val="21"/>
        </w:rPr>
        <w:t>3．受限患者条件与骨活性表达</w:t>
      </w:r>
    </w:p>
    <w:p>
      <w:pPr>
        <w:spacing w:lineRule="exact" w:line="320" w:before="0" w:after="0"/>
        <w:jc w:val="both"/>
        <w:ind w:firstLineChars="200" w:firstLine="420"/>
      </w:pPr>
      <w:r>
        <w:rPr>
          <w:rFonts w:ascii="Times New Roman" w:hAnsi="Times New Roman" w:eastAsia="宋体"/>
          <w:b w:val="0"/>
          <w:i w:val="0"/>
          <w:sz w:val="21"/>
        </w:rPr>
        <w:t>平台已建立年龄、性别、基础病、用药和血液指标参与分析的受限患者条件模块，保留影像基础结果、患者条件结果、差异信息和安全回退。当前代理实验中，患者条件候选未通过无伤害、亚组和物理边界门，系统固定返回影像基础结果，差异区域关闭。该机制用于防止有限代理数据驱动无证据的空间边界变化。</w:t>
      </w:r>
    </w:p>
    <w:p>
      <w:pPr>
        <w:spacing w:lineRule="exact" w:line="320" w:before="0" w:after="0"/>
        <w:jc w:val="both"/>
        <w:ind w:firstLineChars="200" w:firstLine="420"/>
      </w:pPr>
      <w:r>
        <w:rPr>
          <w:rFonts w:ascii="Times New Roman" w:hAnsi="Times New Roman" w:eastAsia="宋体"/>
          <w:b w:val="0"/>
          <w:i w:val="0"/>
          <w:sz w:val="21"/>
        </w:rPr>
        <w:t>骨活性表达采用低活性候选、过渡复核区、高活性参考、无法判断区和连续评分的复核导向框架。低活性候选不等同病理坏死骨，高活性参考不等同可直接保留的手术结论。骨活性候选在公开显微荧光代理上的低活性、过渡和高活性 Dice 分别为 0.803579、0.610677 和 0.784935；接受覆盖率 0.056417、选择性错误率 0.301527，未达到预设工程门。因此该模块仅保留研发验证状态，空间结果不进入严格主线。</w:t>
      </w:r>
    </w:p>
    <w:p>
      <w:pPr>
        <w:spacing w:lineRule="exact" w:line="320" w:before="120" w:after="60"/>
        <w:jc w:val="left"/>
        <w:ind w:firstLineChars="200" w:firstLine="480"/>
      </w:pPr>
      <w:r>
        <w:rPr>
          <w:rFonts w:ascii="Times New Roman" w:hAnsi="Times New Roman" w:eastAsia="仿宋_GB2312"/>
          <w:b/>
          <w:i w:val="0"/>
          <w:sz w:val="24"/>
        </w:rPr>
        <w:t>（三）多通道输入、融合结果与辅助判读</w:t>
      </w:r>
    </w:p>
    <w:p>
      <w:pPr>
        <w:spacing w:lineRule="exact" w:line="320" w:before="0" w:after="0"/>
        <w:jc w:val="both"/>
        <w:ind w:firstLineChars="200" w:firstLine="420"/>
      </w:pPr>
      <w:r>
        <w:rPr>
          <w:rFonts w:ascii="Times New Roman" w:hAnsi="Times New Roman" w:eastAsia="宋体"/>
          <w:b w:val="0"/>
          <w:i w:val="0"/>
          <w:sz w:val="21"/>
        </w:rPr>
        <w:t>平台支持单路 MP4、白光与荧光双路 MP4，以及带设备叠加画面的可选第三路视频。白光与荧光是分析与模型输入的基础通道；设备叠加画面用于显示、质量核对和证据比对，不作为独立疾病依据。多通道会话记录通道角色、时间偏移、共同有效区间、同步状态和关键帧配准质量。任何通道缺失、同步异常或几何质量不足时，系统降低空间解释等级并保留可用的单通道结果。</w:t>
      </w:r>
    </w:p>
    <w:p>
      <w:pPr>
        <w:spacing w:lineRule="exact" w:line="320" w:before="0" w:after="0"/>
        <w:jc w:val="both"/>
        <w:ind w:firstLineChars="200" w:firstLine="420"/>
      </w:pPr>
      <w:r>
        <w:rPr>
          <w:rFonts w:ascii="Times New Roman" w:hAnsi="Times New Roman" w:eastAsia="宋体"/>
          <w:b w:val="0"/>
          <w:i w:val="0"/>
          <w:sz w:val="21"/>
        </w:rPr>
        <w:t>融合处理先执行几何一致性、时间关系和图像质量检查，再进行荧光背景处理、平移配准、归一化、伪彩与透明叠加。候选模型在融合信息和可用关键帧基础上形成信号候选、边界风险和不确定性提示。连续播放中，界面显示最近关键帧时间与当前播放时刻的差值，明确区分离线关键帧分析与连续帧串行分析，避免将视频播放帧率解释为人工智能逐帧性能。</w:t>
      </w:r>
    </w:p>
    <w:p>
      <w:pPr>
        <w:spacing w:lineRule="exact" w:line="320" w:before="120" w:after="60"/>
        <w:jc w:val="left"/>
        <w:ind w:firstLineChars="200" w:firstLine="480"/>
      </w:pPr>
      <w:r>
        <w:rPr>
          <w:rFonts w:ascii="Times New Roman" w:hAnsi="Times New Roman" w:eastAsia="仿宋_GB2312"/>
          <w:b/>
          <w:i w:val="0"/>
          <w:sz w:val="24"/>
        </w:rPr>
        <w:t>（四）医生复核、数据回灌与模型晋级</w:t>
      </w:r>
    </w:p>
    <w:p>
      <w:pPr>
        <w:spacing w:lineRule="exact" w:line="320" w:before="0" w:after="0"/>
        <w:jc w:val="both"/>
        <w:ind w:firstLineChars="200" w:firstLine="420"/>
      </w:pPr>
      <w:r>
        <w:rPr>
          <w:rFonts w:ascii="Times New Roman" w:hAnsi="Times New Roman" w:eastAsia="宋体"/>
          <w:b w:val="0"/>
          <w:i w:val="0"/>
          <w:sz w:val="21"/>
        </w:rPr>
        <w:t>医生复核提供画笔、橡皮擦、多边形、缩放、撤销与重做、草稿保存、提交复核和版本历史。医生可接受、修改、驳回或保留待复核状态，并对候选区、骨面门控和风险区域留下可追溯意见。通过或修改后接受的标注可作为高权重候选；驳回结果用于负例和错误分析；未复核草稿保持与可信标注隔离。</w:t>
      </w:r>
    </w:p>
    <w:p>
      <w:pPr>
        <w:spacing w:lineRule="exact" w:line="320" w:before="0" w:after="0"/>
        <w:jc w:val="both"/>
        <w:ind w:firstLineChars="200" w:firstLine="420"/>
      </w:pPr>
      <w:r>
        <w:rPr>
          <w:rFonts w:ascii="Times New Roman" w:hAnsi="Times New Roman" w:eastAsia="宋体"/>
          <w:b w:val="0"/>
          <w:i w:val="0"/>
          <w:sz w:val="21"/>
        </w:rPr>
        <w:t>真实医院 JPEG、MP4 或转码视频进入分析和训练前，需完成授权、脱敏、用途、可解码性、完整性、重复项和通道关系核验。当前真实术中 ICG 颌骨骨髓炎目标域记录为 0，训练准入记录为 0。后续模型晋级依赖目标域样本、医生关键帧与 ROI 复核、患者级分组、独立测试、概率校准、亚组审计和失效回退验证；在此之前，平台仅报告工程验证结果和明确的数据域边界。</w:t>
      </w:r>
    </w:p>
    <w:p>
      <w:pPr>
        <w:spacing w:lineRule="exact" w:line="320" w:before="240" w:after="120"/>
        <w:jc w:val="center"/>
      </w:pPr>
      <w:r>
        <w:rPr>
          <w:rFonts w:ascii="Times New Roman" w:hAnsi="Times New Roman" w:eastAsia="黑体"/>
          <w:b/>
          <w:i w:val="0"/>
          <w:sz w:val="28"/>
        </w:rPr>
        <w:t>六、第 6 章 实验设计及结果验证</w:t>
      </w:r>
    </w:p>
    <w:p>
      <w:pPr>
        <w:spacing w:lineRule="exact" w:line="320" w:before="120" w:after="60"/>
        <w:jc w:val="left"/>
        <w:ind w:firstLineChars="200" w:firstLine="480"/>
      </w:pPr>
      <w:r>
        <w:rPr>
          <w:rFonts w:ascii="Times New Roman" w:hAnsi="Times New Roman" w:eastAsia="仿宋_GB2312"/>
          <w:b/>
          <w:i w:val="0"/>
          <w:sz w:val="24"/>
        </w:rPr>
        <w:t>（一）验证原则与数据口径</w:t>
      </w:r>
    </w:p>
    <w:p>
      <w:pPr>
        <w:spacing w:lineRule="exact" w:line="320" w:before="0" w:after="0"/>
        <w:jc w:val="both"/>
        <w:ind w:firstLineChars="200" w:firstLine="420"/>
      </w:pPr>
      <w:r>
        <w:rPr>
          <w:rFonts w:ascii="Times New Roman" w:hAnsi="Times New Roman" w:eastAsia="宋体"/>
          <w:b w:val="0"/>
          <w:i w:val="0"/>
          <w:sz w:val="21"/>
        </w:rPr>
        <w:t>本章以当前事实基线为唯一口径，按证据来源、数据域和工程用途分层解释结果。赛题官方资料用于确认输入边界与核心任务；当前严格运行、模型核验和质量检查用于说明软件可运行状态；来源清单、许可和校验记录用于说明公开资产的可追溯性；历史报告只保留对应日期的工程证据属性，不覆盖本章结论。</w:t>
      </w:r>
    </w:p>
    <w:p>
      <w:pPr>
        <w:spacing w:lineRule="exact" w:line="320" w:before="0" w:after="0"/>
        <w:jc w:val="both"/>
        <w:ind w:firstLineChars="200" w:firstLine="420"/>
      </w:pPr>
      <w:r>
        <w:rPr>
          <w:rFonts w:ascii="Times New Roman" w:hAnsi="Times New Roman" w:eastAsia="宋体"/>
          <w:b w:val="0"/>
          <w:i w:val="0"/>
          <w:sz w:val="21"/>
        </w:rPr>
        <w:t>当前平台支持官方 4K JPEG 和 MP4 文件的离线分析。JPEG 工作流支持白光与荧光成对分析；MP4 工作流支持原始播放、关键帧分析和连续帧串行分析。设备驱动、厂商 SDK、采集卡适配和实时硬件数据流不属于当前软件交付边界。平台输出服务于研发验证、工程证据和医生复核辅助，不构成临床诊断、切除范围结论或真实术中导航结论。</w:t>
      </w:r>
    </w:p>
    <w:p>
      <w:pPr>
        <w:spacing w:lineRule="exact" w:line="320" w:before="60" w:after="40"/>
        <w:jc w:val="left"/>
        <w:ind w:firstLineChars="200" w:firstLine="420"/>
      </w:pPr>
      <w:r>
        <w:rPr>
          <w:rFonts w:ascii="Times New Roman" w:hAnsi="Times New Roman" w:eastAsia="宋体"/>
          <w:b/>
          <w:i w:val="0"/>
          <w:sz w:val="21"/>
        </w:rPr>
        <w:t>1．数据分层</w:t>
      </w:r>
    </w:p>
    <w:p>
      <w:pPr>
        <w:spacing w:lineRule="exact" w:line="320" w:before="0" w:after="0"/>
        <w:jc w:val="both"/>
        <w:ind w:firstLineChars="200" w:firstLine="420"/>
      </w:pPr>
      <w:r>
        <w:rPr>
          <w:rFonts w:ascii="Times New Roman" w:hAnsi="Times New Roman" w:eastAsia="宋体"/>
          <w:b w:val="0"/>
          <w:i w:val="0"/>
          <w:sz w:val="21"/>
        </w:rPr>
        <w:t>当前活动来源清单覆盖 15 份来源记录，47/47 条记录通过结构检查，138/138 个本地文件通过存在性和完整性校验，核验体积约 5.51 GB。另一份分层注册快照记录 504 条数据，504 条通过质量门，其中目标域记录为 0、训练准入记录为 0、可进入训练准入检查的记录为 393 条。两组数字对应不同统计范围，报告和答辩中必须同时说明日期和统计集合，不能合并为单一规模结论。</w:t>
      </w:r>
    </w:p>
    <w:tbl>
      <w:tblPr>
        <w:tblW w:type="auto" w:w="0"/>
        <w:jc w:val="center"/>
        <w:tblLayout w:type="autofit"/>
        <w:tblLook w:firstColumn="1" w:firstRow="1" w:lastColumn="0" w:lastRow="0" w:noHBand="0" w:noVBand="1" w:val="04A0"/>
      </w:tblPr>
      <w:tblGrid>
        <w:gridCol w:w="2409"/>
        <w:gridCol w:w="2409"/>
        <w:gridCol w:w="2409"/>
        <w:gridCol w:w="2409"/>
      </w:tblGrid>
      <w:tr>
        <w:tc>
          <w:tcPr>
            <w:tcW w:type="dxa" w:w="2409"/>
            <w:tcBorders>
              <w:top w:val="single" w:sz="6" w:color="000000"/>
              <w:bottom w:val="single" w:sz="6" w:color="000000"/>
              <w:left w:val="nil"/>
              <w:right w:val="nil"/>
              <w:insideH w:val="single" w:sz="6" w:color="000000"/>
              <w:insideV w:val="nil"/>
            </w:tcBorders>
          </w:tcPr>
          <w:p>
            <w:pPr>
              <w:spacing w:lineRule="exact" w:line="320"/>
              <w:jc w:val="center"/>
            </w:pPr>
            <w:r/>
            <w:r>
              <w:rPr>
                <w:rFonts w:ascii="Times New Roman" w:hAnsi="Times New Roman" w:eastAsia="宋体"/>
                <w:b/>
                <w:i w:val="0"/>
                <w:sz w:val="18"/>
              </w:rPr>
              <w:t>数据层</w:t>
            </w:r>
          </w:p>
        </w:tc>
        <w:tc>
          <w:tcPr>
            <w:tcW w:type="dxa" w:w="2409"/>
            <w:tcBorders>
              <w:top w:val="single" w:sz="6" w:color="000000"/>
              <w:bottom w:val="single" w:sz="6" w:color="000000"/>
              <w:left w:val="nil"/>
              <w:right w:val="nil"/>
              <w:insideH w:val="single" w:sz="6" w:color="000000"/>
              <w:insideV w:val="nil"/>
            </w:tcBorders>
          </w:tcPr>
          <w:p>
            <w:pPr>
              <w:spacing w:lineRule="exact" w:line="320"/>
              <w:jc w:val="center"/>
            </w:pPr>
            <w:r/>
            <w:r>
              <w:rPr>
                <w:rFonts w:ascii="Times New Roman" w:hAnsi="Times New Roman" w:eastAsia="宋体"/>
                <w:b/>
                <w:i w:val="0"/>
                <w:sz w:val="18"/>
              </w:rPr>
              <w:t>代表资源与当前用途</w:t>
            </w:r>
          </w:p>
        </w:tc>
        <w:tc>
          <w:tcPr>
            <w:tcW w:type="dxa" w:w="2409"/>
            <w:tcBorders>
              <w:top w:val="single" w:sz="6" w:color="000000"/>
              <w:bottom w:val="single" w:sz="6" w:color="000000"/>
              <w:left w:val="nil"/>
              <w:right w:val="nil"/>
              <w:insideH w:val="single" w:sz="6" w:color="000000"/>
              <w:insideV w:val="nil"/>
            </w:tcBorders>
          </w:tcPr>
          <w:p>
            <w:pPr>
              <w:spacing w:lineRule="exact" w:line="320"/>
              <w:jc w:val="center"/>
            </w:pPr>
            <w:r/>
            <w:r>
              <w:rPr>
                <w:rFonts w:ascii="Times New Roman" w:hAnsi="Times New Roman" w:eastAsia="宋体"/>
                <w:b/>
                <w:i w:val="0"/>
                <w:sz w:val="18"/>
              </w:rPr>
              <w:t>可支持的验证</w:t>
            </w:r>
          </w:p>
        </w:tc>
        <w:tc>
          <w:tcPr>
            <w:tcW w:type="dxa" w:w="2409"/>
            <w:tcBorders>
              <w:top w:val="single" w:sz="6" w:color="000000"/>
              <w:bottom w:val="single" w:sz="6" w:color="000000"/>
              <w:left w:val="nil"/>
              <w:right w:val="nil"/>
              <w:insideH w:val="single" w:sz="6" w:color="000000"/>
              <w:insideV w:val="nil"/>
            </w:tcBorders>
          </w:tcPr>
          <w:p>
            <w:pPr>
              <w:spacing w:lineRule="exact" w:line="320"/>
              <w:jc w:val="center"/>
            </w:pPr>
            <w:r/>
            <w:r>
              <w:rPr>
                <w:rFonts w:ascii="Times New Roman" w:hAnsi="Times New Roman" w:eastAsia="宋体"/>
                <w:b/>
                <w:i w:val="0"/>
                <w:sz w:val="18"/>
              </w:rPr>
              <w:t>禁止外推</w:t>
            </w:r>
          </w:p>
        </w:tc>
      </w:tr>
      <w:tr>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公开荧光代理</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离体鸡腿模拟荧光手术视频；关键帧训练、阈值扫描、MP4 演示和时序工程</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荧光信号分割、播放同步、证据输出和性能路径</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人体、颌骨骨髓炎或 ICG 临床性能</w:t>
            </w:r>
          </w:p>
        </w:tc>
      </w:tr>
      <w:tr>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公开近域视频</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骨髓炎相关公开视频；场景参考、流程和复核验证</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工作流与场景可读性</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ICG 信号或像素级真值</w:t>
            </w:r>
          </w:p>
        </w:tc>
      </w:tr>
      <w:tr>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公开人体 ICG</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血管化骨移植物视频；展示、融合、时序和证据流程</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人体 ICG 视频处理链</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颌骨骨髓炎、病理边界或医生骨面真值</w:t>
            </w:r>
          </w:p>
        </w:tc>
      </w:tr>
      <w:tr>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颌面与 CBCT 解剖</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公开下颌、牙颌和 CBCT 资源；解剖先验、表面建模、数字仿体</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三维表面、L1/L2 工程验证</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真实术中导航或颌骨骨髓炎临床性能</w:t>
            </w:r>
          </w:p>
        </w:tc>
      </w:tr>
      <w:tr>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论文图与临床近域图</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近域荧光图；弱标签复核种子和来源追溯</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复核流程与数据治理</w:t>
            </w:r>
          </w:p>
        </w:tc>
        <w:tc>
          <w:tcPr>
            <w:tcW w:type="dxa" w:w="2409"/>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直接训练或目标域金标准</w:t>
            </w:r>
          </w:p>
        </w:tc>
      </w:tr>
      <w:tr>
        <w:tc>
          <w:tcPr>
            <w:tcW w:type="dxa" w:w="2409"/>
            <w:tcBorders>
              <w:top w:val="nil"/>
              <w:bottom w:val="single" w:sz="6" w:color="000000"/>
              <w:left w:val="nil"/>
              <w:right w:val="nil"/>
              <w:insideH w:val="nil"/>
              <w:insideV w:val="nil"/>
            </w:tcBorders>
          </w:tcPr>
          <w:p>
            <w:pPr>
              <w:spacing w:lineRule="exact" w:line="320"/>
              <w:jc w:val="left"/>
            </w:pPr>
            <w:r/>
            <w:r>
              <w:rPr>
                <w:rFonts w:ascii="Times New Roman" w:hAnsi="Times New Roman" w:eastAsia="宋体"/>
                <w:b w:val="0"/>
                <w:i w:val="0"/>
                <w:sz w:val="18"/>
              </w:rPr>
              <w:t>临床变量与空间组学代理</w:t>
            </w:r>
          </w:p>
        </w:tc>
        <w:tc>
          <w:tcPr>
            <w:tcW w:type="dxa" w:w="2409"/>
            <w:tcBorders>
              <w:top w:val="nil"/>
              <w:bottom w:val="single" w:sz="6" w:color="000000"/>
              <w:left w:val="nil"/>
              <w:right w:val="nil"/>
              <w:insideH w:val="nil"/>
              <w:insideV w:val="nil"/>
            </w:tcBorders>
          </w:tcPr>
          <w:p>
            <w:pPr>
              <w:spacing w:lineRule="exact" w:line="320"/>
              <w:jc w:val="left"/>
            </w:pPr>
            <w:r/>
            <w:r>
              <w:rPr>
                <w:rFonts w:ascii="Times New Roman" w:hAnsi="Times New Roman" w:eastAsia="宋体"/>
                <w:b w:val="0"/>
                <w:i w:val="0"/>
                <w:sz w:val="18"/>
              </w:rPr>
              <w:t>公开 CT、临床变量及近域研究资源</w:t>
            </w:r>
          </w:p>
        </w:tc>
        <w:tc>
          <w:tcPr>
            <w:tcW w:type="dxa" w:w="2409"/>
            <w:tcBorders>
              <w:top w:val="nil"/>
              <w:bottom w:val="single" w:sz="6" w:color="000000"/>
              <w:left w:val="nil"/>
              <w:right w:val="nil"/>
              <w:insideH w:val="nil"/>
              <w:insideV w:val="nil"/>
            </w:tcBorders>
          </w:tcPr>
          <w:p>
            <w:pPr>
              <w:spacing w:lineRule="exact" w:line="320"/>
              <w:jc w:val="left"/>
            </w:pPr>
            <w:r/>
            <w:r>
              <w:rPr>
                <w:rFonts w:ascii="Times New Roman" w:hAnsi="Times New Roman" w:eastAsia="宋体"/>
                <w:b w:val="0"/>
                <w:i w:val="0"/>
                <w:sz w:val="18"/>
              </w:rPr>
              <w:t>条件模块、缺失值和数据治理联调</w:t>
            </w:r>
          </w:p>
        </w:tc>
        <w:tc>
          <w:tcPr>
            <w:tcW w:type="dxa" w:w="2409"/>
            <w:tcBorders>
              <w:top w:val="nil"/>
              <w:bottom w:val="single" w:sz="6" w:color="000000"/>
              <w:left w:val="nil"/>
              <w:right w:val="nil"/>
              <w:insideH w:val="nil"/>
              <w:insideV w:val="nil"/>
            </w:tcBorders>
          </w:tcPr>
          <w:p>
            <w:pPr>
              <w:spacing w:lineRule="exact" w:line="320"/>
              <w:jc w:val="left"/>
            </w:pPr>
            <w:r/>
            <w:r>
              <w:rPr>
                <w:rFonts w:ascii="Times New Roman" w:hAnsi="Times New Roman" w:eastAsia="宋体"/>
                <w:b w:val="0"/>
                <w:i w:val="0"/>
                <w:sz w:val="18"/>
              </w:rPr>
              <w:t>患者条件目标域分割性能</w:t>
            </w:r>
          </w:p>
        </w:tc>
      </w:tr>
    </w:tbl>
    <w:p>
      <w:pPr>
        <w:spacing w:lineRule="exact" w:line="320" w:before="0" w:after="60"/>
      </w:pPr>
    </w:p>
    <w:p>
      <w:pPr>
        <w:spacing w:lineRule="exact" w:line="320" w:before="0" w:after="0"/>
        <w:jc w:val="both"/>
        <w:ind w:firstLineChars="200" w:firstLine="420"/>
      </w:pPr>
      <w:r>
        <w:rPr>
          <w:rFonts w:ascii="Times New Roman" w:hAnsi="Times New Roman" w:eastAsia="宋体"/>
          <w:b w:val="0"/>
          <w:i w:val="0"/>
          <w:sz w:val="21"/>
        </w:rPr>
        <w:t>默认展示病例来自公开离体荧光手术代理，静态展示采用公开人体 ICG 骨移植视频关键帧，三维参考采用公开下颌表面与公开颌面解剖数据。所有展示资产均需显式标注公开来源、代理性质和非目标域边界。</w:t>
      </w:r>
    </w:p>
    <w:p>
      <w:pPr>
        <w:spacing w:lineRule="exact" w:line="320" w:before="60" w:after="40"/>
        <w:jc w:val="left"/>
        <w:ind w:firstLineChars="200" w:firstLine="420"/>
      </w:pPr>
      <w:r>
        <w:rPr>
          <w:rFonts w:ascii="Times New Roman" w:hAnsi="Times New Roman" w:eastAsia="宋体"/>
          <w:b/>
          <w:i w:val="0"/>
          <w:sz w:val="21"/>
        </w:rPr>
        <w:t>2．数据准入与评价设计</w:t>
      </w:r>
    </w:p>
    <w:p>
      <w:pPr>
        <w:spacing w:lineRule="exact" w:line="320" w:before="0" w:after="0"/>
        <w:jc w:val="both"/>
        <w:ind w:firstLineChars="200" w:firstLine="420"/>
      </w:pPr>
      <w:r>
        <w:rPr>
          <w:rFonts w:ascii="Times New Roman" w:hAnsi="Times New Roman" w:eastAsia="宋体"/>
          <w:b w:val="0"/>
          <w:i w:val="0"/>
          <w:sz w:val="21"/>
        </w:rPr>
        <w:t>所有外部数据和医院样本均按授权、脱敏、用途、来源、可解码性、完整性、重复项、通道关系和复核状态进行准入。真实样本在完成医生复核及训练准入评估前保持待复核、无标签和不可作为训练数据的状态。公开、近域、异域、合成和伪标注资源可支持工程验证、数据管线和候选开发，不能替代真实目标域训练或临床性能验证。</w:t>
      </w:r>
    </w:p>
    <w:p>
      <w:pPr>
        <w:spacing w:lineRule="exact" w:line="320" w:before="0" w:after="0"/>
        <w:jc w:val="both"/>
        <w:ind w:firstLineChars="200" w:firstLine="420"/>
      </w:pPr>
      <w:r>
        <w:rPr>
          <w:rFonts w:ascii="Times New Roman" w:hAnsi="Times New Roman" w:eastAsia="宋体"/>
          <w:b w:val="0"/>
          <w:i w:val="0"/>
          <w:sz w:val="21"/>
        </w:rPr>
        <w:t>模型比较采用患者或来源分组切分，避免同一患者、同一视频来源或派生帧跨训练与测试集合。每个候选在相同数据清单、预处理、阈值扫描和评价协议下比较，并分层报告分割质量、空掩膜率、过分割率、校准、推理延迟、显存或内存占用。任何结果均需附带来源域和医生复核状态，不跨域汇总为单一临床性能。</w:t>
      </w:r>
    </w:p>
    <w:p>
      <w:pPr>
        <w:spacing w:lineRule="exact" w:line="320" w:before="120" w:after="60"/>
        <w:jc w:val="left"/>
        <w:ind w:firstLineChars="200" w:firstLine="480"/>
      </w:pPr>
      <w:r>
        <w:rPr>
          <w:rFonts w:ascii="Times New Roman" w:hAnsi="Times New Roman" w:eastAsia="仿宋_GB2312"/>
          <w:b/>
          <w:i w:val="0"/>
          <w:sz w:val="24"/>
        </w:rPr>
        <w:t>（二）严格主线与候选验证结果</w:t>
      </w:r>
    </w:p>
    <w:p>
      <w:pPr>
        <w:spacing w:lineRule="exact" w:line="320" w:before="0" w:after="0"/>
        <w:jc w:val="both"/>
        <w:ind w:firstLineChars="200" w:firstLine="420"/>
      </w:pPr>
      <w:r>
        <w:rPr>
          <w:rFonts w:ascii="Times New Roman" w:hAnsi="Times New Roman" w:eastAsia="宋体"/>
          <w:b w:val="0"/>
          <w:i w:val="0"/>
          <w:sz w:val="21"/>
        </w:rPr>
        <w:t>严格比赛运行已通过预检。主线为残差注意力 U-Net 关键帧分割器，严格运行关闭测试占位、缺权重回退、启发式回退和提示回退。主线在公开离体荧光代理锁定测试上的 Dice 为 0.917681、IoU 为 0.848335、召回率为 0.9099，三种子 Dice 均值为 0.914894 ± 0.004139；空掩膜率和过分割率均为 0。这些指标证明代理数据上的工程选型与推理链可复现，不能用于真实术中 ICG 颌骨骨髓炎性能声称。</w:t>
      </w:r>
    </w:p>
    <w:tbl>
      <w:tblPr>
        <w:tblW w:type="auto" w:w="0"/>
        <w:jc w:val="center"/>
        <w:tblLayout w:type="autofit"/>
        <w:tblLook w:firstColumn="1" w:firstRow="1" w:lastColumn="0" w:lastRow="0" w:noHBand="0" w:noVBand="1" w:val="04A0"/>
      </w:tblPr>
      <w:tblGrid>
        <w:gridCol w:w="3213"/>
        <w:gridCol w:w="3213"/>
        <w:gridCol w:w="3213"/>
      </w:tblGrid>
      <w:tr>
        <w:tc>
          <w:tcPr>
            <w:tcW w:type="dxa" w:w="3213"/>
            <w:tcBorders>
              <w:top w:val="single" w:sz="6" w:color="000000"/>
              <w:bottom w:val="single" w:sz="6" w:color="000000"/>
              <w:left w:val="nil"/>
              <w:right w:val="nil"/>
              <w:insideH w:val="single" w:sz="6" w:color="000000"/>
              <w:insideV w:val="nil"/>
            </w:tcBorders>
          </w:tcPr>
          <w:p>
            <w:pPr>
              <w:spacing w:lineRule="exact" w:line="320"/>
              <w:jc w:val="center"/>
            </w:pPr>
            <w:r/>
            <w:r>
              <w:rPr>
                <w:rFonts w:ascii="Times New Roman" w:hAnsi="Times New Roman" w:eastAsia="宋体"/>
                <w:b/>
                <w:i w:val="0"/>
                <w:sz w:val="18"/>
              </w:rPr>
              <w:t>模型或能力</w:t>
            </w:r>
          </w:p>
        </w:tc>
        <w:tc>
          <w:tcPr>
            <w:tcW w:type="dxa" w:w="3213"/>
            <w:tcBorders>
              <w:top w:val="single" w:sz="6" w:color="000000"/>
              <w:bottom w:val="single" w:sz="6" w:color="000000"/>
              <w:left w:val="nil"/>
              <w:right w:val="nil"/>
              <w:insideH w:val="single" w:sz="6" w:color="000000"/>
              <w:insideV w:val="nil"/>
            </w:tcBorders>
          </w:tcPr>
          <w:p>
            <w:pPr>
              <w:spacing w:lineRule="exact" w:line="320"/>
              <w:jc w:val="center"/>
            </w:pPr>
            <w:r/>
            <w:r>
              <w:rPr>
                <w:rFonts w:ascii="Times New Roman" w:hAnsi="Times New Roman" w:eastAsia="宋体"/>
                <w:b/>
                <w:i w:val="0"/>
                <w:sz w:val="18"/>
              </w:rPr>
              <w:t>当前结果</w:t>
            </w:r>
          </w:p>
        </w:tc>
        <w:tc>
          <w:tcPr>
            <w:tcW w:type="dxa" w:w="3213"/>
            <w:tcBorders>
              <w:top w:val="single" w:sz="6" w:color="000000"/>
              <w:bottom w:val="single" w:sz="6" w:color="000000"/>
              <w:left w:val="nil"/>
              <w:right w:val="nil"/>
              <w:insideH w:val="single" w:sz="6" w:color="000000"/>
              <w:insideV w:val="nil"/>
            </w:tcBorders>
          </w:tcPr>
          <w:p>
            <w:pPr>
              <w:spacing w:lineRule="exact" w:line="320"/>
              <w:jc w:val="center"/>
            </w:pPr>
            <w:r/>
            <w:r>
              <w:rPr>
                <w:rFonts w:ascii="Times New Roman" w:hAnsi="Times New Roman" w:eastAsia="宋体"/>
                <w:b/>
                <w:i w:val="0"/>
                <w:sz w:val="18"/>
              </w:rPr>
              <w:t>验证结论</w:t>
            </w:r>
          </w:p>
        </w:tc>
      </w:tr>
      <w:tr>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残差注意力 U-Net 主线</w:t>
            </w:r>
          </w:p>
        </w:tc>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Dice 0.917681；IoU 0.848335；召回率 0.9099</w:t>
            </w:r>
          </w:p>
        </w:tc>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严格主线，仅针对公开离体荧光代理的关键帧信号分割工程验证</w:t>
            </w:r>
          </w:p>
        </w:tc>
      </w:tr>
      <w:tr>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多尺度深度可分离 U-Net</w:t>
            </w:r>
          </w:p>
        </w:tc>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Dice 0.8978 ± 0.0113；4K 模型 P95 4.25 ms；峰值显存 20.14 MB</w:t>
            </w:r>
          </w:p>
        </w:tc>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候选模型，尚未替换主线</w:t>
            </w:r>
          </w:p>
        </w:tc>
      </w:tr>
      <w:tr>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ConvNeXt U-Net 基线</w:t>
            </w:r>
          </w:p>
        </w:tc>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Dice 0.8987；IoU 0.8164；召回率 0.8908</w:t>
            </w:r>
          </w:p>
        </w:tc>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研发对照，不进入严格主线</w:t>
            </w:r>
          </w:p>
        </w:tc>
      </w:tr>
      <w:tr>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患者条件候选</w:t>
            </w:r>
          </w:p>
        </w:tc>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条件 Dice 0.243974；影像基础 Dice 0.244188</w:t>
            </w:r>
          </w:p>
        </w:tc>
        <w:tc>
          <w:tcPr>
            <w:tcW w:type="dxa" w:w="3213"/>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安全门失败，固定回退至影像基础结果</w:t>
            </w:r>
          </w:p>
        </w:tc>
      </w:tr>
      <w:tr>
        <w:tc>
          <w:tcPr>
            <w:tcW w:type="dxa" w:w="3213"/>
            <w:tcBorders>
              <w:top w:val="nil"/>
              <w:bottom w:val="single" w:sz="6" w:color="000000"/>
              <w:left w:val="nil"/>
              <w:right w:val="nil"/>
              <w:insideH w:val="nil"/>
              <w:insideV w:val="nil"/>
            </w:tcBorders>
          </w:tcPr>
          <w:p>
            <w:pPr>
              <w:spacing w:lineRule="exact" w:line="320"/>
              <w:jc w:val="left"/>
            </w:pPr>
            <w:r/>
            <w:r>
              <w:rPr>
                <w:rFonts w:ascii="Times New Roman" w:hAnsi="Times New Roman" w:eastAsia="宋体"/>
                <w:b w:val="0"/>
                <w:i w:val="0"/>
                <w:sz w:val="18"/>
              </w:rPr>
              <w:t>骨活性多任务候选</w:t>
            </w:r>
          </w:p>
        </w:tc>
        <w:tc>
          <w:tcPr>
            <w:tcW w:type="dxa" w:w="3213"/>
            <w:tcBorders>
              <w:top w:val="nil"/>
              <w:bottom w:val="single" w:sz="6" w:color="000000"/>
              <w:left w:val="nil"/>
              <w:right w:val="nil"/>
              <w:insideH w:val="nil"/>
              <w:insideV w:val="nil"/>
            </w:tcBorders>
          </w:tcPr>
          <w:p>
            <w:pPr>
              <w:spacing w:lineRule="exact" w:line="320"/>
              <w:jc w:val="left"/>
            </w:pPr>
            <w:r/>
            <w:r>
              <w:rPr>
                <w:rFonts w:ascii="Times New Roman" w:hAnsi="Times New Roman" w:eastAsia="宋体"/>
                <w:b w:val="0"/>
                <w:i w:val="0"/>
                <w:sz w:val="18"/>
              </w:rPr>
              <w:t>macro Dice 0.733064</w:t>
            </w:r>
          </w:p>
        </w:tc>
        <w:tc>
          <w:tcPr>
            <w:tcW w:type="dxa" w:w="3213"/>
            <w:tcBorders>
              <w:top w:val="nil"/>
              <w:bottom w:val="single" w:sz="6" w:color="000000"/>
              <w:left w:val="nil"/>
              <w:right w:val="nil"/>
              <w:insideH w:val="nil"/>
              <w:insideV w:val="nil"/>
            </w:tcBorders>
          </w:tcPr>
          <w:p>
            <w:pPr>
              <w:spacing w:lineRule="exact" w:line="320"/>
              <w:jc w:val="left"/>
            </w:pPr>
            <w:r/>
            <w:r>
              <w:rPr>
                <w:rFonts w:ascii="Times New Roman" w:hAnsi="Times New Roman" w:eastAsia="宋体"/>
                <w:b w:val="0"/>
                <w:i w:val="0"/>
                <w:sz w:val="18"/>
              </w:rPr>
              <w:t>工程实用门未通过，空间输出关闭</w:t>
            </w:r>
          </w:p>
        </w:tc>
      </w:tr>
    </w:tbl>
    <w:p>
      <w:pPr>
        <w:spacing w:lineRule="exact" w:line="320" w:before="0" w:after="60"/>
      </w:pPr>
    </w:p>
    <w:p>
      <w:pPr>
        <w:spacing w:lineRule="exact" w:line="320" w:before="0" w:after="0"/>
        <w:jc w:val="both"/>
        <w:ind w:firstLineChars="200" w:firstLine="420"/>
      </w:pPr>
      <w:r>
        <w:rPr>
          <w:rFonts w:ascii="Times New Roman" w:hAnsi="Times New Roman" w:eastAsia="宋体"/>
          <w:b w:val="0"/>
          <w:i w:val="0"/>
          <w:sz w:val="21"/>
        </w:rPr>
        <w:t>患者条件候选的最大物理边界位移为 183.478281 mm，无伤害、亚组和物理边界门均未通过。骨活性多任务候选的接受覆盖率为 0.056417、选择性错误率为 0.301527，未达到预设工程要求。两项能力已形成数据接入、界面、报告和安全回退闭环，但均处于研发验证状态，不能替换严格主线，也不能生成目标域空间结论。</w:t>
      </w:r>
    </w:p>
    <w:p>
      <w:pPr>
        <w:spacing w:lineRule="exact" w:line="320"/>
        <w:jc w:val="center"/>
      </w:pPr>
      <w:r>
        <w:drawing>
          <wp:inline xmlns:a="http://schemas.openxmlformats.org/drawingml/2006/main" xmlns:pic="http://schemas.openxmlformats.org/drawingml/2006/picture">
            <wp:extent cx="4320000" cy="2434909"/>
            <wp:docPr id="7" name="Picture 7"/>
            <wp:cNvGraphicFramePr>
              <a:graphicFrameLocks noChangeAspect="1"/>
            </wp:cNvGraphicFramePr>
            <a:graphic>
              <a:graphicData uri="http://schemas.openxmlformats.org/drawingml/2006/picture">
                <pic:pic>
                  <pic:nvPicPr>
                    <pic:cNvPr id="0" name="fig_06_01_d083_timeline.png"/>
                    <pic:cNvPicPr/>
                  </pic:nvPicPr>
                  <pic:blipFill>
                    <a:blip r:embed="rId15"/>
                    <a:stretch>
                      <a:fillRect/>
                    </a:stretch>
                  </pic:blipFill>
                  <pic:spPr>
                    <a:xfrm>
                      <a:off x="0" y="0"/>
                      <a:ext cx="4320000" cy="2434909"/>
                    </a:xfrm>
                    <a:prstGeom prst="rect"/>
                  </pic:spPr>
                </pic:pic>
              </a:graphicData>
            </a:graphic>
          </wp:inline>
        </w:drawing>
      </w:r>
    </w:p>
    <w:p>
      <w:pPr>
        <w:spacing w:lineRule="exact" w:line="320" w:before="0" w:after="120"/>
        <w:jc w:val="center"/>
      </w:pPr>
      <w:r>
        <w:rPr>
          <w:rFonts w:ascii="Times New Roman" w:hAnsi="Times New Roman" w:eastAsia="宋体"/>
          <w:b w:val="0"/>
          <w:i w:val="0"/>
          <w:sz w:val="18"/>
        </w:rPr>
        <w:t>图6-1 公开人体 ICG 视频代理的关键帧时序参考</w:t>
      </w:r>
    </w:p>
    <w:p>
      <w:pPr>
        <w:spacing w:lineRule="exact" w:line="320" w:before="0" w:after="120"/>
        <w:jc w:val="center"/>
      </w:pPr>
      <w:r>
        <w:rPr>
          <w:rFonts w:ascii="Times New Roman" w:hAnsi="Times New Roman" w:eastAsia="宋体"/>
          <w:b w:val="0"/>
          <w:i/>
          <w:color w:val="555555"/>
          <w:sz w:val="18"/>
        </w:rPr>
        <w:t>图 6-1 公开人体 ICG 骨移植视频代理的关键帧、相对信号变化和复核窗口。图示用于视频处理与证据流程验证，非颌骨骨髓炎目标域。</w:t>
      </w:r>
    </w:p>
    <w:p>
      <w:pPr>
        <w:spacing w:lineRule="exact" w:line="320" w:before="120" w:after="60"/>
        <w:jc w:val="left"/>
        <w:ind w:firstLineChars="200" w:firstLine="480"/>
      </w:pPr>
      <w:r>
        <w:rPr>
          <w:rFonts w:ascii="Times New Roman" w:hAnsi="Times New Roman" w:eastAsia="仿宋_GB2312"/>
          <w:b/>
          <w:i w:val="0"/>
          <w:sz w:val="24"/>
        </w:rPr>
        <w:t>（三）多通道融合与性能验证</w:t>
      </w:r>
    </w:p>
    <w:p>
      <w:pPr>
        <w:spacing w:lineRule="exact" w:line="320" w:before="60" w:after="40"/>
        <w:jc w:val="left"/>
        <w:ind w:firstLineChars="200" w:firstLine="420"/>
      </w:pPr>
      <w:r>
        <w:rPr>
          <w:rFonts w:ascii="Times New Roman" w:hAnsi="Times New Roman" w:eastAsia="宋体"/>
          <w:b/>
          <w:i w:val="0"/>
          <w:sz w:val="21"/>
        </w:rPr>
        <w:t>1．融合质量与多通道一致性</w:t>
      </w:r>
    </w:p>
    <w:p>
      <w:pPr>
        <w:spacing w:lineRule="exact" w:line="320" w:before="0" w:after="0"/>
        <w:jc w:val="both"/>
        <w:ind w:firstLineChars="200" w:firstLine="420"/>
      </w:pPr>
      <w:r>
        <w:rPr>
          <w:rFonts w:ascii="Times New Roman" w:hAnsi="Times New Roman" w:eastAsia="宋体"/>
          <w:b w:val="0"/>
          <w:i w:val="0"/>
          <w:sz w:val="21"/>
        </w:rPr>
        <w:t>平台的多通道处理覆盖白光、原始荧光和可选设备叠加画面。融合链按几何一致性检查、荧光灰度化、背景扣除、平移配准、归一化、伪彩、透明融合、ROI 定量和三通道质控组织。设备叠加画面承担显示和一致性核对角色，分析结论仍以原始白光与荧光输入为依据。</w:t>
      </w:r>
    </w:p>
    <w:p>
      <w:pPr>
        <w:spacing w:lineRule="exact" w:line="320" w:before="0" w:after="0"/>
        <w:jc w:val="both"/>
        <w:ind w:firstLineChars="200" w:firstLine="420"/>
      </w:pPr>
      <w:r>
        <w:rPr>
          <w:rFonts w:ascii="Times New Roman" w:hAnsi="Times New Roman" w:eastAsia="宋体"/>
          <w:b w:val="0"/>
          <w:i w:val="0"/>
          <w:sz w:val="21"/>
        </w:rPr>
        <w:t>三通道质控记录时间同步、图像几何关系、叠加一致性和异常原因。质量不足时，系统保留原始或单通道浏览，降低空间解释等级并进入复核路径。对于视频，系统记录通道角色、时间偏移、共同有效区间、同步状态和最近关键帧；对独立白光与荧光双路视频，播放、暂停、倍速与拖动保持协同，并持续检查播放时钟漂移。</w:t>
      </w:r>
    </w:p>
    <w:p>
      <w:pPr>
        <w:spacing w:lineRule="exact" w:line="320" w:before="0" w:after="0"/>
        <w:jc w:val="both"/>
        <w:ind w:firstLineChars="200" w:firstLine="420"/>
      </w:pPr>
      <w:r>
        <w:rPr>
          <w:rFonts w:ascii="Times New Roman" w:hAnsi="Times New Roman" w:eastAsia="宋体"/>
          <w:b w:val="0"/>
          <w:i w:val="0"/>
          <w:sz w:val="21"/>
        </w:rPr>
        <w:t>在指定的 4K 工程序列上，配准与融合计算合计 P95 为 82.026 ms，其中配准 P95 为 59.022 ms，归一化、伪彩与融合 P95 为 21.891 ms。该计时仅覆盖任务二的配准与融合计算，不含文件解码、证据编码、磁盘写入、网络传输和任务三人工智能推理；它是项目内部工程验收指标，不能解释为赛题方给出的正式阈值或真实设备端到端延迟。</w:t>
      </w:r>
    </w:p>
    <w:p>
      <w:pPr>
        <w:spacing w:lineRule="exact" w:line="320" w:before="60" w:after="40"/>
        <w:jc w:val="left"/>
        <w:ind w:firstLineChars="200" w:firstLine="420"/>
      </w:pPr>
      <w:r>
        <w:rPr>
          <w:rFonts w:ascii="Times New Roman" w:hAnsi="Times New Roman" w:eastAsia="宋体"/>
          <w:b/>
          <w:i w:val="0"/>
          <w:sz w:val="21"/>
        </w:rPr>
        <w:t>2．分割双路径性能</w:t>
      </w:r>
    </w:p>
    <w:p>
      <w:pPr>
        <w:spacing w:lineRule="exact" w:line="320" w:before="0" w:after="0"/>
        <w:jc w:val="both"/>
        <w:ind w:firstLineChars="200" w:firstLine="420"/>
      </w:pPr>
      <w:r>
        <w:rPr>
          <w:rFonts w:ascii="Times New Roman" w:hAnsi="Times New Roman" w:eastAsia="宋体"/>
          <w:b w:val="0"/>
          <w:i w:val="0"/>
          <w:sz w:val="21"/>
        </w:rPr>
        <w:t>4K 全证据路径和连续帧快速路径服务不同的工作流。前者面向高分辨率关键帧的完整证据生成，后者面向播放同步的串行快速叠加。两条路径共享严格主线和复核输出语义，性能数据均来自本机、版本化工程输入和指定协议。</w:t>
      </w:r>
    </w:p>
    <w:tbl>
      <w:tblPr>
        <w:tblW w:type="auto" w:w="0"/>
        <w:jc w:val="center"/>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6" w:color="000000"/>
              <w:bottom w:val="single" w:sz="6" w:color="000000"/>
              <w:left w:val="nil"/>
              <w:right w:val="nil"/>
              <w:insideH w:val="single" w:sz="6" w:color="000000"/>
              <w:insideV w:val="nil"/>
            </w:tcBorders>
          </w:tcPr>
          <w:p>
            <w:pPr>
              <w:spacing w:lineRule="exact" w:line="320"/>
              <w:jc w:val="center"/>
            </w:pPr>
            <w:r/>
            <w:r>
              <w:rPr>
                <w:rFonts w:ascii="Times New Roman" w:hAnsi="Times New Roman" w:eastAsia="宋体"/>
                <w:b/>
                <w:i w:val="0"/>
                <w:sz w:val="18"/>
              </w:rPr>
              <w:t>路径</w:t>
            </w:r>
          </w:p>
        </w:tc>
        <w:tc>
          <w:tcPr>
            <w:tcW w:type="dxa" w:w="1928"/>
            <w:tcBorders>
              <w:top w:val="single" w:sz="6" w:color="000000"/>
              <w:bottom w:val="single" w:sz="6" w:color="000000"/>
              <w:left w:val="nil"/>
              <w:right w:val="nil"/>
              <w:insideH w:val="single" w:sz="6" w:color="000000"/>
              <w:insideV w:val="nil"/>
            </w:tcBorders>
          </w:tcPr>
          <w:p>
            <w:pPr>
              <w:spacing w:lineRule="exact" w:line="320"/>
              <w:jc w:val="center"/>
            </w:pPr>
            <w:r/>
            <w:r>
              <w:rPr>
                <w:rFonts w:ascii="Times New Roman" w:hAnsi="Times New Roman" w:eastAsia="宋体"/>
                <w:b/>
                <w:i w:val="0"/>
                <w:sz w:val="18"/>
              </w:rPr>
              <w:t>模型 P95</w:t>
            </w:r>
          </w:p>
        </w:tc>
        <w:tc>
          <w:tcPr>
            <w:tcW w:type="dxa" w:w="1928"/>
            <w:tcBorders>
              <w:top w:val="single" w:sz="6" w:color="000000"/>
              <w:bottom w:val="single" w:sz="6" w:color="000000"/>
              <w:left w:val="nil"/>
              <w:right w:val="nil"/>
              <w:insideH w:val="single" w:sz="6" w:color="000000"/>
              <w:insideV w:val="nil"/>
            </w:tcBorders>
          </w:tcPr>
          <w:p>
            <w:pPr>
              <w:spacing w:lineRule="exact" w:line="320"/>
              <w:jc w:val="center"/>
            </w:pPr>
            <w:r/>
            <w:r>
              <w:rPr>
                <w:rFonts w:ascii="Times New Roman" w:hAnsi="Times New Roman" w:eastAsia="宋体"/>
                <w:b/>
                <w:i w:val="0"/>
                <w:sz w:val="18"/>
              </w:rPr>
              <w:t>服务端端到端 P95</w:t>
            </w:r>
          </w:p>
        </w:tc>
        <w:tc>
          <w:tcPr>
            <w:tcW w:type="dxa" w:w="1928"/>
            <w:tcBorders>
              <w:top w:val="single" w:sz="6" w:color="000000"/>
              <w:bottom w:val="single" w:sz="6" w:color="000000"/>
              <w:left w:val="nil"/>
              <w:right w:val="nil"/>
              <w:insideH w:val="single" w:sz="6" w:color="000000"/>
              <w:insideV w:val="nil"/>
            </w:tcBorders>
          </w:tcPr>
          <w:p>
            <w:pPr>
              <w:spacing w:lineRule="exact" w:line="320"/>
              <w:jc w:val="center"/>
            </w:pPr>
            <w:r/>
            <w:r>
              <w:rPr>
                <w:rFonts w:ascii="Times New Roman" w:hAnsi="Times New Roman" w:eastAsia="宋体"/>
                <w:b/>
                <w:i w:val="0"/>
                <w:sz w:val="18"/>
              </w:rPr>
              <w:t>峰值显存</w:t>
            </w:r>
          </w:p>
        </w:tc>
        <w:tc>
          <w:tcPr>
            <w:tcW w:type="dxa" w:w="1928"/>
            <w:tcBorders>
              <w:top w:val="single" w:sz="6" w:color="000000"/>
              <w:bottom w:val="single" w:sz="6" w:color="000000"/>
              <w:left w:val="nil"/>
              <w:right w:val="nil"/>
              <w:insideH w:val="single" w:sz="6" w:color="000000"/>
              <w:insideV w:val="nil"/>
            </w:tcBorders>
          </w:tcPr>
          <w:p>
            <w:pPr>
              <w:spacing w:lineRule="exact" w:line="320"/>
              <w:jc w:val="center"/>
            </w:pPr>
            <w:r/>
            <w:r>
              <w:rPr>
                <w:rFonts w:ascii="Times New Roman" w:hAnsi="Times New Roman" w:eastAsia="宋体"/>
                <w:b/>
                <w:i w:val="0"/>
                <w:sz w:val="18"/>
              </w:rPr>
              <w:t>适用范围</w:t>
            </w:r>
          </w:p>
        </w:tc>
      </w:tr>
      <w:tr>
        <w:tc>
          <w:tcPr>
            <w:tcW w:type="dxa" w:w="1928"/>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4K 分块全证据</w:t>
            </w:r>
          </w:p>
        </w:tc>
        <w:tc>
          <w:tcPr>
            <w:tcW w:type="dxa" w:w="1928"/>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724.432 ms</w:t>
            </w:r>
          </w:p>
        </w:tc>
        <w:tc>
          <w:tcPr>
            <w:tcW w:type="dxa" w:w="1928"/>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5776.683 ms</w:t>
            </w:r>
          </w:p>
        </w:tc>
        <w:tc>
          <w:tcPr>
            <w:tcW w:type="dxa" w:w="1928"/>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723.579 MB</w:t>
            </w:r>
          </w:p>
        </w:tc>
        <w:tc>
          <w:tcPr>
            <w:tcW w:type="dxa" w:w="1928"/>
            <w:tcBorders>
              <w:top w:val="nil"/>
              <w:bottom w:val="nil"/>
              <w:left w:val="nil"/>
              <w:right w:val="nil"/>
              <w:insideH w:val="single" w:sz="6" w:color="000000"/>
              <w:insideV w:val="nil"/>
            </w:tcBorders>
          </w:tcPr>
          <w:p>
            <w:pPr>
              <w:spacing w:lineRule="exact" w:line="320"/>
              <w:jc w:val="left"/>
            </w:pPr>
            <w:r/>
            <w:r>
              <w:rPr>
                <w:rFonts w:ascii="Times New Roman" w:hAnsi="Times New Roman" w:eastAsia="宋体"/>
                <w:b w:val="0"/>
                <w:i w:val="0"/>
                <w:sz w:val="18"/>
              </w:rPr>
              <w:t>完整候选掩膜、概率图、叠加、风险、不确定性和证据生成</w:t>
            </w:r>
          </w:p>
        </w:tc>
      </w:tr>
      <w:tr>
        <w:tc>
          <w:tcPr>
            <w:tcW w:type="dxa" w:w="1928"/>
            <w:tcBorders>
              <w:top w:val="nil"/>
              <w:bottom w:val="single" w:sz="6" w:color="000000"/>
              <w:left w:val="nil"/>
              <w:right w:val="nil"/>
              <w:insideH w:val="nil"/>
              <w:insideV w:val="nil"/>
            </w:tcBorders>
          </w:tcPr>
          <w:p>
            <w:pPr>
              <w:spacing w:lineRule="exact" w:line="320"/>
              <w:jc w:val="left"/>
            </w:pPr>
            <w:r/>
            <w:r>
              <w:rPr>
                <w:rFonts w:ascii="Times New Roman" w:hAnsi="Times New Roman" w:eastAsia="宋体"/>
                <w:b w:val="0"/>
                <w:i w:val="0"/>
                <w:sz w:val="18"/>
              </w:rPr>
              <w:t>连续帧快速路径</w:t>
            </w:r>
          </w:p>
        </w:tc>
        <w:tc>
          <w:tcPr>
            <w:tcW w:type="dxa" w:w="1928"/>
            <w:tcBorders>
              <w:top w:val="nil"/>
              <w:bottom w:val="single" w:sz="6" w:color="000000"/>
              <w:left w:val="nil"/>
              <w:right w:val="nil"/>
              <w:insideH w:val="nil"/>
              <w:insideV w:val="nil"/>
            </w:tcBorders>
          </w:tcPr>
          <w:p>
            <w:pPr>
              <w:spacing w:lineRule="exact" w:line="320"/>
              <w:jc w:val="left"/>
            </w:pPr>
            <w:r/>
            <w:r>
              <w:rPr>
                <w:rFonts w:ascii="Times New Roman" w:hAnsi="Times New Roman" w:eastAsia="宋体"/>
                <w:b w:val="0"/>
                <w:i w:val="0"/>
                <w:sz w:val="18"/>
              </w:rPr>
              <w:t>36.377 ms</w:t>
            </w:r>
          </w:p>
        </w:tc>
        <w:tc>
          <w:tcPr>
            <w:tcW w:type="dxa" w:w="1928"/>
            <w:tcBorders>
              <w:top w:val="nil"/>
              <w:bottom w:val="single" w:sz="6" w:color="000000"/>
              <w:left w:val="nil"/>
              <w:right w:val="nil"/>
              <w:insideH w:val="nil"/>
              <w:insideV w:val="nil"/>
            </w:tcBorders>
          </w:tcPr>
          <w:p>
            <w:pPr>
              <w:spacing w:lineRule="exact" w:line="320"/>
              <w:jc w:val="left"/>
            </w:pPr>
            <w:r/>
            <w:r>
              <w:rPr>
                <w:rFonts w:ascii="Times New Roman" w:hAnsi="Times New Roman" w:eastAsia="宋体"/>
                <w:b w:val="0"/>
                <w:i w:val="0"/>
                <w:sz w:val="18"/>
              </w:rPr>
              <w:t>176.457 ms</w:t>
            </w:r>
          </w:p>
        </w:tc>
        <w:tc>
          <w:tcPr>
            <w:tcW w:type="dxa" w:w="1928"/>
            <w:tcBorders>
              <w:top w:val="nil"/>
              <w:bottom w:val="single" w:sz="6" w:color="000000"/>
              <w:left w:val="nil"/>
              <w:right w:val="nil"/>
              <w:insideH w:val="nil"/>
              <w:insideV w:val="nil"/>
            </w:tcBorders>
          </w:tcPr>
          <w:p>
            <w:pPr>
              <w:spacing w:lineRule="exact" w:line="320"/>
              <w:jc w:val="left"/>
            </w:pPr>
            <w:r/>
            <w:r>
              <w:rPr>
                <w:rFonts w:ascii="Times New Roman" w:hAnsi="Times New Roman" w:eastAsia="宋体"/>
                <w:b w:val="0"/>
                <w:i w:val="0"/>
                <w:sz w:val="18"/>
              </w:rPr>
              <w:t>380.134 MB</w:t>
            </w:r>
          </w:p>
        </w:tc>
        <w:tc>
          <w:tcPr>
            <w:tcW w:type="dxa" w:w="1928"/>
            <w:tcBorders>
              <w:top w:val="nil"/>
              <w:bottom w:val="single" w:sz="6" w:color="000000"/>
              <w:left w:val="nil"/>
              <w:right w:val="nil"/>
              <w:insideH w:val="nil"/>
              <w:insideV w:val="nil"/>
            </w:tcBorders>
          </w:tcPr>
          <w:p>
            <w:pPr>
              <w:spacing w:lineRule="exact" w:line="320"/>
              <w:jc w:val="left"/>
            </w:pPr>
            <w:r/>
            <w:r>
              <w:rPr>
                <w:rFonts w:ascii="Times New Roman" w:hAnsi="Times New Roman" w:eastAsia="宋体"/>
                <w:b w:val="0"/>
                <w:i w:val="0"/>
                <w:sz w:val="18"/>
              </w:rPr>
              <w:t>串行受控的连续播放叠加，并保留每帧延迟信息</w:t>
            </w:r>
          </w:p>
        </w:tc>
      </w:tr>
    </w:tbl>
    <w:p>
      <w:pPr>
        <w:spacing w:lineRule="exact" w:line="320" w:before="0" w:after="60"/>
      </w:pPr>
    </w:p>
    <w:p>
      <w:pPr>
        <w:spacing w:lineRule="exact" w:line="320" w:before="0" w:after="0"/>
        <w:jc w:val="both"/>
        <w:ind w:firstLineChars="200" w:firstLine="420"/>
      </w:pPr>
      <w:r>
        <w:rPr>
          <w:rFonts w:ascii="Times New Roman" w:hAnsi="Times New Roman" w:eastAsia="宋体"/>
          <w:b w:val="0"/>
          <w:i w:val="0"/>
          <w:sz w:val="21"/>
        </w:rPr>
        <w:t>4K 全证据路径是离线关键帧工程生成路径，不能描述为逐帧实时人工智能推理。连续帧快速路径按上一帧完成后立即继续的节奏运行，服务端延迟不包含浏览器调度、网络传输和目标显微镜传输。界面需显示最近已完成帧、处理分辨率、处理耗时和刷新类型，避免将浏览器播放帧率误认为模型帧率。</w:t>
      </w:r>
    </w:p>
    <w:p>
      <w:pPr>
        <w:spacing w:lineRule="exact" w:line="320"/>
        <w:jc w:val="center"/>
      </w:pPr>
      <w:r>
        <w:drawing>
          <wp:inline xmlns:a="http://schemas.openxmlformats.org/drawingml/2006/main" xmlns:pic="http://schemas.openxmlformats.org/drawingml/2006/picture">
            <wp:extent cx="4320000" cy="2434909"/>
            <wp:docPr id="8" name="Picture 8"/>
            <wp:cNvGraphicFramePr>
              <a:graphicFrameLocks noChangeAspect="1"/>
            </wp:cNvGraphicFramePr>
            <a:graphic>
              <a:graphicData uri="http://schemas.openxmlformats.org/drawingml/2006/picture">
                <pic:pic>
                  <pic:nvPicPr>
                    <pic:cNvPr id="0" name="fig_06_05_runtime_paths.png"/>
                    <pic:cNvPicPr/>
                  </pic:nvPicPr>
                  <pic:blipFill>
                    <a:blip r:embed="rId16"/>
                    <a:stretch>
                      <a:fillRect/>
                    </a:stretch>
                  </pic:blipFill>
                  <pic:spPr>
                    <a:xfrm>
                      <a:off x="0" y="0"/>
                      <a:ext cx="4320000" cy="2434909"/>
                    </a:xfrm>
                    <a:prstGeom prst="rect"/>
                  </pic:spPr>
                </pic:pic>
              </a:graphicData>
            </a:graphic>
          </wp:inline>
        </w:drawing>
      </w:r>
    </w:p>
    <w:p>
      <w:pPr>
        <w:spacing w:lineRule="exact" w:line="320" w:before="0" w:after="120"/>
        <w:jc w:val="center"/>
      </w:pPr>
      <w:r>
        <w:rPr>
          <w:rFonts w:ascii="Times New Roman" w:hAnsi="Times New Roman" w:eastAsia="宋体"/>
          <w:b w:val="0"/>
          <w:i w:val="0"/>
          <w:sz w:val="18"/>
        </w:rPr>
        <w:t>图6-2 4K 全证据与连续帧快速路径的工程性能</w:t>
      </w:r>
    </w:p>
    <w:p>
      <w:pPr>
        <w:spacing w:lineRule="exact" w:line="320" w:before="0" w:after="120"/>
        <w:jc w:val="center"/>
      </w:pPr>
      <w:r>
        <w:rPr>
          <w:rFonts w:ascii="Times New Roman" w:hAnsi="Times New Roman" w:eastAsia="宋体"/>
          <w:b w:val="0"/>
          <w:i/>
          <w:color w:val="555555"/>
          <w:sz w:val="18"/>
        </w:rPr>
        <w:t>图 6-2 两条推理路径分别支持完整证据生成和受控连续播放。性能结果来自公开离体荧光代理工程验证。</w:t>
      </w:r>
    </w:p>
    <w:p>
      <w:pPr>
        <w:spacing w:lineRule="exact" w:line="320" w:before="120" w:after="60"/>
        <w:jc w:val="left"/>
        <w:ind w:firstLineChars="200" w:firstLine="480"/>
      </w:pPr>
      <w:r>
        <w:rPr>
          <w:rFonts w:ascii="Times New Roman" w:hAnsi="Times New Roman" w:eastAsia="仿宋_GB2312"/>
          <w:b/>
          <w:i w:val="0"/>
          <w:sz w:val="24"/>
        </w:rPr>
        <w:t>（四）三维工程验证</w:t>
      </w:r>
    </w:p>
    <w:p>
      <w:pPr>
        <w:spacing w:lineRule="exact" w:line="320" w:before="0" w:after="0"/>
        <w:jc w:val="both"/>
        <w:ind w:firstLineChars="200" w:firstLine="420"/>
      </w:pPr>
      <w:r>
        <w:rPr>
          <w:rFonts w:ascii="Times New Roman" w:hAnsi="Times New Roman" w:eastAsia="宋体"/>
          <w:b w:val="0"/>
          <w:i w:val="0"/>
          <w:sz w:val="21"/>
        </w:rPr>
        <w:t>三维能力采用风险分级路线。L0 为未配准三维参考，是当前平台主展示状态；L1 为数字或实体仿体上的静态配准工程验证；L2 为离线位姿回放和增强现实工程验证。真实患者级术中空间定位不在当前已验证范围内。</w:t>
      </w:r>
    </w:p>
    <w:p>
      <w:pPr>
        <w:spacing w:lineRule="exact" w:line="320" w:before="0" w:after="0"/>
        <w:jc w:val="both"/>
        <w:ind w:firstLineChars="200" w:firstLine="420"/>
      </w:pPr>
      <w:r>
        <w:rPr>
          <w:rFonts w:ascii="Times New Roman" w:hAnsi="Times New Roman" w:eastAsia="宋体"/>
          <w:b w:val="0"/>
          <w:i w:val="0"/>
          <w:sz w:val="21"/>
        </w:rPr>
        <w:t>L1 静态验证记录点集配准、相机标定、坐标变换、拟合误差、目标误差和重投影误差。无噪声合成验证的 FRE 为 1.43e-14 mm、TRE 为 1.68e-14 mm；公开牙列基准在 0.5、1 和 2 mm 噪声条件下的 TRE 分别为 0.352、0.772 和 1.625 代理 mm；相机位姿拟合误差为 0.2234 px，独立误差为 0.2990 px。接近零的数字仿体数值来源于已知几何关系，不能代表患者配准精度。</w:t>
      </w:r>
    </w:p>
    <w:p>
      <w:pPr>
        <w:spacing w:lineRule="exact" w:line="320" w:before="0" w:after="0"/>
        <w:jc w:val="both"/>
        <w:ind w:firstLineChars="200" w:firstLine="420"/>
      </w:pPr>
      <w:r>
        <w:rPr>
          <w:rFonts w:ascii="Times New Roman" w:hAnsi="Times New Roman" w:eastAsia="宋体"/>
          <w:b w:val="0"/>
          <w:i w:val="0"/>
          <w:sz w:val="21"/>
        </w:rPr>
        <w:t>L2 离线动态验证对视频时间戳递增、帧率、位姿时序、倍率和工作距离变化、可见投影点、漂移和标定歧义执行门控。公开 RGB-D 代理验证完成 766 帧绑定、2556 个位姿记录和 24 帧受控回放，最大时间差为 9.693 ms。该结果验证离线数据组织、时序关联、失效检测和回退逻辑，不能等同真实手术中的跟踪准确性或导航可用性。</w:t>
      </w:r>
    </w:p>
    <w:p>
      <w:pPr>
        <w:spacing w:lineRule="exact" w:line="320" w:before="0" w:after="0"/>
        <w:jc w:val="both"/>
        <w:ind w:firstLineChars="200" w:firstLine="420"/>
      </w:pPr>
      <w:r>
        <w:rPr>
          <w:rFonts w:ascii="Times New Roman" w:hAnsi="Times New Roman" w:eastAsia="宋体"/>
          <w:b w:val="0"/>
          <w:i w:val="0"/>
          <w:sz w:val="21"/>
        </w:rPr>
        <w:t>任一标定、配准、时序、漂移或复核条件不足时，系统回退到 L0 未配准参考，并保留二维影像、配准状态、失败原因和医生复核路径。当前所有三维展示均维持未配准参考状态；升级到真实术中定位需完成真实相机内外参、患者与 CBCT 配准、跟踪或尺度信息、误差上限、漂移监测、失效回退和医生复核的独立验证。</w:t>
      </w:r>
    </w:p>
    <w:p>
      <w:pPr>
        <w:spacing w:lineRule="exact" w:line="320"/>
        <w:jc w:val="center"/>
      </w:pPr>
      <w:r>
        <w:drawing>
          <wp:inline xmlns:a="http://schemas.openxmlformats.org/drawingml/2006/main" xmlns:pic="http://schemas.openxmlformats.org/drawingml/2006/picture">
            <wp:extent cx="4320000" cy="3240000"/>
            <wp:docPr id="9" name="Picture 9"/>
            <wp:cNvGraphicFramePr>
              <a:graphicFrameLocks noChangeAspect="1"/>
            </wp:cNvGraphicFramePr>
            <a:graphic>
              <a:graphicData uri="http://schemas.openxmlformats.org/drawingml/2006/picture">
                <pic:pic>
                  <pic:nvPicPr>
                    <pic:cNvPr id="0" name="fig_07_02_challenge_cup_showcase.png"/>
                    <pic:cNvPicPr/>
                  </pic:nvPicPr>
                  <pic:blipFill>
                    <a:blip r:embed="rId17"/>
                    <a:stretch>
                      <a:fillRect/>
                    </a:stretch>
                  </pic:blipFill>
                  <pic:spPr>
                    <a:xfrm>
                      <a:off x="0" y="0"/>
                      <a:ext cx="4320000" cy="3240000"/>
                    </a:xfrm>
                    <a:prstGeom prst="rect"/>
                  </pic:spPr>
                </pic:pic>
              </a:graphicData>
            </a:graphic>
          </wp:inline>
        </w:drawing>
      </w:r>
    </w:p>
    <w:p>
      <w:pPr>
        <w:spacing w:lineRule="exact" w:line="320" w:before="0" w:after="120"/>
        <w:jc w:val="center"/>
      </w:pPr>
      <w:r>
        <w:rPr>
          <w:rFonts w:ascii="Times New Roman" w:hAnsi="Times New Roman" w:eastAsia="宋体"/>
          <w:b w:val="0"/>
          <w:i w:val="0"/>
          <w:sz w:val="18"/>
        </w:rPr>
        <w:t>图6-3 术前三维参考、术中视频复核与工程状态</w:t>
      </w:r>
    </w:p>
    <w:p>
      <w:pPr>
        <w:spacing w:lineRule="exact" w:line="320" w:before="0" w:after="120"/>
        <w:jc w:val="center"/>
      </w:pPr>
      <w:r>
        <w:rPr>
          <w:rFonts w:ascii="Times New Roman" w:hAnsi="Times New Roman" w:eastAsia="宋体"/>
          <w:b w:val="0"/>
          <w:i/>
          <w:color w:val="555555"/>
          <w:sz w:val="18"/>
        </w:rPr>
        <w:t>图 6-3 平台展示将公开三维参考、视频关键帧、风险图层和复核状态置于同一工程工作流。三维内容处于 L0 未配准参考状态。</w:t>
      </w:r>
    </w:p>
    <w:p>
      <w:pPr>
        <w:spacing w:lineRule="exact" w:line="320" w:before="120" w:after="60"/>
        <w:jc w:val="left"/>
        <w:ind w:firstLineChars="200" w:firstLine="480"/>
      </w:pPr>
      <w:r>
        <w:rPr>
          <w:rFonts w:ascii="Times New Roman" w:hAnsi="Times New Roman" w:eastAsia="仿宋_GB2312"/>
          <w:b/>
          <w:i w:val="0"/>
          <w:sz w:val="24"/>
        </w:rPr>
        <w:t>（五）质量结论与后续验证</w:t>
      </w:r>
    </w:p>
    <w:p>
      <w:pPr>
        <w:spacing w:lineRule="exact" w:line="320" w:before="0" w:after="0"/>
        <w:jc w:val="both"/>
        <w:ind w:firstLineChars="200" w:firstLine="420"/>
      </w:pPr>
      <w:r>
        <w:rPr>
          <w:rFonts w:ascii="Times New Roman" w:hAnsi="Times New Roman" w:eastAsia="宋体"/>
          <w:b w:val="0"/>
          <w:i w:val="0"/>
          <w:sz w:val="21"/>
        </w:rPr>
        <w:t>当前质量检查已覆盖 Python 与后端测试、静态质量检查、类型检查、前端构建与测试、独立三维运行时检查、活动文档审计和严格运行预检，均已通过。严格主线、主线权重、必要视频工具和运行条件均完成核验。通用开发模型登记中仍存在输入类型契约待收口项，该问题不影响本章所述严格比赛主线的预检与运行状态。</w:t>
      </w:r>
    </w:p>
    <w:p>
      <w:pPr>
        <w:spacing w:lineRule="exact" w:line="320" w:before="0" w:after="0"/>
        <w:jc w:val="both"/>
        <w:ind w:firstLineChars="200" w:firstLine="420"/>
      </w:pPr>
      <w:r>
        <w:rPr>
          <w:rFonts w:ascii="Times New Roman" w:hAnsi="Times New Roman" w:eastAsia="宋体"/>
          <w:b w:val="0"/>
          <w:i w:val="0"/>
          <w:sz w:val="21"/>
        </w:rPr>
        <w:t>本项目已经形成官方 4K 文件输入、白光与荧光融合、多通道质控、人工智能候选提示、医生复核、结构化证据导出和 L0/L1/L2 三维工程验证的可运行闭环。当前真实术中 ICG 颌骨骨髓炎目标域记录和训练准入记录均为 0；公开代理、近域图像、数字仿体和候选模型结果仅构成工程验证证据。后续临床研究与模型独立晋级依赖真实目标域样本准入、医生金标准标注、患者级独立验证、校准与亚组审计，以及造影剂、物理仿体和真实设备条件下的分级验证。</w:t>
      </w:r>
    </w:p>
    <w:p>
      <w:pPr>
        <w:spacing w:lineRule="exact" w:line="320" w:before="240" w:after="120"/>
        <w:jc w:val="center"/>
      </w:pPr>
      <w:r>
        <w:rPr>
          <w:rFonts w:ascii="Times New Roman" w:hAnsi="Times New Roman" w:eastAsia="黑体"/>
          <w:b/>
          <w:i w:val="0"/>
          <w:sz w:val="28"/>
        </w:rPr>
        <w:t>七、第 7 章 工程实现与临床应用方案</w:t>
      </w:r>
    </w:p>
    <w:p>
      <w:pPr>
        <w:spacing w:lineRule="exact" w:line="320" w:before="120" w:after="60"/>
        <w:jc w:val="left"/>
        <w:ind w:firstLineChars="200" w:firstLine="480"/>
      </w:pPr>
      <w:r>
        <w:rPr>
          <w:rFonts w:ascii="Times New Roman" w:hAnsi="Times New Roman" w:eastAsia="仿宋_GB2312"/>
          <w:b/>
          <w:i w:val="0"/>
          <w:sz w:val="24"/>
        </w:rPr>
        <w:t>（一）面向术中辅助的完整工作台</w:t>
      </w:r>
    </w:p>
    <w:p>
      <w:pPr>
        <w:spacing w:lineRule="exact" w:line="320" w:before="0" w:after="0"/>
        <w:jc w:val="both"/>
        <w:ind w:firstLineChars="200" w:firstLine="420"/>
      </w:pPr>
      <w:r>
        <w:rPr>
          <w:rFonts w:ascii="Times New Roman" w:hAnsi="Times New Roman" w:eastAsia="宋体"/>
          <w:b w:val="0"/>
          <w:i w:val="0"/>
          <w:sz w:val="21"/>
        </w:rPr>
        <w:t>本项目已形成面向颌骨骨髓炎术中辅助决策的软件工作台。平台以赛题设备确认的 4K JPEG 图像和 MP4 视频文件为主要输入，围绕数据准入、病例管理、多模态分析、医生复核、三维参考和报告导出组织完整流程。评审可从一个标准示例病例进入，连续查看原始视频、融合结果、人工智能候选区、复核记录和证据报告，直观理解各环节之间的关系。</w:t>
      </w:r>
    </w:p>
    <w:p>
      <w:pPr>
        <w:spacing w:lineRule="exact" w:line="320" w:before="0" w:after="0"/>
        <w:jc w:val="both"/>
        <w:ind w:firstLineChars="200" w:firstLine="420"/>
      </w:pPr>
      <w:r>
        <w:rPr>
          <w:rFonts w:ascii="Times New Roman" w:hAnsi="Times New Roman" w:eastAsia="宋体"/>
          <w:b w:val="0"/>
          <w:i w:val="0"/>
          <w:sz w:val="21"/>
        </w:rPr>
        <w:t>工作台采用多通道设计，覆盖单路视频、白光与荧光双路视频，以及原彩、荧光、叠加三路资料的受控接入。对于双路资料，系统先检查图像尺寸、时间关系和通道匹配情况，再完成空间配准、荧光信号归一化、伪彩增强、透明叠加和感兴趣区量化。对于视频资料，系统保留原始播放，同时提供关键帧分析和连续帧串行分析；播放过程中始终显示最近一次已经完成分析的结果及其时间信息，避免将离线分析结果误解为逐帧即时结论。</w:t>
      </w:r>
    </w:p>
    <w:p>
      <w:pPr>
        <w:spacing w:lineRule="exact" w:line="320" w:before="0" w:after="0"/>
        <w:jc w:val="both"/>
        <w:ind w:firstLineChars="200" w:firstLine="420"/>
      </w:pPr>
      <w:r>
        <w:rPr>
          <w:rFonts w:ascii="Times New Roman" w:hAnsi="Times New Roman" w:eastAsia="宋体"/>
          <w:b w:val="0"/>
          <w:i w:val="0"/>
          <w:sz w:val="21"/>
        </w:rPr>
        <w:t>主界面以四个同等重要的检查视口呈现视频流输入、融合图、热图及归一化或分割结果。这样的组织方式使医生能够在同一视觉区域内对照原始画面、荧光变化和候选提示，减少在多个页面之间切换造成的信息中断。系统支持日间与夜间主题，适合桌面工作站环境下的连续阅片、标注和演示。</w:t>
      </w:r>
    </w:p>
    <w:p>
      <w:pPr>
        <w:spacing w:lineRule="exact" w:line="320" w:before="120" w:after="60"/>
        <w:jc w:val="left"/>
        <w:ind w:firstLineChars="200" w:firstLine="480"/>
      </w:pPr>
      <w:r>
        <w:rPr>
          <w:rFonts w:ascii="Times New Roman" w:hAnsi="Times New Roman" w:eastAsia="仿宋_GB2312"/>
          <w:b/>
          <w:i w:val="0"/>
          <w:sz w:val="24"/>
        </w:rPr>
        <w:t>（二）从文件到证据的工程闭环</w:t>
      </w:r>
    </w:p>
    <w:p>
      <w:pPr>
        <w:spacing w:lineRule="exact" w:line="320" w:before="0" w:after="0"/>
        <w:jc w:val="both"/>
        <w:ind w:firstLineChars="200" w:firstLine="420"/>
      </w:pPr>
      <w:r>
        <w:rPr>
          <w:rFonts w:ascii="Times New Roman" w:hAnsi="Times New Roman" w:eastAsia="宋体"/>
          <w:b w:val="0"/>
          <w:i w:val="0"/>
          <w:sz w:val="21"/>
        </w:rPr>
        <w:t>平台将每一份进入病例的影像资料纳入可追溯流程。资料接收时记录授权、脱敏确认、使用范围、来源和接收信息，并完成文件完整性、可解码性、重复项、通道关系和同步关系检查。通过检查的资料进入病例分析；存在问题的资料保留隔离原因，避免未经核验的内容混入后续分析或训练。</w:t>
      </w:r>
    </w:p>
    <w:p>
      <w:pPr>
        <w:spacing w:lineRule="exact" w:line="320" w:before="0" w:after="0"/>
        <w:jc w:val="both"/>
        <w:ind w:firstLineChars="200" w:firstLine="420"/>
      </w:pPr>
      <w:r>
        <w:rPr>
          <w:rFonts w:ascii="Times New Roman" w:hAnsi="Times New Roman" w:eastAsia="宋体"/>
          <w:b w:val="0"/>
          <w:i w:val="0"/>
          <w:sz w:val="21"/>
        </w:rPr>
        <w:t>进入工作台后，系统根据输入类型展开相应流程。成对白光和荧光图像用于配准、伪彩、融合、质量控制和感兴趣区定量；单路或多路视频用于原始播放、关键帧提取、连续帧分析和候选区同步展示。针对 4K 资料，平台提供分块分析能力，兼顾完整证据生成与连续展示需求。当前工程基准显示，在指定 4K 工程序列上，配准与融合计算的九成五分位耗时为 82.026 毫秒；该指标仅计入配准、归一化、伪彩和融合计算，用于说明工程链路的运行能力。</w:t>
      </w:r>
    </w:p>
    <w:p>
      <w:pPr>
        <w:spacing w:lineRule="exact" w:line="320" w:before="0" w:after="0"/>
        <w:jc w:val="both"/>
        <w:ind w:firstLineChars="200" w:firstLine="420"/>
      </w:pPr>
      <w:r>
        <w:rPr>
          <w:rFonts w:ascii="Times New Roman" w:hAnsi="Times New Roman" w:eastAsia="宋体"/>
          <w:b w:val="0"/>
          <w:i w:val="0"/>
          <w:sz w:val="21"/>
        </w:rPr>
        <w:t>人工智能结果以荧光信号候选、边界风险提示和不确定性提示等形式呈现，并与原始图像、融合图和质量信息同时保存。骨面相关提示需要经过医生感兴趣区确认或辅助复核后才进入后续使用环节。平台由此将“自动生成候选”与“医生确认依据”分开管理，使每一次结果展示都能回到对应的输入资料、处理过程和复核记录。</w:t>
      </w:r>
    </w:p>
    <w:p>
      <w:pPr>
        <w:spacing w:lineRule="exact" w:line="320" w:before="0" w:after="0"/>
        <w:jc w:val="both"/>
        <w:ind w:firstLineChars="200" w:firstLine="420"/>
      </w:pPr>
      <w:r>
        <w:rPr>
          <w:rFonts w:ascii="Times New Roman" w:hAnsi="Times New Roman" w:eastAsia="宋体"/>
          <w:b w:val="0"/>
          <w:i w:val="0"/>
          <w:sz w:val="21"/>
        </w:rPr>
        <w:t>系统的输出以病例证据包为核心，汇集关键截图、量化结果、可读报告、结构化摘要和复核结论。证据包保留资料来源、处理版本、完整性校验信息和复核状态，便于比赛演示、团队复盘和后续数据回灌。三维工作台同步承接 CBCT 与表面模型资料，提供模型检查、静态配准和离线位姿回放的工程验证能力；当前主展示保持未配准三维参考，用于术前数字化规划与术中信息对照。</w:t>
      </w:r>
    </w:p>
    <w:p>
      <w:pPr>
        <w:spacing w:lineRule="exact" w:line="320" w:before="120" w:after="60"/>
        <w:jc w:val="left"/>
        <w:ind w:firstLineChars="200" w:firstLine="480"/>
      </w:pPr>
      <w:r>
        <w:rPr>
          <w:rFonts w:ascii="Times New Roman" w:hAnsi="Times New Roman" w:eastAsia="仿宋_GB2312"/>
          <w:b/>
          <w:i w:val="0"/>
          <w:sz w:val="24"/>
        </w:rPr>
        <w:t>（三）公开数据驱动的分层演示</w:t>
      </w:r>
    </w:p>
    <w:p>
      <w:pPr>
        <w:spacing w:lineRule="exact" w:line="320" w:before="0" w:after="0"/>
        <w:jc w:val="both"/>
        <w:ind w:firstLineChars="200" w:firstLine="420"/>
      </w:pPr>
      <w:r>
        <w:rPr>
          <w:rFonts w:ascii="Times New Roman" w:hAnsi="Times New Roman" w:eastAsia="宋体"/>
          <w:b w:val="0"/>
          <w:i w:val="0"/>
          <w:sz w:val="21"/>
        </w:rPr>
        <w:t>在真实术中 ICG 颌骨骨髓炎样本尚未形成可训练记录的阶段，项目采用分层数据策略推进软件验证与展示。每类资源均保留来源、适用场景和用途说明，避免不同数据域之间的证据混用。</w:t>
      </w:r>
    </w:p>
    <w:p>
      <w:pPr>
        <w:spacing w:lineRule="exact" w:line="320" w:before="0" w:after="0"/>
        <w:jc w:val="both"/>
        <w:ind w:firstLineChars="200" w:firstLine="420"/>
      </w:pPr>
      <w:r>
        <w:rPr>
          <w:rFonts w:ascii="Times New Roman" w:hAnsi="Times New Roman" w:eastAsia="宋体"/>
          <w:b w:val="0"/>
          <w:i w:val="0"/>
          <w:sz w:val="21"/>
        </w:rPr>
        <w:t>OFDVDnet 用于公开离体鸡腿荧光手术代理演示。该资源承担荧光视频处理、关键帧分析、阈值比较、伪彩融合和连续帧工作流验证，是当前标准视频示例的重要来源。它能够支持荧光信号处理链路的工程展示，不能推演为人体颌骨骨髓炎的临床结果。</w:t>
      </w:r>
    </w:p>
    <w:p>
      <w:pPr>
        <w:spacing w:lineRule="exact" w:line="320" w:before="0" w:after="0"/>
        <w:jc w:val="both"/>
        <w:ind w:firstLineChars="200" w:firstLine="420"/>
      </w:pPr>
      <w:r>
        <w:rPr>
          <w:rFonts w:ascii="Times New Roman" w:hAnsi="Times New Roman" w:eastAsia="宋体"/>
          <w:b w:val="0"/>
          <w:i w:val="0"/>
          <w:sz w:val="21"/>
        </w:rPr>
        <w:t>D083 用于公开人体 ICG 骨移植视频关键帧的静态展示。该资源帮助评审观察人体术野中的原始画面、融合效果、风险图和不确定性图如何在同一工作台中组织，也用于验证时序展示与证据输出流程。其医学场景与颌骨骨髓炎不同，因此仅作为公开人体 ICG 工程参考。</w:t>
      </w:r>
    </w:p>
    <w:p>
      <w:pPr>
        <w:spacing w:lineRule="exact" w:line="320" w:before="0" w:after="0"/>
        <w:jc w:val="both"/>
        <w:ind w:firstLineChars="200" w:firstLine="420"/>
      </w:pPr>
      <w:r>
        <w:rPr>
          <w:rFonts w:ascii="Times New Roman" w:hAnsi="Times New Roman" w:eastAsia="宋体"/>
          <w:b w:val="0"/>
          <w:i w:val="0"/>
          <w:sz w:val="21"/>
        </w:rPr>
        <w:t>D024 用于公开下颌解剖参考和数字仿体展示。它支撑三维工作台中的对象检查、下颌表面显示、静态配准和离线回放验证，使术前影像参考与术中视频候选区能够在同一病例语境中查看。该资源服务于解剖与几何工程验证，不能用于患者个体化导航结论。</w:t>
      </w:r>
    </w:p>
    <w:p>
      <w:pPr>
        <w:spacing w:lineRule="exact" w:line="320" w:before="0" w:after="0"/>
        <w:jc w:val="both"/>
        <w:ind w:firstLineChars="200" w:firstLine="420"/>
      </w:pPr>
      <w:r>
        <w:rPr>
          <w:rFonts w:ascii="Times New Roman" w:hAnsi="Times New Roman" w:eastAsia="宋体"/>
          <w:b w:val="0"/>
          <w:i w:val="0"/>
          <w:sz w:val="21"/>
        </w:rPr>
        <w:t>这种分层方式使比赛展示具备可运行的完整链路，也为后续真实样本进入平台预留了统一入口。随着真实目标域资料、医生标注和多中心记录逐步积累，公开代理资源将继续承担预训练、回归测试和功能稳定性验证的角色。</w:t>
      </w:r>
    </w:p>
    <w:p>
      <w:pPr>
        <w:spacing w:lineRule="exact" w:line="320" w:before="120" w:after="60"/>
        <w:jc w:val="left"/>
        <w:ind w:firstLineChars="200" w:firstLine="480"/>
      </w:pPr>
      <w:r>
        <w:rPr>
          <w:rFonts w:ascii="Times New Roman" w:hAnsi="Times New Roman" w:eastAsia="仿宋_GB2312"/>
          <w:b/>
          <w:i w:val="0"/>
          <w:sz w:val="24"/>
        </w:rPr>
        <w:t>（四）医生复核与临床应用组织</w:t>
      </w:r>
    </w:p>
    <w:p>
      <w:pPr>
        <w:spacing w:lineRule="exact" w:line="320" w:before="0" w:after="0"/>
        <w:jc w:val="both"/>
        <w:ind w:firstLineChars="200" w:firstLine="420"/>
      </w:pPr>
      <w:r>
        <w:rPr>
          <w:rFonts w:ascii="Times New Roman" w:hAnsi="Times New Roman" w:eastAsia="宋体"/>
          <w:b w:val="0"/>
          <w:i w:val="0"/>
          <w:sz w:val="21"/>
        </w:rPr>
        <w:t>平台将医生复核置于术中辅助流程的中心。医生可从病例图像、视频关键帧或系统候选区进入标注界面，使用画笔、橡皮擦、多边形、缩放、撤销与重做等工具完成区域标注；草稿、提交记录、版本变化和复核意见均被持续保存。复核结果可分为通过、修改和驳回，并与相应的原始资料、分析结果和时间记录关联。</w:t>
      </w:r>
    </w:p>
    <w:p>
      <w:pPr>
        <w:spacing w:lineRule="exact" w:line="320" w:before="0" w:after="0"/>
        <w:jc w:val="both"/>
        <w:ind w:firstLineChars="200" w:firstLine="420"/>
      </w:pPr>
      <w:r>
        <w:rPr>
          <w:rFonts w:ascii="Times New Roman" w:hAnsi="Times New Roman" w:eastAsia="宋体"/>
          <w:b w:val="0"/>
          <w:i w:val="0"/>
          <w:sz w:val="21"/>
        </w:rPr>
        <w:t>当复核资料拟进入后续训练或研究分析时，平台进一步要求可信身份确认和独立复核记录。通过或修改的样本可进入高优先级回灌队列，驳回样本用于错误分析与负例管理，待复核样本保持独立状态。这一机制把数据来源、人工判断和模型改进连接为闭环，也为后续多中心协作建立统一的资料治理基础。</w:t>
      </w:r>
    </w:p>
    <w:p>
      <w:pPr>
        <w:spacing w:lineRule="exact" w:line="320" w:before="0" w:after="0"/>
        <w:jc w:val="both"/>
        <w:ind w:firstLineChars="200" w:firstLine="420"/>
      </w:pPr>
      <w:r>
        <w:rPr>
          <w:rFonts w:ascii="Times New Roman" w:hAnsi="Times New Roman" w:eastAsia="宋体"/>
          <w:b w:val="0"/>
          <w:i w:val="0"/>
          <w:sz w:val="21"/>
        </w:rPr>
        <w:t>面向临床工作流，平台的价值体现在三个层面。第一，术前 CBCT 和表面模型可以作为空间参考，与病例资料共同归档；第二，术中视频及配对图像可形成可回看的多模态记录，荧光信号、融合结果和候选提示在同一工作台内对照；第三，术后可导出结构化证据包，支持病例讨论、教学复盘和研究数据整理。医生始终结合术野观察、影像资料和自身经验完成复核，平台负责提供可检查、可量化、可追溯的辅助信息。</w:t>
      </w:r>
    </w:p>
    <w:p>
      <w:pPr>
        <w:spacing w:lineRule="exact" w:line="320" w:before="120" w:after="60"/>
        <w:jc w:val="left"/>
        <w:ind w:firstLineChars="200" w:firstLine="480"/>
      </w:pPr>
      <w:r>
        <w:rPr>
          <w:rFonts w:ascii="Times New Roman" w:hAnsi="Times New Roman" w:eastAsia="仿宋_GB2312"/>
          <w:b/>
          <w:i w:val="0"/>
          <w:sz w:val="24"/>
        </w:rPr>
        <w:t>（五）当前完成度与展示重点</w:t>
      </w:r>
    </w:p>
    <w:p>
      <w:pPr>
        <w:spacing w:lineRule="exact" w:line="320" w:before="0" w:after="0"/>
        <w:jc w:val="both"/>
        <w:ind w:firstLineChars="200" w:firstLine="420"/>
      </w:pPr>
      <w:r>
        <w:rPr>
          <w:rFonts w:ascii="Times New Roman" w:hAnsi="Times New Roman" w:eastAsia="宋体"/>
          <w:b w:val="0"/>
          <w:i w:val="0"/>
          <w:sz w:val="21"/>
        </w:rPr>
        <w:t>目前，平台已经完成官方 JPEG 和 MP4 文件主路径、多通道工作台、白光与荧光融合、关键帧与连续帧分析、候选提示、医生标注复核、证据导出及三维参考的可运行闭环。公开荧光代理上的主线关键帧分割已获得 Dice 0.917681、IoU 0.848335、召回率 0.9099 的工程测试记录；这些指标用于说明代理场景下的模型筛选与软件链路可行性。</w:t>
      </w:r>
    </w:p>
    <w:p>
      <w:pPr>
        <w:spacing w:lineRule="exact" w:line="320" w:before="0" w:after="0"/>
        <w:jc w:val="both"/>
        <w:ind w:firstLineChars="200" w:firstLine="420"/>
      </w:pPr>
      <w:r>
        <w:rPr>
          <w:rFonts w:ascii="Times New Roman" w:hAnsi="Times New Roman" w:eastAsia="宋体"/>
          <w:b w:val="0"/>
          <w:i w:val="0"/>
          <w:sz w:val="21"/>
        </w:rPr>
        <w:t>比赛展示重点聚焦于“术前数字化参考—术中多通道融合与候选提示—医生复核—术后证据回顾”的连续体验。平台通过真实可运行界面、受控公开资料和完整记录链条展示工程能力，同时为真实目标域数据采集、模型迭代和后续联合验证提供可直接承接的基础。</w:t>
      </w:r>
    </w:p>
    <w:p>
      <w:pPr>
        <w:spacing w:lineRule="exact" w:line="320" w:before="240" w:after="120"/>
        <w:jc w:val="center"/>
      </w:pPr>
      <w:r>
        <w:rPr>
          <w:rFonts w:ascii="Times New Roman" w:hAnsi="Times New Roman" w:eastAsia="黑体"/>
          <w:b/>
          <w:i w:val="0"/>
          <w:sz w:val="28"/>
        </w:rPr>
        <w:t>八、第 8 章 创新性与可行性</w:t>
      </w:r>
    </w:p>
    <w:p>
      <w:pPr>
        <w:spacing w:lineRule="exact" w:line="320" w:before="120" w:after="60"/>
        <w:jc w:val="left"/>
        <w:ind w:firstLineChars="200" w:firstLine="480"/>
      </w:pPr>
      <w:r>
        <w:rPr>
          <w:rFonts w:ascii="Times New Roman" w:hAnsi="Times New Roman" w:eastAsia="仿宋_GB2312"/>
          <w:b/>
          <w:i w:val="0"/>
          <w:sz w:val="24"/>
        </w:rPr>
        <w:t>（一）创新性</w:t>
      </w:r>
    </w:p>
    <w:p>
      <w:pPr>
        <w:spacing w:lineRule="exact" w:line="320" w:before="60" w:after="40"/>
        <w:jc w:val="left"/>
        <w:ind w:firstLineChars="200" w:firstLine="420"/>
      </w:pPr>
      <w:r>
        <w:rPr>
          <w:rFonts w:ascii="Times New Roman" w:hAnsi="Times New Roman" w:eastAsia="宋体"/>
          <w:b/>
          <w:i w:val="0"/>
          <w:sz w:val="21"/>
        </w:rPr>
        <w:t>1．多通道术中信息的一体化工作台</w:t>
      </w:r>
    </w:p>
    <w:p>
      <w:pPr>
        <w:spacing w:lineRule="exact" w:line="320" w:before="0" w:after="0"/>
        <w:jc w:val="both"/>
        <w:ind w:firstLineChars="200" w:firstLine="420"/>
      </w:pPr>
      <w:r>
        <w:rPr>
          <w:rFonts w:ascii="Times New Roman" w:hAnsi="Times New Roman" w:eastAsia="宋体"/>
          <w:b w:val="0"/>
          <w:i w:val="0"/>
          <w:sz w:val="21"/>
        </w:rPr>
        <w:t>本项目的首要创新在于将白光、荧光、设备叠加图、单路与双路视频、关键帧结果以及三维参考组织为同一套临床工程工作台。传统数字化资料往往分散在采集、分析、阅片和报告环节，医生需要在不同载体之间建立联系。平台以病例为主线，将视频流输入、融合图、热图和分割结果并列展示，使原始画面、荧光变化和算法提示保持可对照状态。</w:t>
      </w:r>
    </w:p>
    <w:p>
      <w:pPr>
        <w:spacing w:lineRule="exact" w:line="320" w:before="0" w:after="0"/>
        <w:jc w:val="both"/>
        <w:ind w:firstLineChars="200" w:firstLine="420"/>
      </w:pPr>
      <w:r>
        <w:rPr>
          <w:rFonts w:ascii="Times New Roman" w:hAnsi="Times New Roman" w:eastAsia="宋体"/>
          <w:b w:val="0"/>
          <w:i w:val="0"/>
          <w:sz w:val="21"/>
        </w:rPr>
        <w:t>多通道工作台同时兼顾文件输入和连续播放分析。对于赛题要求的 JPEG 与 MP4，平台可完成成对图像融合、视频关键帧分析和连续帧串行处理；对于原彩、荧光和叠加三路资料，系统保留通道一致性检查和来源记录。该设计降低了对特定硬件接口的依赖，为不同设备、不同采集阶段和后续标准化元数据接入提供了统一的软件承载方式。</w:t>
      </w:r>
    </w:p>
    <w:p>
      <w:pPr>
        <w:spacing w:lineRule="exact" w:line="320" w:before="60" w:after="40"/>
        <w:jc w:val="left"/>
        <w:ind w:firstLineChars="200" w:firstLine="420"/>
      </w:pPr>
      <w:r>
        <w:rPr>
          <w:rFonts w:ascii="Times New Roman" w:hAnsi="Times New Roman" w:eastAsia="宋体"/>
          <w:b/>
          <w:i w:val="0"/>
          <w:sz w:val="21"/>
        </w:rPr>
        <w:t>2．由融合到复核的证据链设计</w:t>
      </w:r>
    </w:p>
    <w:p>
      <w:pPr>
        <w:spacing w:lineRule="exact" w:line="320" w:before="0" w:after="0"/>
        <w:jc w:val="both"/>
        <w:ind w:firstLineChars="200" w:firstLine="420"/>
      </w:pPr>
      <w:r>
        <w:rPr>
          <w:rFonts w:ascii="Times New Roman" w:hAnsi="Times New Roman" w:eastAsia="宋体"/>
          <w:b w:val="0"/>
          <w:i w:val="0"/>
          <w:sz w:val="21"/>
        </w:rPr>
        <w:t>第二项创新是把多模态融合、人工智能候选、医生复核和证据导出连接为连续证据链。系统在生成伪彩融合图、感兴趣区量化和风险提示的同时，保留输入来源、质量检查结果、关键帧时间、处理版本和复核状态。医生可以直接对候选区进行标注、通过、修改或驳回，后续能够追溯到原始影像和每一次复核变化。</w:t>
      </w:r>
    </w:p>
    <w:p>
      <w:pPr>
        <w:spacing w:lineRule="exact" w:line="320" w:before="0" w:after="0"/>
        <w:jc w:val="both"/>
        <w:ind w:firstLineChars="200" w:firstLine="420"/>
      </w:pPr>
      <w:r>
        <w:rPr>
          <w:rFonts w:ascii="Times New Roman" w:hAnsi="Times New Roman" w:eastAsia="宋体"/>
          <w:b w:val="0"/>
          <w:i w:val="0"/>
          <w:sz w:val="21"/>
        </w:rPr>
        <w:t>这种设计使算法结果具有明确的可回看路径。对模型而言，复核后的资料可形成有层级的数据回灌来源；对临床工程而言，每份输出都可与病例资料、量化结果和人工判断关联；对比赛展示而言，评审能够看到从输入到报告的完整运行过程。平台进一步将静态三维参考纳入同一证据体系，使术前模型检查、术中候选提示和术后复盘具备连贯的资料组织方式。</w:t>
      </w:r>
    </w:p>
    <w:p>
      <w:pPr>
        <w:spacing w:lineRule="exact" w:line="320" w:before="60" w:after="40"/>
        <w:jc w:val="left"/>
        <w:ind w:firstLineChars="200" w:firstLine="420"/>
      </w:pPr>
      <w:r>
        <w:rPr>
          <w:rFonts w:ascii="Times New Roman" w:hAnsi="Times New Roman" w:eastAsia="宋体"/>
          <w:b/>
          <w:i w:val="0"/>
          <w:sz w:val="21"/>
        </w:rPr>
        <w:t>3．分层数据策略支撑的可验证创新</w:t>
      </w:r>
    </w:p>
    <w:p>
      <w:pPr>
        <w:spacing w:lineRule="exact" w:line="320" w:before="0" w:after="0"/>
        <w:jc w:val="both"/>
        <w:ind w:firstLineChars="200" w:firstLine="420"/>
      </w:pPr>
      <w:r>
        <w:rPr>
          <w:rFonts w:ascii="Times New Roman" w:hAnsi="Times New Roman" w:eastAsia="宋体"/>
          <w:b w:val="0"/>
          <w:i w:val="0"/>
          <w:sz w:val="21"/>
        </w:rPr>
        <w:t>真实目标域资料尚处于积累阶段时，项目没有将不同来源数据混合解释，而是建立了分层使用策略。OFDVDnet 作为公开离体荧光代理，支撑荧光视频处理、模型比较、阈值扫描和连续帧演示；D083 作为公开人体 ICG 骨移植视频参考，支撑人体术野的融合展示、时序呈现和证据流程；D024 作为公开下颌解剖参考，支撑三维表面、数字仿体和配准工程验证。</w:t>
      </w:r>
    </w:p>
    <w:p>
      <w:pPr>
        <w:spacing w:lineRule="exact" w:line="320" w:before="0" w:after="0"/>
        <w:jc w:val="both"/>
        <w:ind w:firstLineChars="200" w:firstLine="420"/>
      </w:pPr>
      <w:r>
        <w:rPr>
          <w:rFonts w:ascii="Times New Roman" w:hAnsi="Times New Roman" w:eastAsia="宋体"/>
          <w:b w:val="0"/>
          <w:i w:val="0"/>
          <w:sz w:val="21"/>
        </w:rPr>
        <w:t>三类资源在平台中承担不同任务：OFDVDnet 解决荧光信号处理与视频工作流的验证问题，D083 丰富人体 ICG 场景下的界面展示与流程检验，D024 提供下颌几何与三维参考。分层策略使每一项展示内容都具有清晰来源和用途，后续真实资料进入后可以沿用同一治理、复核和评估框架。</w:t>
      </w:r>
    </w:p>
    <w:p>
      <w:pPr>
        <w:spacing w:lineRule="exact" w:line="320" w:before="60" w:after="40"/>
        <w:jc w:val="left"/>
        <w:ind w:firstLineChars="200" w:firstLine="420"/>
      </w:pPr>
      <w:r>
        <w:rPr>
          <w:rFonts w:ascii="Times New Roman" w:hAnsi="Times New Roman" w:eastAsia="宋体"/>
          <w:b/>
          <w:i w:val="0"/>
          <w:sz w:val="21"/>
        </w:rPr>
        <w:t>4．人工智能与医生协同的闭环机制</w:t>
      </w:r>
    </w:p>
    <w:p>
      <w:pPr>
        <w:spacing w:lineRule="exact" w:line="320" w:before="0" w:after="0"/>
        <w:jc w:val="both"/>
        <w:ind w:firstLineChars="200" w:firstLine="420"/>
      </w:pPr>
      <w:r>
        <w:rPr>
          <w:rFonts w:ascii="Times New Roman" w:hAnsi="Times New Roman" w:eastAsia="宋体"/>
          <w:b w:val="0"/>
          <w:i w:val="0"/>
          <w:sz w:val="21"/>
        </w:rPr>
        <w:t>项目将人工智能定位为候选生成和信息整合能力。系统围绕荧光信号、边界风险和不确定性形成多层提示，并将需要医生确认的区域明确送入复核流程。标注工具支持局部修改和版本记录，复核通过的资料可进入高优先级回灌队列，驳回资料用于错误分析。</w:t>
      </w:r>
    </w:p>
    <w:p>
      <w:pPr>
        <w:spacing w:lineRule="exact" w:line="320" w:before="0" w:after="0"/>
        <w:jc w:val="both"/>
        <w:ind w:firstLineChars="200" w:firstLine="420"/>
      </w:pPr>
      <w:r>
        <w:rPr>
          <w:rFonts w:ascii="Times New Roman" w:hAnsi="Times New Roman" w:eastAsia="宋体"/>
          <w:b w:val="0"/>
          <w:i w:val="0"/>
          <w:sz w:val="21"/>
        </w:rPr>
        <w:t>由此形成“候选生成—医生复核—证据归档—数据回灌—模型再评价”的持续迭代机制。该机制既能支持当前比赛版的工程验证，也能为后续真实资料驱动的模型优化建立基础。相较于只展示单次推理结果的方案，这种闭环更重视结果的来源、可解释性和后续可改进性。</w:t>
      </w:r>
    </w:p>
    <w:p>
      <w:pPr>
        <w:spacing w:lineRule="exact" w:line="320" w:before="120" w:after="60"/>
        <w:jc w:val="left"/>
        <w:ind w:firstLineChars="200" w:firstLine="480"/>
      </w:pPr>
      <w:r>
        <w:rPr>
          <w:rFonts w:ascii="Times New Roman" w:hAnsi="Times New Roman" w:eastAsia="仿宋_GB2312"/>
          <w:b/>
          <w:i w:val="0"/>
          <w:sz w:val="24"/>
        </w:rPr>
        <w:t>（二）可行性</w:t>
      </w:r>
    </w:p>
    <w:p>
      <w:pPr>
        <w:spacing w:lineRule="exact" w:line="320" w:before="60" w:after="40"/>
        <w:jc w:val="left"/>
        <w:ind w:firstLineChars="200" w:firstLine="420"/>
      </w:pPr>
      <w:r>
        <w:rPr>
          <w:rFonts w:ascii="Times New Roman" w:hAnsi="Times New Roman" w:eastAsia="宋体"/>
          <w:b/>
          <w:i w:val="0"/>
          <w:sz w:val="21"/>
        </w:rPr>
        <w:t>1．输入兼容与工程实现基础</w:t>
      </w:r>
    </w:p>
    <w:p>
      <w:pPr>
        <w:spacing w:lineRule="exact" w:line="320" w:before="0" w:after="0"/>
        <w:jc w:val="both"/>
        <w:ind w:firstLineChars="200" w:firstLine="420"/>
      </w:pPr>
      <w:r>
        <w:rPr>
          <w:rFonts w:ascii="Times New Roman" w:hAnsi="Times New Roman" w:eastAsia="宋体"/>
          <w:b w:val="0"/>
          <w:i w:val="0"/>
          <w:sz w:val="21"/>
        </w:rPr>
        <w:t>赛题设备资料已确认 4K 影像、JPEG 图片和 MP4 视频文件输入。平台围绕这一边界构建主流程，能够完成图像上传、视频播放、双通道配准、伪彩融合、感兴趣区定量、关键帧分析、连续帧展示和报告导出。对于医院侧已有的 JPG 与 AVI 资料，平台可通过受控转码进入视频分析流程，同时保留原始资料与转换关系，便于不同来源的资料分开管理。</w:t>
      </w:r>
    </w:p>
    <w:p>
      <w:pPr>
        <w:spacing w:lineRule="exact" w:line="320" w:before="0" w:after="0"/>
        <w:jc w:val="both"/>
        <w:ind w:firstLineChars="200" w:firstLine="420"/>
      </w:pPr>
      <w:r>
        <w:rPr>
          <w:rFonts w:ascii="Times New Roman" w:hAnsi="Times New Roman" w:eastAsia="宋体"/>
          <w:b w:val="0"/>
          <w:i w:val="0"/>
          <w:sz w:val="21"/>
        </w:rPr>
        <w:t>平台采用本地部署的桌面工作站形态，已完成数据准入、病例管理、分析工作台、三维导航、医生复核和报告导出等连续页面。当前质量检查覆盖后端功能、前端构建与测试、类型检查、独立三维运行时以及严格运行预检，均已通过。平台具备完整演示所需的运行基础，能够在评审现场稳定呈现核心工作流。</w:t>
      </w:r>
    </w:p>
    <w:p>
      <w:pPr>
        <w:spacing w:lineRule="exact" w:line="320" w:before="60" w:after="40"/>
        <w:jc w:val="left"/>
        <w:ind w:firstLineChars="200" w:firstLine="420"/>
      </w:pPr>
      <w:r>
        <w:rPr>
          <w:rFonts w:ascii="Times New Roman" w:hAnsi="Times New Roman" w:eastAsia="宋体"/>
          <w:b/>
          <w:i w:val="0"/>
          <w:sz w:val="21"/>
        </w:rPr>
        <w:t>2．多模态融合与人工智能的工程证据</w:t>
      </w:r>
    </w:p>
    <w:p>
      <w:pPr>
        <w:spacing w:lineRule="exact" w:line="320" w:before="0" w:after="0"/>
        <w:jc w:val="both"/>
        <w:ind w:firstLineChars="200" w:firstLine="420"/>
      </w:pPr>
      <w:r>
        <w:rPr>
          <w:rFonts w:ascii="Times New Roman" w:hAnsi="Times New Roman" w:eastAsia="宋体"/>
          <w:b w:val="0"/>
          <w:i w:val="0"/>
          <w:sz w:val="21"/>
        </w:rPr>
        <w:t>在指定 4K 工程序列上，平台的配准与融合计算九成五分位耗时为 82.026 毫秒，其中配准为 59.022 毫秒，归一化、伪彩与融合为 21.891 毫秒。该结果对应统一的工程输入和测试协议，用于验证多模态处理链在 4K 资料上的运行能力。</w:t>
      </w:r>
    </w:p>
    <w:p>
      <w:pPr>
        <w:spacing w:lineRule="exact" w:line="320" w:before="0" w:after="0"/>
        <w:jc w:val="both"/>
        <w:ind w:firstLineChars="200" w:firstLine="420"/>
      </w:pPr>
      <w:r>
        <w:rPr>
          <w:rFonts w:ascii="Times New Roman" w:hAnsi="Times New Roman" w:eastAsia="宋体"/>
          <w:b w:val="0"/>
          <w:i w:val="0"/>
          <w:sz w:val="21"/>
        </w:rPr>
        <w:t>主线关键帧分割在 OFDVDnet 公开离体荧光代理上的锁定测试结果为 Dice 0.917681、IoU 0.848335、召回率 0.9099。连续帧快速路径的模型九成五分位耗时为 36.377 毫秒，服务端端到端九成五分位耗时为 176.457 毫秒；完整 4K 证据生成路径能够同步输出掩膜、概率图、融合叠加、候选区和分析记录。两种路径服务于不同场景：前者支持连续展示，后者支持完整证据保存。</w:t>
      </w:r>
    </w:p>
    <w:p>
      <w:pPr>
        <w:spacing w:lineRule="exact" w:line="320" w:before="0" w:after="0"/>
        <w:jc w:val="both"/>
        <w:ind w:firstLineChars="200" w:firstLine="420"/>
      </w:pPr>
      <w:r>
        <w:rPr>
          <w:rFonts w:ascii="Times New Roman" w:hAnsi="Times New Roman" w:eastAsia="宋体"/>
          <w:b w:val="0"/>
          <w:i w:val="0"/>
          <w:sz w:val="21"/>
        </w:rPr>
        <w:t>三维部分已完成公开下颌参考与数字仿体上的静态配准、离线位姿回放和误差记录能力验证。当前三维页面以未配准参考形式呈现，适合术前数字化规划、模型检查和工程演示。随着真实标定、误差评价和医生复核资料完善，三维能力可沿既有工作流向更高层级扩展。</w:t>
      </w:r>
    </w:p>
    <w:p>
      <w:pPr>
        <w:spacing w:lineRule="exact" w:line="320" w:before="60" w:after="40"/>
        <w:jc w:val="left"/>
        <w:ind w:firstLineChars="200" w:firstLine="420"/>
      </w:pPr>
      <w:r>
        <w:rPr>
          <w:rFonts w:ascii="Times New Roman" w:hAnsi="Times New Roman" w:eastAsia="宋体"/>
          <w:b/>
          <w:i w:val="0"/>
          <w:sz w:val="21"/>
        </w:rPr>
        <w:t>3．可追溯的医生复核能力</w:t>
      </w:r>
    </w:p>
    <w:p>
      <w:pPr>
        <w:spacing w:lineRule="exact" w:line="320" w:before="0" w:after="0"/>
        <w:jc w:val="both"/>
        <w:ind w:firstLineChars="200" w:firstLine="420"/>
      </w:pPr>
      <w:r>
        <w:rPr>
          <w:rFonts w:ascii="Times New Roman" w:hAnsi="Times New Roman" w:eastAsia="宋体"/>
          <w:b w:val="0"/>
          <w:i w:val="0"/>
          <w:sz w:val="21"/>
        </w:rPr>
        <w:t>临床工程的可行性取决于结果能否被复查、修订和沉淀。平台在病例进入、分析运行、人工标注、复核审批和报告导出各阶段保留来源与时间信息。医生可在原始尺寸画面上修订候选区域，系统记录版本变化、复核意见和训练使用状态；拟进入训练的资料还需经过可信身份和独立复核确认。</w:t>
      </w:r>
    </w:p>
    <w:p>
      <w:pPr>
        <w:spacing w:lineRule="exact" w:line="320" w:before="0" w:after="0"/>
        <w:jc w:val="both"/>
        <w:ind w:firstLineChars="200" w:firstLine="420"/>
      </w:pPr>
      <w:r>
        <w:rPr>
          <w:rFonts w:ascii="Times New Roman" w:hAnsi="Times New Roman" w:eastAsia="宋体"/>
          <w:b w:val="0"/>
          <w:i w:val="0"/>
          <w:sz w:val="21"/>
        </w:rPr>
        <w:t>这种可追溯设计使平台能够适配医院资料治理需求，也使比赛中的每项展示内容具备来源说明。平台输出的截图、量化表、可读报告和结构化摘要能够共同构成病例证据包，为教学讨论、方案复盘和后续研究协作提供基础材料。</w:t>
      </w:r>
    </w:p>
    <w:p>
      <w:pPr>
        <w:spacing w:lineRule="exact" w:line="320" w:before="60" w:after="40"/>
        <w:jc w:val="left"/>
        <w:ind w:firstLineChars="200" w:firstLine="420"/>
      </w:pPr>
      <w:r>
        <w:rPr>
          <w:rFonts w:ascii="Times New Roman" w:hAnsi="Times New Roman" w:eastAsia="宋体"/>
          <w:b/>
          <w:i w:val="0"/>
          <w:sz w:val="21"/>
        </w:rPr>
        <w:t>4．分阶段推进的现实基础</w:t>
      </w:r>
    </w:p>
    <w:p>
      <w:pPr>
        <w:spacing w:lineRule="exact" w:line="320" w:before="0" w:after="0"/>
        <w:jc w:val="both"/>
        <w:ind w:firstLineChars="200" w:firstLine="420"/>
      </w:pPr>
      <w:r>
        <w:rPr>
          <w:rFonts w:ascii="Times New Roman" w:hAnsi="Times New Roman" w:eastAsia="宋体"/>
          <w:b w:val="0"/>
          <w:i w:val="0"/>
          <w:sz w:val="21"/>
        </w:rPr>
        <w:t>项目已经完成软件主流程、公开资料演示、主线模型接入、复核追溯和三维参考的工程闭环。当前真实术中 ICG 颌骨骨髓炎资料与训练准入记录均为零，因此公开代理、公开人体 ICG 参考和公开下颌解剖资源承担工程验证与界面展示任务。该现状使项目的下一步工作目标清晰：在保持现有演示闭环稳定运行的基础上，逐步引入经过授权、脱敏和医生复核的真实资料，开展独立评价与持续优化。</w:t>
      </w:r>
    </w:p>
    <w:p>
      <w:pPr>
        <w:spacing w:lineRule="exact" w:line="320" w:before="0" w:after="0"/>
        <w:jc w:val="both"/>
        <w:ind w:firstLineChars="200" w:firstLine="420"/>
      </w:pPr>
      <w:r>
        <w:rPr>
          <w:rFonts w:ascii="Times New Roman" w:hAnsi="Times New Roman" w:eastAsia="宋体"/>
          <w:b w:val="0"/>
          <w:i w:val="0"/>
          <w:sz w:val="21"/>
        </w:rPr>
        <w:t>从比赛实施角度看，项目具备明确的输入边界、可运行的核心界面、可复现的处理链路、经过核验的公开展示资源和可追溯的输出体系；从长期研发角度看，现有架构已经预留了真实样本、医生标注、三维几何信息和后续多中心数据接入的位置。工程实现与验证路线能够连续推进，具有较好的可操作性。</w:t>
      </w:r>
    </w:p>
    <w:p>
      <w:pPr>
        <w:spacing w:lineRule="exact" w:line="320" w:before="240" w:after="120"/>
        <w:jc w:val="center"/>
      </w:pPr>
      <w:r>
        <w:rPr>
          <w:rFonts w:ascii="Times New Roman" w:hAnsi="Times New Roman" w:eastAsia="黑体"/>
          <w:b/>
          <w:i w:val="0"/>
          <w:sz w:val="28"/>
        </w:rPr>
        <w:t>九、第 9 章 未来展望</w:t>
      </w:r>
    </w:p>
    <w:p>
      <w:pPr>
        <w:spacing w:lineRule="exact" w:line="320" w:before="120" w:after="60"/>
        <w:jc w:val="left"/>
        <w:ind w:firstLineChars="200" w:firstLine="480"/>
      </w:pPr>
      <w:r>
        <w:rPr>
          <w:rFonts w:ascii="Times New Roman" w:hAnsi="Times New Roman" w:eastAsia="仿宋_GB2312"/>
          <w:b/>
          <w:i w:val="0"/>
          <w:sz w:val="24"/>
        </w:rPr>
        <w:t>（一）从比赛演示走向目标域数据闭环</w:t>
      </w:r>
    </w:p>
    <w:p>
      <w:pPr>
        <w:spacing w:lineRule="exact" w:line="320" w:before="0" w:after="0"/>
        <w:jc w:val="both"/>
        <w:ind w:firstLineChars="200" w:firstLine="420"/>
      </w:pPr>
      <w:r>
        <w:rPr>
          <w:rFonts w:ascii="Times New Roman" w:hAnsi="Times New Roman" w:eastAsia="宋体"/>
          <w:b w:val="0"/>
          <w:i w:val="0"/>
          <w:sz w:val="21"/>
        </w:rPr>
        <w:t>当前平台已具备公开代理资料驱动的完整演示能力，下一阶段的重点是建立真实目标域资料的规范接入与医生复核闭环。真实术中资料进入平台后，将先完成授权、脱敏、来源登记、完整性检查、通道匹配和可解码性核验，再按病例纳入分析、复核和研究流程。白光、荧光、叠加图、视频片段、术前 CBCT 与表面模型将围绕同一病例持续积累，形成可回看的多模态资料链。</w:t>
      </w:r>
    </w:p>
    <w:p>
      <w:pPr>
        <w:spacing w:lineRule="exact" w:line="320" w:before="0" w:after="0"/>
        <w:jc w:val="both"/>
        <w:ind w:firstLineChars="200" w:firstLine="420"/>
      </w:pPr>
      <w:r>
        <w:rPr>
          <w:rFonts w:ascii="Times New Roman" w:hAnsi="Times New Roman" w:eastAsia="宋体"/>
          <w:b w:val="0"/>
          <w:i w:val="0"/>
          <w:sz w:val="21"/>
        </w:rPr>
        <w:t>医生标注将从关键帧和候选区开始，逐步形成对低活性候选、过渡区域、高活性参考和无法判断区域的复核资料。平台会保留草稿、修改、通过和驳回等过程信息，使每一份可用于后续训练的资料都能追溯到具体来源和复核过程。公开代理资源继续承担预训练、回归测试和功能验证任务，真实目标域资料承担模型评价与迭代的关键依据。</w:t>
      </w:r>
    </w:p>
    <w:p>
      <w:pPr>
        <w:spacing w:lineRule="exact" w:line="320" w:before="120" w:after="60"/>
        <w:jc w:val="left"/>
        <w:ind w:firstLineChars="200" w:firstLine="480"/>
      </w:pPr>
      <w:r>
        <w:rPr>
          <w:rFonts w:ascii="Times New Roman" w:hAnsi="Times New Roman" w:eastAsia="仿宋_GB2312"/>
          <w:b/>
          <w:i w:val="0"/>
          <w:sz w:val="24"/>
        </w:rPr>
        <w:t>（二）持续提升多通道融合与人工智能能力</w:t>
      </w:r>
    </w:p>
    <w:p>
      <w:pPr>
        <w:spacing w:lineRule="exact" w:line="320" w:before="0" w:after="0"/>
        <w:jc w:val="both"/>
        <w:ind w:firstLineChars="200" w:firstLine="420"/>
      </w:pPr>
      <w:r>
        <w:rPr>
          <w:rFonts w:ascii="Times New Roman" w:hAnsi="Times New Roman" w:eastAsia="宋体"/>
          <w:b w:val="0"/>
          <w:i w:val="0"/>
          <w:sz w:val="21"/>
        </w:rPr>
        <w:t>多通道工作台将继续深化白光、荧光和叠加资料之间的时空一致性。下一阶段将围绕不同放大倍率、工作距离、局部形变、遮挡和光照变化开展更细致的质量评价，使融合图、量化曲线和候选提示在复杂术野条件下保持稳定。视频分析方面，将在当前关键帧和串行连续帧基础上持续优化处理效率、时序平滑和结果刷新逻辑，形成更适合术中观看与术后回放的多层次分析方式。</w:t>
      </w:r>
    </w:p>
    <w:p>
      <w:pPr>
        <w:spacing w:lineRule="exact" w:line="320" w:before="0" w:after="0"/>
        <w:jc w:val="both"/>
        <w:ind w:firstLineChars="200" w:firstLine="420"/>
      </w:pPr>
      <w:r>
        <w:rPr>
          <w:rFonts w:ascii="Times New Roman" w:hAnsi="Times New Roman" w:eastAsia="宋体"/>
          <w:b w:val="0"/>
          <w:i w:val="0"/>
          <w:sz w:val="21"/>
        </w:rPr>
        <w:t>人工智能部分将沿“候选生成、医生复核、数据回灌、独立评价、模型晋级”的路径发展。后续模型将进一步整合影像信息、受限患者条件信息、骨活性复核信息和不确定性提示，并采用患者级、机构级和时间级划分进行评价。模型改进将同时关注分割精度、漏检与过分割、概率可靠性、资源消耗和连续视频中的稳定性，使算法能力与工作台的实际使用场景同步演进。</w:t>
      </w:r>
    </w:p>
    <w:p>
      <w:pPr>
        <w:spacing w:lineRule="exact" w:line="320" w:before="0" w:after="0"/>
        <w:jc w:val="both"/>
        <w:ind w:firstLineChars="200" w:firstLine="420"/>
      </w:pPr>
      <w:r>
        <w:rPr>
          <w:rFonts w:ascii="Times New Roman" w:hAnsi="Times New Roman" w:eastAsia="宋体"/>
          <w:b w:val="0"/>
          <w:i w:val="0"/>
          <w:sz w:val="21"/>
        </w:rPr>
        <w:t>OFDVDnet 将继续用于公开荧光代理条件下的算法回归、视频时序测试和演示稳定性检查；D083 将继续用于公开人体 ICG 场景中的展示与交互验证；D024 将继续用于下颌几何、三维表面和数字仿体工程验证。随着真实目标域资料增多，这些公开资源将成为长期质量控制体系的一部分，为跨版本比较提供稳定参照。</w:t>
      </w:r>
    </w:p>
    <w:p>
      <w:pPr>
        <w:spacing w:lineRule="exact" w:line="320" w:before="120" w:after="60"/>
        <w:jc w:val="left"/>
        <w:ind w:firstLineChars="200" w:firstLine="480"/>
      </w:pPr>
      <w:r>
        <w:rPr>
          <w:rFonts w:ascii="Times New Roman" w:hAnsi="Times New Roman" w:eastAsia="仿宋_GB2312"/>
          <w:b/>
          <w:i w:val="0"/>
          <w:sz w:val="24"/>
        </w:rPr>
        <w:t>（三）深化三维规划与离线增强现实验证</w:t>
      </w:r>
    </w:p>
    <w:p>
      <w:pPr>
        <w:spacing w:lineRule="exact" w:line="320" w:before="0" w:after="0"/>
        <w:jc w:val="both"/>
        <w:ind w:firstLineChars="200" w:firstLine="420"/>
      </w:pPr>
      <w:r>
        <w:rPr>
          <w:rFonts w:ascii="Times New Roman" w:hAnsi="Times New Roman" w:eastAsia="宋体"/>
          <w:b w:val="0"/>
          <w:i w:val="0"/>
          <w:sz w:val="21"/>
        </w:rPr>
        <w:t>平台已建立 CBCT 与表面模型的导入、对象检查、静态配准和离线位姿回放流程。未来将进一步完善从术前影像到三维表面、从下颌曲线到复核平面、从视频候选区到空间参考的连续工作流，使三维页面更好服务于术前规划、术中信息对照和术后复盘。</w:t>
      </w:r>
    </w:p>
    <w:p>
      <w:pPr>
        <w:spacing w:lineRule="exact" w:line="320" w:before="0" w:after="0"/>
        <w:jc w:val="both"/>
        <w:ind w:firstLineChars="200" w:firstLine="420"/>
      </w:pPr>
      <w:r>
        <w:rPr>
          <w:rFonts w:ascii="Times New Roman" w:hAnsi="Times New Roman" w:eastAsia="宋体"/>
          <w:b w:val="0"/>
          <w:i w:val="0"/>
          <w:sz w:val="21"/>
        </w:rPr>
        <w:t>下一阶段的工程重点包括完善相机标定资料、坐标变换记录、时间同步信息、误差测量和失效记录，并在物理仿体与离线回放环境中持续验证。D024 等公开下颌参考资源将用于保持几何流程的可重复性；真实病例中的 CBCT、表面模型和术中影像将按病例层面建立关联。待真实设备条件、标定证据、误差评价和医生复核逐步齐备后，平台可在已有三维工作流基础上开展更高层级的验证研究。</w:t>
      </w:r>
    </w:p>
    <w:p>
      <w:pPr>
        <w:spacing w:lineRule="exact" w:line="320" w:before="120" w:after="60"/>
        <w:jc w:val="left"/>
        <w:ind w:firstLineChars="200" w:firstLine="480"/>
      </w:pPr>
      <w:r>
        <w:rPr>
          <w:rFonts w:ascii="Times New Roman" w:hAnsi="Times New Roman" w:eastAsia="仿宋_GB2312"/>
          <w:b/>
          <w:i w:val="0"/>
          <w:sz w:val="24"/>
        </w:rPr>
        <w:t>（四）推进候选造影剂与软件协同验证</w:t>
      </w:r>
    </w:p>
    <w:p>
      <w:pPr>
        <w:spacing w:lineRule="exact" w:line="320" w:before="0" w:after="0"/>
        <w:jc w:val="both"/>
        <w:ind w:firstLineChars="200" w:firstLine="420"/>
      </w:pPr>
      <w:r>
        <w:rPr>
          <w:rFonts w:ascii="Times New Roman" w:hAnsi="Times New Roman" w:eastAsia="宋体"/>
          <w:b w:val="0"/>
          <w:i w:val="0"/>
          <w:sz w:val="21"/>
        </w:rPr>
        <w:t>赛题对新型荧光造影剂设计提出了明确要求。软件平台将为候选造影剂的后续验证提供可直接使用的影像处理、双通道融合、时序量化、质量控制和证据归档能力。候选分子、骨亲和或感染相关识别机制、光谱特征、稳定性和验证计划将与平台中的采集条件、伪彩显示和定量流程协同设计。</w:t>
      </w:r>
    </w:p>
    <w:p>
      <w:pPr>
        <w:spacing w:lineRule="exact" w:line="320" w:before="0" w:after="0"/>
        <w:jc w:val="both"/>
        <w:ind w:firstLineChars="200" w:firstLine="420"/>
      </w:pPr>
      <w:r>
        <w:rPr>
          <w:rFonts w:ascii="Times New Roman" w:hAnsi="Times New Roman" w:eastAsia="宋体"/>
          <w:b w:val="0"/>
          <w:i w:val="0"/>
          <w:sz w:val="21"/>
        </w:rPr>
        <w:t>后续研究可按结构与光谱确认、离体材料验证、细胞与组织层面验证、设备适配验证和更高层级评价逐步推进。每一阶段获得的光谱和成像参数都可回填到软件的处理与展示流程中，形成“造影剂设计—显微成像—多模态处理—医生复核—证据积累”的协同研发链。通过这种协同，软件平台既服务于当前 ICG 基线分析，也为未来候选造影剂的比较研究准备标准化工具。</w:t>
      </w:r>
    </w:p>
    <w:p>
      <w:pPr>
        <w:spacing w:lineRule="exact" w:line="320" w:before="120" w:after="60"/>
        <w:jc w:val="left"/>
        <w:ind w:firstLineChars="200" w:firstLine="480"/>
      </w:pPr>
      <w:r>
        <w:rPr>
          <w:rFonts w:ascii="Times New Roman" w:hAnsi="Times New Roman" w:eastAsia="仿宋_GB2312"/>
          <w:b/>
          <w:i w:val="0"/>
          <w:sz w:val="24"/>
        </w:rPr>
        <w:t>（五）构建多中心协作与长期转化能力</w:t>
      </w:r>
    </w:p>
    <w:p>
      <w:pPr>
        <w:spacing w:lineRule="exact" w:line="320" w:before="0" w:after="0"/>
        <w:jc w:val="both"/>
        <w:ind w:firstLineChars="200" w:firstLine="420"/>
      </w:pPr>
      <w:r>
        <w:rPr>
          <w:rFonts w:ascii="Times New Roman" w:hAnsi="Times New Roman" w:eastAsia="宋体"/>
          <w:b w:val="0"/>
          <w:i w:val="0"/>
          <w:sz w:val="21"/>
        </w:rPr>
        <w:t>随着医院合作范围扩大，平台将进一步强化多中心资料治理、设备来源区分、采集条件登记、医生复核协作和训练准入评估。不同医院、不同设备和不同术式下的资料将保留独立来源信息，并通过统一的准入、复核和证据导出流程进入研究体系。这样既有利于识别设备差异与数据分布变化，也有利于形成可比较的长期资料库。</w:t>
      </w:r>
    </w:p>
    <w:p>
      <w:pPr>
        <w:spacing w:lineRule="exact" w:line="320" w:before="0" w:after="0"/>
        <w:jc w:val="both"/>
        <w:ind w:firstLineChars="200" w:firstLine="420"/>
      </w:pPr>
      <w:r>
        <w:rPr>
          <w:rFonts w:ascii="Times New Roman" w:hAnsi="Times New Roman" w:eastAsia="宋体"/>
          <w:b w:val="0"/>
          <w:i w:val="0"/>
          <w:sz w:val="21"/>
        </w:rPr>
        <w:t>在长期转化方向上，项目将持续完善质量管理、数据治理、伦理准备、性能评价和真实场景验证材料，并与设备方、医院和实验团队建立清晰分工。软件侧负责影像进入平台后的分析、复核、证据和可视化能力；设备接入与采集条件由相应合作方提供支持；造影剂相关实验由具备实验条件的团队分阶段完成。通过分工协同，平台可在比赛阶段保持完整可运行展示，并在后续研发中逐步发展为支撑多模态术中辅助研究的长期软件基础。</w:t>
      </w:r>
    </w:p>
    <w:sectPr w:rsidR="00FC693F" w:rsidRPr="0006063C" w:rsidSect="00034616">
      <w:pgSz w:w="11906" w:h="16838"/>
      <w:pgMar w:top="1134" w:right="1134" w:bottom="1134" w:left="1134" w:header="720" w:footer="720" w:gutter="0"/>
      <w:cols w:space="720"/>
      <w:docGrid w:linePitch="312" w:type="linesAndChars"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