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D45F0">
      <w:pPr>
        <w:spacing w:before="1000" w:after="220"/>
        <w:jc w:val="center"/>
      </w:pPr>
      <w:bookmarkStart w:id="35" w:name="_GoBack"/>
      <w:bookmarkEnd w:id="35"/>
      <w:r>
        <w:rPr>
          <w:b/>
          <w:bCs/>
          <w:color w:val="0B6B68"/>
          <w:sz w:val="30"/>
          <w:szCs w:val="30"/>
        </w:rPr>
        <w:t>OSTEO VISION</w:t>
      </w:r>
    </w:p>
    <w:p w14:paraId="612FB7FD">
      <w:pPr>
        <w:pBdr>
          <w:bottom w:val="single" w:color="0B6B68" w:sz="18" w:space="12"/>
        </w:pBdr>
        <w:spacing w:before="260" w:after="480"/>
        <w:jc w:val="center"/>
      </w:pPr>
      <w:r>
        <w:rPr>
          <w:b/>
          <w:bCs/>
          <w:color w:val="18323A"/>
          <w:sz w:val="48"/>
          <w:szCs w:val="48"/>
        </w:rPr>
        <w:t>科奥达赛题专业评委视角差距审查</w:t>
      </w:r>
    </w:p>
    <w:p w14:paraId="306AB07F">
      <w:pPr>
        <w:spacing w:after="560" w:line="420" w:lineRule="auto"/>
        <w:jc w:val="center"/>
      </w:pPr>
      <w:r>
        <w:rPr>
          <w:color w:val="5A6870"/>
          <w:sz w:val="25"/>
          <w:szCs w:val="25"/>
        </w:rPr>
        <w:t>面向荧光手术显微镜的多模态融合、AI 辅助判读与三维工程验证</w:t>
      </w:r>
    </w:p>
    <w:p w14:paraId="3070AC89">
      <w:pPr>
        <w:spacing w:before="300" w:after="420" w:line="460" w:lineRule="auto"/>
        <w:jc w:val="center"/>
      </w:pPr>
      <w:r>
        <w:rPr>
          <w:color w:val="18323A"/>
          <w:sz w:val="22"/>
          <w:szCs w:val="22"/>
        </w:rPr>
        <w:t>审查日期：2026-07-24</w:t>
      </w:r>
      <w:r>
        <w:br w:type="textWrapping"/>
      </w:r>
      <w:r>
        <w:rPr>
          <w:color w:val="18323A"/>
          <w:sz w:val="22"/>
          <w:szCs w:val="22"/>
        </w:rPr>
        <w:t>审查对象：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osteo-vision v0.3.0-rc.2</w:t>
      </w:r>
      <w:r>
        <w:rPr>
          <w:color w:val="18323A"/>
          <w:sz w:val="22"/>
          <w:szCs w:val="22"/>
        </w:rPr>
        <w:t>、当前挑战杯报告、软件、模型、数据、演示与提交准备</w:t>
      </w:r>
      <w:r>
        <w:br w:type="textWrapping"/>
      </w:r>
      <w:r>
        <w:rPr>
          <w:color w:val="18323A"/>
          <w:sz w:val="22"/>
          <w:szCs w:val="22"/>
        </w:rPr>
        <w:t>截止时间：2026-07-30 前向发榜方提交</w:t>
      </w:r>
      <w:r>
        <w:br w:type="textWrapping"/>
      </w:r>
      <w:r>
        <w:rPr>
          <w:color w:val="18323A"/>
          <w:sz w:val="22"/>
          <w:szCs w:val="22"/>
        </w:rPr>
        <w:t>审查口径：成都科奥达光电技术有限公司专业评委、荧光手术显微镜工程集成与临床转化视角</w:t>
      </w:r>
    </w:p>
    <w:p w14:paraId="3B2CFE21">
      <w:pPr>
        <w:pBdr>
          <w:top w:val="single" w:color="B9C9CC" w:sz="4" w:space="8"/>
          <w:bottom w:val="single" w:color="B9C9CC" w:sz="4" w:space="8"/>
        </w:pBdr>
        <w:shd w:val="clear" w:fill="F3F7F6"/>
        <w:spacing w:before="900" w:after="0" w:line="360" w:lineRule="auto"/>
        <w:ind w:left="360" w:right="360"/>
        <w:jc w:val="center"/>
      </w:pPr>
      <w:r>
        <w:rPr>
          <w:b/>
          <w:bCs/>
          <w:color w:val="0B6B68"/>
          <w:sz w:val="20"/>
          <w:szCs w:val="20"/>
        </w:rPr>
        <w:t>患者安全边界：所有输出均为术中参考信号与研发验证证据，须由医生复核，不用于自动确诊或替代临床判断。</w:t>
      </w:r>
    </w:p>
    <w:p w14:paraId="48D67A46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360" w:right="1440" w:bottom="1300" w:left="1587" w:header="650" w:footer="650" w:gutter="0"/>
          <w:cols w:space="720" w:num="1"/>
          <w:vAlign w:val="top"/>
          <w:docGrid w:linePitch="360" w:charSpace="0"/>
        </w:sectPr>
      </w:pPr>
    </w:p>
    <w:p w14:paraId="4BB211FD">
      <w:pPr>
        <w:spacing w:before="120" w:after="220"/>
      </w:pPr>
      <w:r>
        <w:rPr>
          <w:b/>
          <w:bCs/>
          <w:color w:val="0B6B68"/>
          <w:sz w:val="18"/>
          <w:szCs w:val="18"/>
        </w:rPr>
        <w:t>文档导航</w:t>
      </w:r>
    </w:p>
    <w:sdt>
      <w:sdtPr>
        <w:alias w:val="目录"/>
        <w:id w:val="147471944"/>
      </w:sdtPr>
      <w:sdtContent>
        <w:p w14:paraId="61435499">
          <w:pPr>
            <w:rPr>
              <w:rFonts w:hint="eastAsia" w:ascii="微软雅黑" w:hAnsi="微软雅黑" w:eastAsia="微软雅黑" w:cs="微软雅黑"/>
              <w:color w:val="18323A"/>
              <w:sz w:val="21"/>
              <w:szCs w:val="21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7B8040E6">
          <w:pPr>
            <w:pStyle w:val="12"/>
            <w:tabs>
              <w:tab w:val="right" w:pos="8879"/>
            </w:tabs>
          </w:pPr>
          <w:r>
            <w:fldChar w:fldCharType="begin"/>
          </w:r>
          <w:r>
            <w:instrText xml:space="preserve"> HYPERLINK \l _Toc9078 </w:instrText>
          </w:r>
          <w:r>
            <w:fldChar w:fldCharType="separate"/>
          </w:r>
          <w:r>
            <w:t>1. 审查依据与证据优先级</w:t>
          </w:r>
          <w:r>
            <w:tab/>
          </w:r>
          <w:r>
            <w:fldChar w:fldCharType="begin"/>
          </w:r>
          <w:r>
            <w:instrText xml:space="preserve"> PAGEREF _Toc9078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00C151E">
          <w:pPr>
            <w:pStyle w:val="12"/>
            <w:tabs>
              <w:tab w:val="right" w:pos="8879"/>
            </w:tabs>
          </w:pPr>
          <w:r>
            <w:fldChar w:fldCharType="begin"/>
          </w:r>
          <w:r>
            <w:instrText xml:space="preserve"> HYPERLINK \l _Toc32753 </w:instrText>
          </w:r>
          <w:r>
            <w:fldChar w:fldCharType="separate"/>
          </w:r>
          <w:r>
            <w:t>2. 对“最详细赛题解读”的专业校正</w:t>
          </w:r>
          <w:r>
            <w:tab/>
          </w:r>
          <w:r>
            <w:fldChar w:fldCharType="begin"/>
          </w:r>
          <w:r>
            <w:instrText xml:space="preserve"> PAGEREF _Toc32753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6A39DB2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_Toc16935 </w:instrText>
          </w:r>
          <w:r>
            <w:fldChar w:fldCharType="separate"/>
          </w:r>
          <w:r>
            <w:t>2.1 可采用的战略信号</w:t>
          </w:r>
          <w:r>
            <w:tab/>
          </w:r>
          <w:r>
            <w:fldChar w:fldCharType="begin"/>
          </w:r>
          <w:r>
            <w:instrText xml:space="preserve"> PAGEREF _Toc16935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BA08490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_Toc5891 </w:instrText>
          </w:r>
          <w:r>
            <w:fldChar w:fldCharType="separate"/>
          </w:r>
          <w:r>
            <w:t>2.2 不能直接写入终稿的内容</w:t>
          </w:r>
          <w:r>
            <w:tab/>
          </w:r>
          <w:r>
            <w:fldChar w:fldCharType="begin"/>
          </w:r>
          <w:r>
            <w:instrText xml:space="preserve"> PAGEREF _Toc5891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5ACF408">
          <w:pPr>
            <w:pStyle w:val="12"/>
            <w:tabs>
              <w:tab w:val="right" w:pos="8879"/>
            </w:tabs>
          </w:pPr>
          <w:r>
            <w:fldChar w:fldCharType="begin"/>
          </w:r>
          <w:r>
            <w:instrText xml:space="preserve"> HYPERLINK \l _Toc7843 </w:instrText>
          </w:r>
          <w:r>
            <w:fldChar w:fldCharType="separate"/>
          </w:r>
          <w:r>
            <w:t>3. 评委总判定</w:t>
          </w:r>
          <w:r>
            <w:tab/>
          </w:r>
          <w:r>
            <w:fldChar w:fldCharType="begin"/>
          </w:r>
          <w:r>
            <w:instrText xml:space="preserve"> PAGEREF _Toc7843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298D69B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_Toc11029 </w:instrText>
          </w:r>
          <w:r>
            <w:fldChar w:fldCharType="separate"/>
          </w:r>
          <w:r>
            <w:t>3.1 当前成熟度</w:t>
          </w:r>
          <w:r>
            <w:tab/>
          </w:r>
          <w:r>
            <w:fldChar w:fldCharType="begin"/>
          </w:r>
          <w:r>
            <w:instrText xml:space="preserve"> PAGEREF _Toc11029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1A34037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_Toc14844 </w:instrText>
          </w:r>
          <w:r>
            <w:fldChar w:fldCharType="separate"/>
          </w:r>
          <w:r>
            <w:t>3.2 模拟评分</w:t>
          </w:r>
          <w:r>
            <w:tab/>
          </w:r>
          <w:r>
            <w:fldChar w:fldCharType="begin"/>
          </w:r>
          <w:r>
            <w:instrText xml:space="preserve"> PAGEREF _Toc14844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4EC36DD">
          <w:pPr>
            <w:pStyle w:val="12"/>
            <w:tabs>
              <w:tab w:val="right" w:pos="8879"/>
            </w:tabs>
          </w:pPr>
          <w:r>
            <w:fldChar w:fldCharType="begin"/>
          </w:r>
          <w:r>
            <w:instrText xml:space="preserve"> HYPERLINK \l _Toc22023 </w:instrText>
          </w:r>
          <w:r>
            <w:fldChar w:fldCharType="separate"/>
          </w:r>
          <w:r>
            <w:t>4. 三项核心任务逐项审查</w:t>
          </w:r>
          <w:r>
            <w:tab/>
          </w:r>
          <w:r>
            <w:fldChar w:fldCharType="begin"/>
          </w:r>
          <w:r>
            <w:instrText xml:space="preserve"> PAGEREF _Toc22023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4C793CA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_Toc14165 </w:instrText>
          </w:r>
          <w:r>
            <w:fldChar w:fldCharType="separate"/>
          </w:r>
          <w:r>
            <w:t>4.1 新型荧光造影剂设计</w:t>
          </w:r>
          <w:r>
            <w:tab/>
          </w:r>
          <w:r>
            <w:fldChar w:fldCharType="begin"/>
          </w:r>
          <w:r>
            <w:instrText xml:space="preserve"> PAGEREF _Toc14165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827485">
          <w:pPr>
            <w:pStyle w:val="8"/>
            <w:tabs>
              <w:tab w:val="right" w:pos="8879"/>
            </w:tabs>
          </w:pPr>
          <w:r>
            <w:fldChar w:fldCharType="begin"/>
          </w:r>
          <w:r>
            <w:instrText xml:space="preserve"> HYPERLINK \l _Toc1037 </w:instrText>
          </w:r>
          <w:r>
            <w:fldChar w:fldCharType="separate"/>
          </w:r>
          <w:r>
            <w:t>已具备</w:t>
          </w:r>
          <w:r>
            <w:tab/>
          </w:r>
          <w:r>
            <w:fldChar w:fldCharType="begin"/>
          </w:r>
          <w:r>
            <w:instrText xml:space="preserve"> PAGEREF _Toc1037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CDCEEA6">
          <w:pPr>
            <w:pStyle w:val="8"/>
            <w:tabs>
              <w:tab w:val="right" w:pos="8879"/>
            </w:tabs>
          </w:pPr>
          <w:r>
            <w:fldChar w:fldCharType="begin"/>
          </w:r>
          <w:r>
            <w:instrText xml:space="preserve"> HYPERLINK \l _Toc22832 </w:instrText>
          </w:r>
          <w:r>
            <w:fldChar w:fldCharType="separate"/>
          </w:r>
          <w:r>
            <w:t>关键缺口</w:t>
          </w:r>
          <w:r>
            <w:tab/>
          </w:r>
          <w:r>
            <w:fldChar w:fldCharType="begin"/>
          </w:r>
          <w:r>
            <w:instrText xml:space="preserve"> PAGEREF _Toc22832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6672F95">
          <w:pPr>
            <w:pStyle w:val="8"/>
            <w:tabs>
              <w:tab w:val="right" w:pos="8879"/>
            </w:tabs>
          </w:pPr>
          <w:r>
            <w:fldChar w:fldCharType="begin"/>
          </w:r>
          <w:r>
            <w:instrText xml:space="preserve"> HYPERLINK \l _Toc16470 </w:instrText>
          </w:r>
          <w:r>
            <w:fldChar w:fldCharType="separate"/>
          </w:r>
          <w:r>
            <w:t>截止前可完成的最低合格闭环</w:t>
          </w:r>
          <w:r>
            <w:tab/>
          </w:r>
          <w:r>
            <w:fldChar w:fldCharType="begin"/>
          </w:r>
          <w:r>
            <w:instrText xml:space="preserve"> PAGEREF _Toc16470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05FEC33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_Toc19945 </w:instrText>
          </w:r>
          <w:r>
            <w:fldChar w:fldCharType="separate"/>
          </w:r>
          <w:r>
            <w:t>4.2 多模态医学图像融合与处理</w:t>
          </w:r>
          <w:r>
            <w:tab/>
          </w:r>
          <w:r>
            <w:fldChar w:fldCharType="begin"/>
          </w:r>
          <w:r>
            <w:instrText xml:space="preserve"> PAGEREF _Toc19945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93A1752">
          <w:pPr>
            <w:pStyle w:val="8"/>
            <w:tabs>
              <w:tab w:val="right" w:pos="8879"/>
            </w:tabs>
          </w:pPr>
          <w:r>
            <w:fldChar w:fldCharType="begin"/>
          </w:r>
          <w:r>
            <w:instrText xml:space="preserve"> HYPERLINK \l _Toc14348 </w:instrText>
          </w:r>
          <w:r>
            <w:fldChar w:fldCharType="separate"/>
          </w:r>
          <w:r>
            <w:t>已具备</w:t>
          </w:r>
          <w:r>
            <w:tab/>
          </w:r>
          <w:r>
            <w:fldChar w:fldCharType="begin"/>
          </w:r>
          <w:r>
            <w:instrText xml:space="preserve"> PAGEREF _Toc14348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C07A94">
          <w:pPr>
            <w:pStyle w:val="8"/>
            <w:tabs>
              <w:tab w:val="right" w:pos="8879"/>
            </w:tabs>
          </w:pPr>
          <w:r>
            <w:fldChar w:fldCharType="begin"/>
          </w:r>
          <w:r>
            <w:instrText xml:space="preserve"> HYPERLINK \l _Toc27965 </w:instrText>
          </w:r>
          <w:r>
            <w:fldChar w:fldCharType="separate"/>
          </w:r>
          <w:r>
            <w:t>关键缺口</w:t>
          </w:r>
          <w:r>
            <w:tab/>
          </w:r>
          <w:r>
            <w:fldChar w:fldCharType="begin"/>
          </w:r>
          <w:r>
            <w:instrText xml:space="preserve"> PAGEREF _Toc27965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E160304">
          <w:pPr>
            <w:pStyle w:val="8"/>
            <w:tabs>
              <w:tab w:val="right" w:pos="8879"/>
            </w:tabs>
          </w:pPr>
          <w:r>
            <w:fldChar w:fldCharType="begin"/>
          </w:r>
          <w:r>
            <w:instrText xml:space="preserve"> HYPERLINK \l _Toc11858 </w:instrText>
          </w:r>
          <w:r>
            <w:fldChar w:fldCharType="separate"/>
          </w:r>
          <w:r>
            <w:t>截止前收口要求</w:t>
          </w:r>
          <w:r>
            <w:tab/>
          </w:r>
          <w:r>
            <w:fldChar w:fldCharType="begin"/>
          </w:r>
          <w:r>
            <w:instrText xml:space="preserve"> PAGEREF _Toc11858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0465329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_Toc22219 </w:instrText>
          </w:r>
          <w:r>
            <w:fldChar w:fldCharType="separate"/>
          </w:r>
          <w:r>
            <w:t>4.3 AI 病灶识别与辅助判读</w:t>
          </w:r>
          <w:r>
            <w:tab/>
          </w:r>
          <w:r>
            <w:fldChar w:fldCharType="begin"/>
          </w:r>
          <w:r>
            <w:instrText xml:space="preserve"> PAGEREF _Toc22219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F0A4726">
          <w:pPr>
            <w:pStyle w:val="8"/>
            <w:tabs>
              <w:tab w:val="right" w:pos="8879"/>
            </w:tabs>
          </w:pPr>
          <w:r>
            <w:fldChar w:fldCharType="begin"/>
          </w:r>
          <w:r>
            <w:instrText xml:space="preserve"> HYPERLINK \l _Toc12580 </w:instrText>
          </w:r>
          <w:r>
            <w:fldChar w:fldCharType="separate"/>
          </w:r>
          <w:r>
            <w:t>已具备</w:t>
          </w:r>
          <w:r>
            <w:tab/>
          </w:r>
          <w:r>
            <w:fldChar w:fldCharType="begin"/>
          </w:r>
          <w:r>
            <w:instrText xml:space="preserve"> PAGEREF _Toc12580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7CD5A1">
          <w:pPr>
            <w:pStyle w:val="8"/>
            <w:tabs>
              <w:tab w:val="right" w:pos="8879"/>
            </w:tabs>
          </w:pPr>
          <w:r>
            <w:fldChar w:fldCharType="begin"/>
          </w:r>
          <w:r>
            <w:instrText xml:space="preserve"> HYPERLINK \l _Toc8697 </w:instrText>
          </w:r>
          <w:r>
            <w:fldChar w:fldCharType="separate"/>
          </w:r>
          <w:r>
            <w:t>关键缺口</w:t>
          </w:r>
          <w:r>
            <w:tab/>
          </w:r>
          <w:r>
            <w:fldChar w:fldCharType="begin"/>
          </w:r>
          <w:r>
            <w:instrText xml:space="preserve"> PAGEREF _Toc8697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924F1B5">
          <w:pPr>
            <w:pStyle w:val="8"/>
            <w:tabs>
              <w:tab w:val="right" w:pos="8879"/>
            </w:tabs>
          </w:pPr>
          <w:r>
            <w:fldChar w:fldCharType="begin"/>
          </w:r>
          <w:r>
            <w:instrText xml:space="preserve"> HYPERLINK \l _Toc7753 </w:instrText>
          </w:r>
          <w:r>
            <w:fldChar w:fldCharType="separate"/>
          </w:r>
          <w:r>
            <w:t>截止前收口要求</w:t>
          </w:r>
          <w:r>
            <w:tab/>
          </w:r>
          <w:r>
            <w:fldChar w:fldCharType="begin"/>
          </w:r>
          <w:r>
            <w:instrText xml:space="preserve"> PAGEREF _Toc7753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8F74DC6">
          <w:pPr>
            <w:pStyle w:val="12"/>
            <w:tabs>
              <w:tab w:val="right" w:pos="8879"/>
            </w:tabs>
          </w:pPr>
          <w:r>
            <w:fldChar w:fldCharType="begin"/>
          </w:r>
          <w:r>
            <w:instrText xml:space="preserve"> HYPERLINK \l _Toc4514 </w:instrText>
          </w:r>
          <w:r>
            <w:fldChar w:fldCharType="separate"/>
          </w:r>
          <w:r>
            <w:t>5. 软件、数据和工程证据审查</w:t>
          </w:r>
          <w:r>
            <w:tab/>
          </w:r>
          <w:r>
            <w:fldChar w:fldCharType="begin"/>
          </w:r>
          <w:r>
            <w:instrText xml:space="preserve"> PAGEREF _Toc4514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C42CF69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_Toc16560 </w:instrText>
          </w:r>
          <w:r>
            <w:fldChar w:fldCharType="separate"/>
          </w:r>
          <w:r>
            <w:t>5.1 2026-07-24 实测通过项</w:t>
          </w:r>
          <w:r>
            <w:tab/>
          </w:r>
          <w:r>
            <w:fldChar w:fldCharType="begin"/>
          </w:r>
          <w:r>
            <w:instrText xml:space="preserve"> PAGEREF _Toc16560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6D62CE1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_Toc4715 </w:instrText>
          </w:r>
          <w:r>
            <w:fldChar w:fldCharType="separate"/>
          </w:r>
          <w:r>
            <w:t>5.2 当前质量门失败项</w:t>
          </w:r>
          <w:r>
            <w:tab/>
          </w:r>
          <w:r>
            <w:fldChar w:fldCharType="begin"/>
          </w:r>
          <w:r>
            <w:instrText xml:space="preserve"> PAGEREF _Toc4715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D91F84D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_Toc20983 </w:instrText>
          </w:r>
          <w:r>
            <w:fldChar w:fldCharType="separate"/>
          </w:r>
          <w:r>
            <w:t>5.3 数据证据判断</w:t>
          </w:r>
          <w:r>
            <w:tab/>
          </w:r>
          <w:r>
            <w:fldChar w:fldCharType="begin"/>
          </w:r>
          <w:r>
            <w:instrText xml:space="preserve"> PAGEREF _Toc20983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20BCABD">
          <w:pPr>
            <w:pStyle w:val="12"/>
            <w:tabs>
              <w:tab w:val="right" w:pos="8879"/>
            </w:tabs>
          </w:pPr>
          <w:r>
            <w:fldChar w:fldCharType="begin"/>
          </w:r>
          <w:r>
            <w:instrText xml:space="preserve"> HYPERLINK \l _Toc16583 </w:instrText>
          </w:r>
          <w:r>
            <w:fldChar w:fldCharType="separate"/>
          </w:r>
          <w:r>
            <w:t>6. 报告、答辩和提交件审查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F149650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_Toc18671 </w:instrText>
          </w:r>
          <w:r>
            <w:fldChar w:fldCharType="separate"/>
          </w:r>
          <w:r>
            <w:t>6.1 当前材料优点</w:t>
          </w:r>
          <w:r>
            <w:tab/>
          </w:r>
          <w:r>
            <w:fldChar w:fldCharType="begin"/>
          </w:r>
          <w:r>
            <w:instrText xml:space="preserve"> PAGEREF _Toc18671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652E3DF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_Toc23518 </w:instrText>
          </w:r>
          <w:r>
            <w:fldChar w:fldCharType="separate"/>
          </w:r>
          <w:r>
            <w:t>6.2 当前材料风险</w:t>
          </w:r>
          <w:r>
            <w:tab/>
          </w:r>
          <w:r>
            <w:fldChar w:fldCharType="begin"/>
          </w:r>
          <w:r>
            <w:instrText xml:space="preserve"> PAGEREF _Toc23518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FDB2286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_Toc25932 </w:instrText>
          </w:r>
          <w:r>
            <w:fldChar w:fldCharType="separate"/>
          </w:r>
          <w:r>
            <w:t>6.3 主提交件建议结构</w:t>
          </w:r>
          <w:r>
            <w:tab/>
          </w:r>
          <w:r>
            <w:fldChar w:fldCharType="begin"/>
          </w:r>
          <w:r>
            <w:instrText xml:space="preserve"> PAGEREF _Toc25932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CAF1B91">
          <w:pPr>
            <w:pStyle w:val="12"/>
            <w:tabs>
              <w:tab w:val="right" w:pos="8879"/>
            </w:tabs>
          </w:pPr>
          <w:r>
            <w:fldChar w:fldCharType="begin"/>
          </w:r>
          <w:r>
            <w:instrText xml:space="preserve"> HYPERLINK \l _Toc29948 </w:instrText>
          </w:r>
          <w:r>
            <w:fldChar w:fldCharType="separate"/>
          </w:r>
          <w:r>
            <w:t>7. 发榜方可能追问的十个问题</w:t>
          </w:r>
          <w:r>
            <w:tab/>
          </w:r>
          <w:r>
            <w:fldChar w:fldCharType="begin"/>
          </w:r>
          <w:r>
            <w:instrText xml:space="preserve"> PAGEREF _Toc29948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626E94D">
          <w:pPr>
            <w:pStyle w:val="12"/>
            <w:tabs>
              <w:tab w:val="right" w:pos="8879"/>
            </w:tabs>
          </w:pPr>
          <w:r>
            <w:fldChar w:fldCharType="begin"/>
          </w:r>
          <w:r>
            <w:instrText xml:space="preserve"> HYPERLINK \l _Toc10737 </w:instrText>
          </w:r>
          <w:r>
            <w:fldChar w:fldCharType="separate"/>
          </w:r>
          <w:r>
            <w:t>8. 7 月 30 日前的硬优先级</w:t>
          </w:r>
          <w:r>
            <w:tab/>
          </w:r>
          <w:r>
            <w:fldChar w:fldCharType="begin"/>
          </w:r>
          <w:r>
            <w:instrText xml:space="preserve"> PAGEREF _Toc10737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61135B9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_Toc26421 </w:instrText>
          </w:r>
          <w:r>
            <w:fldChar w:fldCharType="separate"/>
          </w:r>
          <w:r>
            <w:t>P0：提交前必须清零</w:t>
          </w:r>
          <w:r>
            <w:tab/>
          </w:r>
          <w:r>
            <w:fldChar w:fldCharType="begin"/>
          </w:r>
          <w:r>
            <w:instrText xml:space="preserve"> PAGEREF _Toc26421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F9B6D6A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_Toc17008 </w:instrText>
          </w:r>
          <w:r>
            <w:fldChar w:fldCharType="separate"/>
          </w:r>
          <w:r>
            <w:t>P1：显著提高得分</w:t>
          </w:r>
          <w:r>
            <w:tab/>
          </w:r>
          <w:r>
            <w:fldChar w:fldCharType="begin"/>
          </w:r>
          <w:r>
            <w:instrText xml:space="preserve"> PAGEREF _Toc17008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E23995C">
          <w:pPr>
            <w:pStyle w:val="14"/>
            <w:tabs>
              <w:tab w:val="right" w:pos="8879"/>
            </w:tabs>
          </w:pPr>
          <w:r>
            <w:fldChar w:fldCharType="begin"/>
          </w:r>
          <w:r>
            <w:instrText xml:space="preserve"> HYPERLINK \l _Toc16731 </w:instrText>
          </w:r>
          <w:r>
            <w:fldChar w:fldCharType="separate"/>
          </w:r>
          <w:r>
            <w:t>P2：截止后再推进</w:t>
          </w:r>
          <w:r>
            <w:tab/>
          </w:r>
          <w:r>
            <w:fldChar w:fldCharType="begin"/>
          </w:r>
          <w:r>
            <w:instrText xml:space="preserve"> PAGEREF _Toc16731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61517E1">
          <w:pPr>
            <w:pStyle w:val="12"/>
            <w:tabs>
              <w:tab w:val="right" w:pos="8879"/>
            </w:tabs>
          </w:pPr>
          <w:r>
            <w:fldChar w:fldCharType="begin"/>
          </w:r>
          <w:r>
            <w:instrText xml:space="preserve"> HYPERLINK \l _Toc30135 </w:instrText>
          </w:r>
          <w:r>
            <w:fldChar w:fldCharType="separate"/>
          </w:r>
          <w:r>
            <w:t>9. 逐日收口建议</w:t>
          </w:r>
          <w:r>
            <w:tab/>
          </w:r>
          <w:r>
            <w:fldChar w:fldCharType="begin"/>
          </w:r>
          <w:r>
            <w:instrText xml:space="preserve"> PAGEREF _Toc30135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7D1E5BC">
          <w:pPr>
            <w:pStyle w:val="12"/>
            <w:tabs>
              <w:tab w:val="right" w:pos="8879"/>
            </w:tabs>
          </w:pPr>
          <w:r>
            <w:fldChar w:fldCharType="begin"/>
          </w:r>
          <w:r>
            <w:instrText xml:space="preserve"> HYPERLINK \l _Toc23678 </w:instrText>
          </w:r>
          <w:r>
            <w:fldChar w:fldCharType="separate"/>
          </w:r>
          <w:r>
            <w:t>10. 最终结论</w:t>
          </w:r>
          <w:r>
            <w:tab/>
          </w:r>
          <w:r>
            <w:fldChar w:fldCharType="begin"/>
          </w:r>
          <w:r>
            <w:instrText xml:space="preserve"> PAGEREF _Toc23678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8EAEC6C">
          <w:r>
            <w:fldChar w:fldCharType="end"/>
          </w:r>
        </w:p>
      </w:sdtContent>
    </w:sdt>
    <w:p w14:paraId="14B2DABF">
      <w:pPr>
        <w:pBdr>
          <w:left w:val="single" w:color="0B6B68" w:sz="14" w:space="8"/>
        </w:pBdr>
        <w:shd w:val="clear" w:fill="F3F7F6"/>
        <w:spacing w:before="360" w:after="0" w:line="340" w:lineRule="auto"/>
        <w:ind w:left="240" w:right="180"/>
      </w:pPr>
      <w:r>
        <w:rPr>
          <w:color w:val="5A6870"/>
          <w:sz w:val="19"/>
          <w:szCs w:val="19"/>
        </w:rPr>
        <w:t>阅读提示：造影剂方案、代理模型指标和 L1/L2 三维结果均按研发验证边界解释；临床决策由医生完成。</w:t>
      </w:r>
    </w:p>
    <w:p w14:paraId="1FAD8E21">
      <w:pPr>
        <w:sectPr>
          <w:headerReference r:id="rId11" w:type="default"/>
          <w:pgSz w:w="11906" w:h="16838"/>
          <w:pgMar w:top="1360" w:right="1440" w:bottom="1300" w:left="1587" w:header="650" w:footer="650" w:gutter="0"/>
          <w:cols w:space="720" w:num="1"/>
          <w:docGrid w:linePitch="360" w:charSpace="0"/>
        </w:sectPr>
      </w:pPr>
    </w:p>
    <w:p w14:paraId="360A9C3A">
      <w:pPr>
        <w:pStyle w:val="2"/>
        <w:keepNext/>
        <w:keepLines/>
      </w:pPr>
      <w:bookmarkStart w:id="0" w:name="_Toc9078"/>
      <w:r>
        <w:t>1. 审查依据与证据优先级</w:t>
      </w:r>
      <w:bookmarkEnd w:id="0"/>
    </w:p>
    <w:p w14:paraId="5D7AC47E">
      <w:pPr>
        <w:widowControl/>
        <w:spacing w:after="160" w:line="390" w:lineRule="auto"/>
        <w:jc w:val="both"/>
      </w:pPr>
      <w:r>
        <w:t>本次结论按以下优先级形成：</w:t>
      </w:r>
    </w:p>
    <w:p w14:paraId="5106467E">
      <w:pPr>
        <w:pStyle w:val="21"/>
        <w:keepNext w:val="0"/>
        <w:widowControl/>
        <w:numPr>
          <w:ilvl w:val="0"/>
          <w:numId w:val="1"/>
        </w:numPr>
        <w:spacing w:after="90" w:line="360" w:lineRule="auto"/>
        <w:jc w:val="both"/>
      </w:pPr>
      <w:r>
        <w:t>完整赛题原文：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HT-202604成都科奥达光电技术有限公司-面向颌骨骨髓炎的智能化荧光诊疗比赛方案.pdf</w:t>
      </w:r>
      <w:r>
        <w:t>。</w:t>
      </w:r>
    </w:p>
    <w:p w14:paraId="20A9CF54">
      <w:pPr>
        <w:pStyle w:val="21"/>
        <w:keepNext w:val="0"/>
        <w:widowControl/>
        <w:numPr>
          <w:ilvl w:val="0"/>
          <w:numId w:val="1"/>
        </w:numPr>
        <w:spacing w:after="90" w:line="360" w:lineRule="auto"/>
        <w:jc w:val="both"/>
      </w:pPr>
      <w:r>
        <w:t>赛题方官方技术资料：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research/literature/inventory/official/competition_official_technical_document_20260527.pdf</w:t>
      </w:r>
      <w:r>
        <w:t>。</w:t>
      </w:r>
    </w:p>
    <w:p w14:paraId="5DF7C2D7">
      <w:pPr>
        <w:pStyle w:val="21"/>
        <w:keepNext w:val="0"/>
        <w:widowControl/>
        <w:numPr>
          <w:ilvl w:val="0"/>
          <w:numId w:val="1"/>
        </w:numPr>
        <w:spacing w:after="90" w:line="360" w:lineRule="auto"/>
        <w:jc w:val="both"/>
      </w:pPr>
      <w:r>
        <w:t>2026-07-24 提供的《揭榜挂帅颌骨骨髓炎赛题解读_原文.docx》。</w:t>
      </w:r>
    </w:p>
    <w:p w14:paraId="3A386487">
      <w:pPr>
        <w:pStyle w:val="21"/>
        <w:keepNext w:val="0"/>
        <w:widowControl/>
        <w:numPr>
          <w:ilvl w:val="0"/>
          <w:numId w:val="1"/>
        </w:numPr>
        <w:spacing w:after="90" w:line="360" w:lineRule="auto"/>
        <w:jc w:val="both"/>
      </w:pPr>
      <w:r>
        <w:t xml:space="preserve">当前 Git 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main@61ab991</w:t>
      </w:r>
      <w:r>
        <w:t>、严格比赛配置、模型 checkpoint、软件实测与提交材料。</w:t>
      </w:r>
    </w:p>
    <w:p w14:paraId="0DFBBB6F">
      <w:pPr>
        <w:widowControl/>
        <w:spacing w:after="160" w:line="390" w:lineRule="auto"/>
        <w:jc w:val="both"/>
      </w:pPr>
      <w:r>
        <w:t>官方赛题原文规定三项核心答题内容：</w:t>
      </w:r>
    </w:p>
    <w:p w14:paraId="1463012B">
      <w:pPr>
        <w:pStyle w:val="21"/>
        <w:keepNext w:val="0"/>
        <w:widowControl/>
        <w:numPr>
          <w:ilvl w:val="0"/>
          <w:numId w:val="2"/>
        </w:numPr>
        <w:spacing w:after="90" w:line="360" w:lineRule="auto"/>
        <w:jc w:val="both"/>
      </w:pPr>
      <w:r>
        <w:t>面向颌骨骨髓炎精准示踪的新型荧光造影剂设计，包含机理、靶向或选择性依据、必要实验或验证数据、显微系统适配性。</w:t>
      </w:r>
    </w:p>
    <w:p w14:paraId="52B6F787">
      <w:pPr>
        <w:pStyle w:val="21"/>
        <w:keepNext w:val="0"/>
        <w:widowControl/>
        <w:numPr>
          <w:ilvl w:val="0"/>
          <w:numId w:val="2"/>
        </w:numPr>
        <w:spacing w:after="90" w:line="360" w:lineRule="auto"/>
        <w:jc w:val="both"/>
      </w:pPr>
      <w:r>
        <w:t>白光与荧光等多源图像的获取、配准、融合，以及实时显示或辅助导航应用。</w:t>
      </w:r>
    </w:p>
    <w:p w14:paraId="2BDAE8D2">
      <w:pPr>
        <w:pStyle w:val="21"/>
        <w:keepNext w:val="0"/>
        <w:widowControl/>
        <w:numPr>
          <w:ilvl w:val="0"/>
          <w:numId w:val="2"/>
        </w:numPr>
        <w:spacing w:after="90" w:line="360" w:lineRule="auto"/>
        <w:jc w:val="both"/>
      </w:pPr>
      <w:r>
        <w:t>结合显微白光与荧光信息的 AI 病灶识别与辅助判读，以叠加提示、风险标注或决策辅助方式呈现。</w:t>
      </w:r>
    </w:p>
    <w:p w14:paraId="0FE1CD02">
      <w:pPr>
        <w:widowControl/>
        <w:spacing w:after="160" w:line="390" w:lineRule="auto"/>
        <w:jc w:val="both"/>
      </w:pPr>
      <w:r>
        <w:t>统一评分为创新性 20 分、科学合理性 20 分、可行性 30 分、应用价值 20 分、完整性 10 分。可行性权重最高。</w:t>
      </w:r>
    </w:p>
    <w:p w14:paraId="216A697D">
      <w:pPr>
        <w:widowControl/>
        <w:spacing w:after="160" w:line="390" w:lineRule="auto"/>
        <w:jc w:val="both"/>
      </w:pPr>
      <w:r>
        <w:t>官方技术资料确认的设备边界包括 3840x2160、USB3.0 存储、JPEG 图片与 MP4 视频。放大倍率、工作距离、视场、照明和 ICG/NIR-II 背景资料属于设备与研究参考信息。官方材料未规定统一的 100 ms 延迟门槛，也未把 NIR-II 写成唯一可接受方案。</w:t>
      </w:r>
    </w:p>
    <w:p w14:paraId="1BA1B878">
      <w:pPr>
        <w:pStyle w:val="2"/>
        <w:keepNext/>
        <w:keepLines/>
      </w:pPr>
      <w:bookmarkStart w:id="1" w:name="_Toc32753"/>
      <w:r>
        <w:t>2. 对“最详细赛题解读”的专业校正</w:t>
      </w:r>
      <w:bookmarkEnd w:id="1"/>
    </w:p>
    <w:p w14:paraId="292F17CD">
      <w:pPr>
        <w:widowControl/>
        <w:spacing w:after="160" w:line="390" w:lineRule="auto"/>
        <w:jc w:val="both"/>
      </w:pPr>
      <w:r>
        <w:t>该解读提供了重要的发榜方偏好信号：科奥达关注 NIR-II、4K、显微镜兼容、双通道融合、实时性、AI 边界提示和临床转化。文本呈现明显的语音转写特征，包含术语、公司名称、数字和医学表述误差。报告吸收其战略信号时必须逐条回到官方资料和文献核验。</w:t>
      </w:r>
    </w:p>
    <w:p w14:paraId="1F459C73">
      <w:pPr>
        <w:pStyle w:val="3"/>
        <w:keepNext/>
        <w:keepLines/>
      </w:pPr>
      <w:bookmarkStart w:id="2" w:name="_Toc16935"/>
      <w:r>
        <w:t>2.1 可采用的战略信号</w:t>
      </w:r>
      <w:bookmarkEnd w:id="2"/>
    </w:p>
    <w:p w14:paraId="3CEAC09C">
      <w:pPr>
        <w:pStyle w:val="21"/>
        <w:keepNext w:val="0"/>
        <w:widowControl/>
        <w:numPr>
          <w:ilvl w:val="0"/>
          <w:numId w:val="3"/>
        </w:numPr>
        <w:spacing w:after="90" w:line="360" w:lineRule="auto"/>
        <w:jc w:val="both"/>
      </w:pPr>
      <w:r>
        <w:t>发榜方希望看到造影剂、成像、算法和显微镜平台的整体方案。</w:t>
      </w:r>
    </w:p>
    <w:p w14:paraId="254A0DDB">
      <w:pPr>
        <w:pStyle w:val="21"/>
        <w:keepNext w:val="0"/>
        <w:widowControl/>
        <w:numPr>
          <w:ilvl w:val="0"/>
          <w:numId w:val="3"/>
        </w:numPr>
        <w:spacing w:after="90" w:line="360" w:lineRule="auto"/>
        <w:jc w:val="both"/>
      </w:pPr>
      <w:r>
        <w:t>NIR-II 可形成明显创新方向，需同时回答光源、探测器、滤光片、光谱串扰、4K 成像与实时处理。</w:t>
      </w:r>
    </w:p>
    <w:p w14:paraId="7C1A08BF">
      <w:pPr>
        <w:pStyle w:val="21"/>
        <w:keepNext w:val="0"/>
        <w:widowControl/>
        <w:numPr>
          <w:ilvl w:val="0"/>
          <w:numId w:val="3"/>
        </w:numPr>
        <w:spacing w:after="90" w:line="360" w:lineRule="auto"/>
        <w:jc w:val="both"/>
      </w:pPr>
      <w:r>
        <w:t>图像融合应覆盖配准、融合、显示和医生使用场景。</w:t>
      </w:r>
    </w:p>
    <w:p w14:paraId="231D4ABC">
      <w:pPr>
        <w:pStyle w:val="21"/>
        <w:keepNext w:val="0"/>
        <w:widowControl/>
        <w:numPr>
          <w:ilvl w:val="0"/>
          <w:numId w:val="3"/>
        </w:numPr>
        <w:spacing w:after="90" w:line="360" w:lineRule="auto"/>
        <w:jc w:val="both"/>
      </w:pPr>
      <w:r>
        <w:t>AI 输出应直观呈现候选区域、边界、风险和置信或不确定性。</w:t>
      </w:r>
    </w:p>
    <w:p w14:paraId="3F22B77F">
      <w:pPr>
        <w:pStyle w:val="21"/>
        <w:keepNext w:val="0"/>
        <w:widowControl/>
        <w:numPr>
          <w:ilvl w:val="0"/>
          <w:numId w:val="3"/>
        </w:numPr>
        <w:spacing w:after="90" w:line="360" w:lineRule="auto"/>
        <w:jc w:val="both"/>
      </w:pPr>
      <w:r>
        <w:t>工程可行性与现有显微镜集成是高权重判断点。</w:t>
      </w:r>
    </w:p>
    <w:p w14:paraId="64C8C0BF">
      <w:pPr>
        <w:pStyle w:val="3"/>
        <w:keepNext/>
        <w:keepLines/>
      </w:pPr>
      <w:bookmarkStart w:id="3" w:name="_Toc5891"/>
      <w:r>
        <w:t>2.2 不能直接写入终稿的内容</w:t>
      </w:r>
      <w:bookmarkEnd w:id="3"/>
    </w:p>
    <w:tbl>
      <w:tblPr>
        <w:tblStyle w:val="16"/>
        <w:tblW w:w="8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59"/>
        <w:gridCol w:w="2959"/>
        <w:gridCol w:w="2961"/>
      </w:tblGrid>
      <w:tr w14:paraId="6CD6F3AC">
        <w:trPr>
          <w:cantSplit/>
          <w:tblHeader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0B6B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DCF627">
            <w:pPr>
              <w:spacing w:after="0" w:line="32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解读中的表述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0B6B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067825">
            <w:pPr>
              <w:spacing w:after="0" w:line="32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审查判断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0B6B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41AB97">
            <w:pPr>
              <w:spacing w:after="0" w:line="32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终稿处理</w:t>
            </w:r>
          </w:p>
        </w:tc>
      </w:tr>
      <w:tr w14:paraId="78B45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E15F25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“真菌感染引起的化脓性骨髓炎”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F270C0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医学分类表述错误，常见化脓性骨髓炎主要涉及细菌感染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E8EB1A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改为病原学、放疗相关、药物相关等规范分类并引用指南或综述</w:t>
            </w:r>
          </w:p>
        </w:tc>
      </w:tr>
      <w:tr w14:paraId="01B3E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669FF5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NIR-I 穿透深度“13 mm”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FDB508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疑似“1-3 mm”转写丢失连接符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0E0901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引用具体组织、波长、成像条件下的文献范围</w:t>
            </w:r>
          </w:p>
        </w:tc>
      </w:tr>
      <w:tr w14:paraId="1117E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60B45D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NIR-II 散射下降 60%、自发荧光下降 90%、性价比 3-5 倍、微米级分辨率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D53956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官方资料未给出这些比例，适用条件也未定义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C28C25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删除无来源比例；保留有 DOI、实验条件和指标定义的数据</w:t>
            </w:r>
          </w:p>
        </w:tc>
      </w:tr>
      <w:tr w14:paraId="3A035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E39EE7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“只需更换滤光片、探测器和激光器即可无缝升级”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116416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忽略光路镀膜、传感器响应、热管理、激光安全、曝光、同步、标定和 4K 传输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AEB430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改为硬件改造清单、接口风险和分阶段验证计划</w:t>
            </w:r>
          </w:p>
        </w:tc>
      </w:tr>
      <w:tr w14:paraId="7B0CE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62EA3E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新型造影剂应支持术中多次注射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2510CC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缺少药代和毒理依据，存在安全风险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E9AEF6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改为剂量、时间窗、重复给药上限均需前临床验证</w:t>
            </w:r>
          </w:p>
        </w:tc>
      </w:tr>
      <w:tr w14:paraId="6E22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E04282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GPU 融合延迟必须小于 100 ms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B552B7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官方赛题原文未设此硬门槛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744E57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作为团队工程目标，明确测量边界和未达状态</w:t>
            </w:r>
          </w:p>
        </w:tc>
      </w:tr>
      <w:tr w14:paraId="72E2F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A98CFA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U-Net 或 Transformer 是建议架构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70E91B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只能作为候选技术路线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3CDC43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以数据、消融、校准、延迟和目标域表现选择模型</w:t>
            </w:r>
          </w:p>
        </w:tc>
      </w:tr>
    </w:tbl>
    <w:p w14:paraId="3C14FFF2">
      <w:pPr>
        <w:spacing w:after="100"/>
      </w:pPr>
    </w:p>
    <w:p w14:paraId="71A73CFF">
      <w:pPr>
        <w:widowControl/>
        <w:spacing w:after="160" w:line="390" w:lineRule="auto"/>
        <w:jc w:val="both"/>
      </w:pPr>
      <w:r>
        <w:t>结论：该解读可以提高方案的技术雄心，不能替代官方要求，也不能作为数字和医学结论的唯一来源。</w:t>
      </w:r>
    </w:p>
    <w:p w14:paraId="3AFDC6FC">
      <w:pPr>
        <w:pStyle w:val="2"/>
        <w:keepNext/>
        <w:keepLines/>
      </w:pPr>
      <w:bookmarkStart w:id="4" w:name="_Toc7843"/>
      <w:r>
        <w:t>3. 评委总判定</w:t>
      </w:r>
      <w:bookmarkEnd w:id="4"/>
    </w:p>
    <w:p w14:paraId="4F7D0FEC">
      <w:pPr>
        <w:pStyle w:val="3"/>
        <w:keepNext/>
        <w:keepLines/>
      </w:pPr>
      <w:bookmarkStart w:id="5" w:name="_Toc11029"/>
      <w:r>
        <w:t>3.1 当前成熟度</w:t>
      </w:r>
      <w:bookmarkEnd w:id="5"/>
    </w:p>
    <w:tbl>
      <w:tblPr>
        <w:tblStyle w:val="16"/>
        <w:tblW w:w="8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59"/>
        <w:gridCol w:w="2959"/>
        <w:gridCol w:w="2961"/>
      </w:tblGrid>
      <w:tr w14:paraId="2AEAC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0B6B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2838A0">
            <w:pPr>
              <w:spacing w:after="0" w:line="32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0B6B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505F6D">
            <w:pPr>
              <w:spacing w:after="0" w:line="32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当前成熟度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0B6B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063A76">
            <w:pPr>
              <w:spacing w:after="0" w:line="32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评委判断</w:t>
            </w:r>
          </w:p>
        </w:tc>
      </w:tr>
      <w:tr w14:paraId="47AC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790C51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软件工程闭环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C558C7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85%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CED925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4K JPEG/MP4、融合、关键帧、连续帧、复核、导出、严格启动已形成可运行链</w:t>
            </w:r>
          </w:p>
        </w:tc>
      </w:tr>
      <w:tr w14:paraId="2908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016BD3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多模态图像处理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310D33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65%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283789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文件级双通道融合可运行，真实同步双通道、复杂配准与设备全工况验证缺失</w:t>
            </w:r>
          </w:p>
        </w:tc>
      </w:tr>
      <w:tr w14:paraId="08360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4341B7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AI 辅助判读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563153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55%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2DDCD9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工程模型、风险和不确定性输出可运行，目标域病灶识别与双通道 AI 证据接近空白</w:t>
            </w:r>
          </w:p>
        </w:tc>
      </w:tr>
      <w:tr w14:paraId="4C7C3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61A988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新型荧光造影剂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093BB0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30%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833F6A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有文献路线和 A0-A4 计划，缺少确定分子、合成、光谱、靶向、湿实验和设备实测</w:t>
            </w:r>
          </w:p>
        </w:tc>
      </w:tr>
      <w:tr w14:paraId="75D9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553B53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临床与数据证据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9C89A6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35%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7881F2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医生工作流和治理设计成熟，目标域病例和可信医生像素级标注均为 0</w:t>
            </w:r>
          </w:p>
        </w:tc>
      </w:tr>
      <w:tr w14:paraId="3766E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923CFB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提交材料与冻结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41A6F8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55%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0D80E4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有 27 页精简稿和 127 页证据稿，证据索引、构建产物、质量门和提交包未完成最终一致性冻结</w:t>
            </w:r>
          </w:p>
        </w:tc>
      </w:tr>
      <w:tr w14:paraId="716E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B2316B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综合赛题完成度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610328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65%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48B1D7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软件部分领先，赛题第一核心任务形成明显短板，AI 目标与官方用语仍有距离</w:t>
            </w:r>
          </w:p>
        </w:tc>
      </w:tr>
    </w:tbl>
    <w:p w14:paraId="09C14379">
      <w:pPr>
        <w:spacing w:after="100"/>
      </w:pPr>
    </w:p>
    <w:p w14:paraId="0B4AE345">
      <w:pPr>
        <w:pStyle w:val="3"/>
        <w:keepNext/>
        <w:keepLines/>
      </w:pPr>
      <w:bookmarkStart w:id="6" w:name="_Toc14844"/>
      <w:r>
        <w:t>3.2 模拟评分</w:t>
      </w:r>
      <w:bookmarkEnd w:id="6"/>
    </w:p>
    <w:tbl>
      <w:tblPr>
        <w:tblStyle w:val="16"/>
        <w:tblW w:w="8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19"/>
        <w:gridCol w:w="2219"/>
        <w:gridCol w:w="2219"/>
        <w:gridCol w:w="2222"/>
      </w:tblGrid>
      <w:tr w14:paraId="29341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0B6B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8D4BF9">
            <w:pPr>
              <w:spacing w:after="0" w:line="32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评分项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0B6B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2CAA45">
            <w:pPr>
              <w:spacing w:after="0" w:line="32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满分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0B6B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8F3D9B">
            <w:pPr>
              <w:spacing w:after="0" w:line="32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当前估分</w:t>
            </w:r>
          </w:p>
        </w:tc>
        <w:tc>
          <w:tcPr>
            <w:tcW w:w="2222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0B6B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DFB2D3">
            <w:pPr>
              <w:spacing w:after="0" w:line="32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主要依据</w:t>
            </w:r>
          </w:p>
        </w:tc>
      </w:tr>
      <w:tr w14:paraId="002A1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72307B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创新性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207388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20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C19C14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14</w:t>
            </w:r>
          </w:p>
        </w:tc>
        <w:tc>
          <w:tcPr>
            <w:tcW w:w="2222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224F4C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4K 双路径、风险/不确定性、医生复核、证据链和安全分级具有工程特色；新探针与模型创新尚未形成可验证闭环</w:t>
            </w:r>
          </w:p>
        </w:tc>
      </w:tr>
      <w:tr w14:paraId="42C70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B6F9DF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科学合理性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43F367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20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EE8F72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13</w:t>
            </w:r>
          </w:p>
        </w:tc>
        <w:tc>
          <w:tcPr>
            <w:tcW w:w="2222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1A9A60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总体逻辑完整且边界审慎；造影剂分子设计、正式参考文献、双通道 AI 任务和关键数值证据仍不充分</w:t>
            </w:r>
          </w:p>
        </w:tc>
      </w:tr>
      <w:tr w14:paraId="62952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E4314F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可行性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1189D0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30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629F94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22</w:t>
            </w:r>
          </w:p>
        </w:tc>
        <w:tc>
          <w:tcPr>
            <w:tcW w:w="2222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A4494F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软件严格运行和 4K 端到端链已通过；造影剂、真实设备双通道、100 ms 目标和目标域模型仍待验证</w:t>
            </w:r>
          </w:p>
        </w:tc>
      </w:tr>
      <w:tr w14:paraId="030D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00DC4F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应用价值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99547E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20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C09222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16</w:t>
            </w:r>
          </w:p>
        </w:tc>
        <w:tc>
          <w:tcPr>
            <w:tcW w:w="2222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BEA19B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医生复核、证据留痕、数据准入和病例工作流较强；真实医生使用与目标域临床数据缺失</w:t>
            </w:r>
          </w:p>
        </w:tc>
      </w:tr>
      <w:tr w14:paraId="3AE97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7B2632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完整性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77A0C8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10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0942EC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6</w:t>
            </w:r>
          </w:p>
        </w:tc>
        <w:tc>
          <w:tcPr>
            <w:tcW w:w="2222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504FAB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三项内容均有章节；第一项实质证据不足，参考文献与提交包不完整，现行 E2E 与静态检查存在失败</w:t>
            </w:r>
          </w:p>
        </w:tc>
      </w:tr>
      <w:tr w14:paraId="05C75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C28B5D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合计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C9FDEE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100</w:t>
            </w:r>
          </w:p>
        </w:tc>
        <w:tc>
          <w:tcPr>
            <w:tcW w:w="221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99A0F6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71</w:t>
            </w:r>
          </w:p>
        </w:tc>
        <w:tc>
          <w:tcPr>
            <w:tcW w:w="2222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84D607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合理波动区间约 67-75 分</w:t>
            </w:r>
          </w:p>
        </w:tc>
      </w:tr>
    </w:tbl>
    <w:p w14:paraId="2731E465">
      <w:pPr>
        <w:spacing w:after="100"/>
      </w:pPr>
    </w:p>
    <w:p w14:paraId="24127DAA">
      <w:pPr>
        <w:widowControl/>
        <w:spacing w:after="160" w:line="390" w:lineRule="auto"/>
        <w:jc w:val="both"/>
      </w:pPr>
      <w:r>
        <w:t>当前状态具备入围竞争力，特等奖或擂主竞争力受第一核心任务和目标域证据明显限制。没有官方入围分数线，本估分仅用于内部决策。</w:t>
      </w:r>
    </w:p>
    <w:p w14:paraId="59219109">
      <w:pPr>
        <w:widowControl/>
        <w:spacing w:after="160" w:line="390" w:lineRule="auto"/>
        <w:jc w:val="both"/>
      </w:pPr>
      <w:r>
        <w:t>若仅完成软件与材料收口，合理上限约 76-80 分。若能补充可信的新探针确定方案和一组真实可复核的 A0/A1 级验证数据，得分上限才可能继续提升。</w:t>
      </w:r>
    </w:p>
    <w:p w14:paraId="29CC25B8">
      <w:pPr>
        <w:pStyle w:val="2"/>
        <w:keepNext/>
        <w:keepLines/>
      </w:pPr>
      <w:bookmarkStart w:id="7" w:name="_Toc22023"/>
      <w:r>
        <w:t>4. 三项核心任务逐项审查</w:t>
      </w:r>
      <w:bookmarkEnd w:id="7"/>
    </w:p>
    <w:p w14:paraId="21B52D22">
      <w:pPr>
        <w:pStyle w:val="3"/>
        <w:keepNext/>
        <w:keepLines/>
      </w:pPr>
      <w:bookmarkStart w:id="8" w:name="_Toc14165"/>
      <w:r>
        <w:t>4.1 新型荧光造影剂设计</w:t>
      </w:r>
      <w:bookmarkEnd w:id="8"/>
    </w:p>
    <w:p w14:paraId="15531612">
      <w:pPr>
        <w:pStyle w:val="4"/>
        <w:keepNext/>
        <w:keepLines/>
      </w:pPr>
      <w:bookmarkStart w:id="9" w:name="_Toc1037"/>
      <w:r>
        <w:t>已具备</w:t>
      </w:r>
      <w:bookmarkEnd w:id="9"/>
    </w:p>
    <w:p w14:paraId="319159EF">
      <w:pPr>
        <w:pStyle w:val="21"/>
        <w:keepNext w:val="0"/>
        <w:widowControl/>
        <w:numPr>
          <w:ilvl w:val="0"/>
          <w:numId w:val="4"/>
        </w:numPr>
        <w:spacing w:after="90" w:line="360" w:lineRule="auto"/>
        <w:jc w:val="both"/>
      </w:pPr>
      <w:r>
        <w:t>已正确限制 ICG 的含义：灌注、通透性与组织活性相关信号，不具备颌骨骨髓炎特异性。</w:t>
      </w:r>
    </w:p>
    <w:p w14:paraId="789FDB9E">
      <w:pPr>
        <w:pStyle w:val="21"/>
        <w:keepNext w:val="0"/>
        <w:widowControl/>
        <w:numPr>
          <w:ilvl w:val="0"/>
          <w:numId w:val="4"/>
        </w:numPr>
        <w:spacing w:after="90" w:line="360" w:lineRule="auto"/>
        <w:jc w:val="both"/>
      </w:pPr>
      <w:r>
        <w:t>已整理四环素/自体荧光、Evans blue 与模块化骨亲和探针方向。</w:t>
      </w:r>
    </w:p>
    <w:p w14:paraId="347B9D7E">
      <w:pPr>
        <w:pStyle w:val="21"/>
        <w:keepNext w:val="0"/>
        <w:widowControl/>
        <w:numPr>
          <w:ilvl w:val="0"/>
          <w:numId w:val="4"/>
        </w:numPr>
        <w:spacing w:after="90" w:line="360" w:lineRule="auto"/>
        <w:jc w:val="both"/>
      </w:pPr>
      <w:r>
        <w:t>已提出 A0-A4 分级验证矩阵，覆盖光谱、材料、细菌/细胞、组织/仿体和前临床。</w:t>
      </w:r>
    </w:p>
    <w:p w14:paraId="17215D9F">
      <w:pPr>
        <w:pStyle w:val="21"/>
        <w:keepNext w:val="0"/>
        <w:widowControl/>
        <w:numPr>
          <w:ilvl w:val="0"/>
          <w:numId w:val="4"/>
        </w:numPr>
        <w:spacing w:after="90" w:line="360" w:lineRule="auto"/>
        <w:jc w:val="both"/>
      </w:pPr>
      <w:r>
        <w:t>已讨论现有 ICG 光路、405-460 nm 紫蓝光扩展和滤光片适配风险。</w:t>
      </w:r>
    </w:p>
    <w:p w14:paraId="259E9158">
      <w:pPr>
        <w:pStyle w:val="21"/>
        <w:keepNext w:val="0"/>
        <w:widowControl/>
        <w:numPr>
          <w:ilvl w:val="0"/>
          <w:numId w:val="4"/>
        </w:numPr>
        <w:spacing w:after="90" w:line="360" w:lineRule="auto"/>
        <w:jc w:val="both"/>
      </w:pPr>
      <w:r>
        <w:t>已保留伦理、毒理、药代和监管边界。</w:t>
      </w:r>
    </w:p>
    <w:p w14:paraId="0D1C2CB1">
      <w:pPr>
        <w:pStyle w:val="4"/>
        <w:keepNext/>
        <w:keepLines/>
      </w:pPr>
      <w:bookmarkStart w:id="10" w:name="_Toc22832"/>
      <w:r>
        <w:t>关键缺口</w:t>
      </w:r>
      <w:bookmarkEnd w:id="10"/>
    </w:p>
    <w:p w14:paraId="6E025CF9">
      <w:pPr>
        <w:pStyle w:val="21"/>
        <w:keepNext w:val="0"/>
        <w:widowControl/>
        <w:numPr>
          <w:ilvl w:val="0"/>
          <w:numId w:val="5"/>
        </w:numPr>
        <w:spacing w:after="90" w:line="360" w:lineRule="auto"/>
        <w:jc w:val="both"/>
      </w:pPr>
      <w:r>
        <w:t>“ICG + 四环素 + Evans blue”属于候选组合与文献比较，无法直接构成一款新型荧光造影剂。</w:t>
      </w:r>
    </w:p>
    <w:p w14:paraId="63EBEA13">
      <w:pPr>
        <w:pStyle w:val="21"/>
        <w:keepNext w:val="0"/>
        <w:widowControl/>
        <w:numPr>
          <w:ilvl w:val="0"/>
          <w:numId w:val="5"/>
        </w:numPr>
        <w:spacing w:after="90" w:line="360" w:lineRule="auto"/>
        <w:jc w:val="both"/>
      </w:pPr>
      <w:r>
        <w:t>模块化探针仍停留在“骨亲和端 + 感染识别端 + 发光端 + 连接臂”的概念层，缺少唯一或主备两个确定候选。</w:t>
      </w:r>
    </w:p>
    <w:p w14:paraId="15B34D53">
      <w:pPr>
        <w:pStyle w:val="21"/>
        <w:keepNext w:val="0"/>
        <w:widowControl/>
        <w:numPr>
          <w:ilvl w:val="0"/>
          <w:numId w:val="5"/>
        </w:numPr>
        <w:spacing w:after="90" w:line="360" w:lineRule="auto"/>
        <w:jc w:val="both"/>
      </w:pPr>
      <w:r>
        <w:t>缺少化学结构图、分子量、净电荷、亲水性、连接位点、候选染料骨架、骨亲和基团和感染识别配体的具体选择。</w:t>
      </w:r>
    </w:p>
    <w:p w14:paraId="2D99C066">
      <w:pPr>
        <w:pStyle w:val="21"/>
        <w:keepNext w:val="0"/>
        <w:widowControl/>
        <w:numPr>
          <w:ilvl w:val="0"/>
          <w:numId w:val="5"/>
        </w:numPr>
        <w:spacing w:after="90" w:line="360" w:lineRule="auto"/>
        <w:jc w:val="both"/>
      </w:pPr>
      <w:r>
        <w:t>缺少合成路线、关键反应、纯化方法、结构确证与质量控制指标。</w:t>
      </w:r>
    </w:p>
    <w:p w14:paraId="5B02981C">
      <w:pPr>
        <w:pStyle w:val="21"/>
        <w:keepNext w:val="0"/>
        <w:widowControl/>
        <w:numPr>
          <w:ilvl w:val="0"/>
          <w:numId w:val="5"/>
        </w:numPr>
        <w:spacing w:after="90" w:line="360" w:lineRule="auto"/>
        <w:jc w:val="both"/>
      </w:pPr>
      <w:r>
        <w:t>缺少目标定义：识别细菌、生物膜、坏死组织成分、羟基磷灰石、低灌注区，还是它们的组合。</w:t>
      </w:r>
    </w:p>
    <w:p w14:paraId="0FFD57B3">
      <w:pPr>
        <w:pStyle w:val="21"/>
        <w:keepNext w:val="0"/>
        <w:widowControl/>
        <w:numPr>
          <w:ilvl w:val="0"/>
          <w:numId w:val="5"/>
        </w:numPr>
        <w:spacing w:after="90" w:line="360" w:lineRule="auto"/>
        <w:jc w:val="both"/>
      </w:pPr>
      <w:r>
        <w:t>缺少竞争结合、菌种覆盖、无菌坏死对照、炎症软组织对照和血液背景对照。</w:t>
      </w:r>
    </w:p>
    <w:p w14:paraId="5D2B7C82">
      <w:pPr>
        <w:pStyle w:val="21"/>
        <w:keepNext w:val="0"/>
        <w:widowControl/>
        <w:numPr>
          <w:ilvl w:val="0"/>
          <w:numId w:val="5"/>
        </w:numPr>
        <w:spacing w:after="90" w:line="360" w:lineRule="auto"/>
        <w:jc w:val="both"/>
      </w:pPr>
      <w:r>
        <w:t>缺少实测激发/发射、摩尔消光系数、量子产率、光漂白、pH/蛋白/血清稳定性和串扰矩阵。</w:t>
      </w:r>
    </w:p>
    <w:p w14:paraId="4EE305CF">
      <w:pPr>
        <w:pStyle w:val="21"/>
        <w:keepNext w:val="0"/>
        <w:widowControl/>
        <w:numPr>
          <w:ilvl w:val="0"/>
          <w:numId w:val="5"/>
        </w:numPr>
        <w:spacing w:after="90" w:line="360" w:lineRule="auto"/>
        <w:jc w:val="both"/>
      </w:pPr>
      <w:r>
        <w:t>缺少显微镜实测证据，包括工作距离 200-630 mm、放大倍率 1.3x-17x、曝光、增益、视场和照明变化下的 SNR/CNR。</w:t>
      </w:r>
    </w:p>
    <w:p w14:paraId="0ED6487B">
      <w:pPr>
        <w:pStyle w:val="21"/>
        <w:keepNext w:val="0"/>
        <w:widowControl/>
        <w:numPr>
          <w:ilvl w:val="0"/>
          <w:numId w:val="5"/>
        </w:numPr>
        <w:spacing w:after="90" w:line="360" w:lineRule="auto"/>
        <w:jc w:val="both"/>
      </w:pPr>
      <w:r>
        <w:t>当前精简报告写有“团队后续可在此处替换”，该句会让评委直接判断核心章节尚未完成。</w:t>
      </w:r>
    </w:p>
    <w:p w14:paraId="4B54F5AB">
      <w:pPr>
        <w:pStyle w:val="21"/>
        <w:keepNext w:val="0"/>
        <w:widowControl/>
        <w:numPr>
          <w:ilvl w:val="0"/>
          <w:numId w:val="5"/>
        </w:numPr>
        <w:spacing w:after="90" w:line="360" w:lineRule="auto"/>
        <w:jc w:val="both"/>
      </w:pPr>
      <w:r>
        <w:t>解读明显偏向 NIR-II，当前主探针设计仍以 750-830 nm ICG 窗口为目标，战略响应不足。</w:t>
      </w:r>
    </w:p>
    <w:p w14:paraId="5465634E">
      <w:pPr>
        <w:pStyle w:val="4"/>
        <w:keepNext/>
        <w:keepLines/>
      </w:pPr>
      <w:bookmarkStart w:id="11" w:name="_Toc16470"/>
      <w:r>
        <w:t>截止前可完成的最低合格闭环</w:t>
      </w:r>
      <w:bookmarkEnd w:id="11"/>
    </w:p>
    <w:p w14:paraId="7C07FB26">
      <w:pPr>
        <w:pStyle w:val="21"/>
        <w:keepNext w:val="0"/>
        <w:widowControl/>
        <w:numPr>
          <w:ilvl w:val="0"/>
          <w:numId w:val="6"/>
        </w:numPr>
        <w:spacing w:after="90" w:line="360" w:lineRule="auto"/>
        <w:jc w:val="both"/>
      </w:pPr>
      <w:r>
        <w:t>选定一个主候选和一个备选，给出完整分子设计卡：靶标、结构、光谱、预期药代、合成、风险和停止条件。</w:t>
      </w:r>
    </w:p>
    <w:p w14:paraId="38D49BDC">
      <w:pPr>
        <w:pStyle w:val="21"/>
        <w:keepNext w:val="0"/>
        <w:widowControl/>
        <w:numPr>
          <w:ilvl w:val="0"/>
          <w:numId w:val="6"/>
        </w:numPr>
        <w:spacing w:after="90" w:line="360" w:lineRule="auto"/>
        <w:jc w:val="both"/>
      </w:pPr>
      <w:r>
        <w:t>明确 NIR-II 的定位。若无法完成真实 NIR-II 候选，就写成 NIR-II 兼容扩展路线，并解释现有设备需增加 InGaAs 探测、滤光和光源验证。</w:t>
      </w:r>
    </w:p>
    <w:p w14:paraId="487146B8">
      <w:pPr>
        <w:pStyle w:val="21"/>
        <w:keepNext w:val="0"/>
        <w:widowControl/>
        <w:numPr>
          <w:ilvl w:val="0"/>
          <w:numId w:val="6"/>
        </w:numPr>
        <w:spacing w:after="90" w:line="360" w:lineRule="auto"/>
        <w:jc w:val="both"/>
      </w:pPr>
      <w:r>
        <w:t>补一张“候选探针-显微镜光谱匹配图”，区分实测、文献和设计值。</w:t>
      </w:r>
    </w:p>
    <w:p w14:paraId="3B538CBF">
      <w:pPr>
        <w:pStyle w:val="21"/>
        <w:keepNext w:val="0"/>
        <w:widowControl/>
        <w:numPr>
          <w:ilvl w:val="0"/>
          <w:numId w:val="6"/>
        </w:numPr>
        <w:spacing w:after="90" w:line="360" w:lineRule="auto"/>
        <w:jc w:val="both"/>
      </w:pPr>
      <w:r>
        <w:t>补一张“ICG、四环素/自体荧光、主候选探针”的机理与用途对照表。</w:t>
      </w:r>
    </w:p>
    <w:p w14:paraId="55C2295D">
      <w:pPr>
        <w:pStyle w:val="21"/>
        <w:keepNext w:val="0"/>
        <w:widowControl/>
        <w:numPr>
          <w:ilvl w:val="0"/>
          <w:numId w:val="6"/>
        </w:numPr>
        <w:spacing w:after="90" w:line="360" w:lineRule="auto"/>
        <w:jc w:val="both"/>
      </w:pPr>
      <w:r>
        <w:t>把 A0-A4 矩阵细化为样本量、对照、指标、接受阈值和失败退出条件。</w:t>
      </w:r>
    </w:p>
    <w:p w14:paraId="7A7D89EB">
      <w:pPr>
        <w:pStyle w:val="21"/>
        <w:keepNext w:val="0"/>
        <w:widowControl/>
        <w:numPr>
          <w:ilvl w:val="0"/>
          <w:numId w:val="6"/>
        </w:numPr>
        <w:spacing w:after="90" w:line="360" w:lineRule="auto"/>
        <w:jc w:val="both"/>
      </w:pPr>
      <w:r>
        <w:t>任何来不及完成的实验统一写为计划，严禁生成或包装虚构数据。</w:t>
      </w:r>
    </w:p>
    <w:p w14:paraId="2B2D5249">
      <w:pPr>
        <w:widowControl/>
        <w:spacing w:after="160" w:line="390" w:lineRule="auto"/>
        <w:jc w:val="both"/>
      </w:pPr>
      <w:r>
        <w:t>评委风险等级：致命级。该项在官方答题要求和发榜方技术兴趣中均处于核心位置。</w:t>
      </w:r>
    </w:p>
    <w:p w14:paraId="6420E95A">
      <w:pPr>
        <w:pStyle w:val="3"/>
        <w:keepNext/>
        <w:keepLines/>
      </w:pPr>
      <w:bookmarkStart w:id="12" w:name="_Toc19945"/>
      <w:r>
        <w:t>4.2 多模态医学图像融合与处理</w:t>
      </w:r>
      <w:bookmarkEnd w:id="12"/>
    </w:p>
    <w:p w14:paraId="6ABFFF55">
      <w:pPr>
        <w:pStyle w:val="4"/>
        <w:keepNext/>
        <w:keepLines/>
      </w:pPr>
      <w:bookmarkStart w:id="13" w:name="_Toc14348"/>
      <w:r>
        <w:t>已具备</w:t>
      </w:r>
      <w:bookmarkEnd w:id="13"/>
    </w:p>
    <w:p w14:paraId="65840505">
      <w:pPr>
        <w:pStyle w:val="21"/>
        <w:keepNext w:val="0"/>
        <w:widowControl/>
        <w:numPr>
          <w:ilvl w:val="0"/>
          <w:numId w:val="7"/>
        </w:numPr>
        <w:spacing w:after="90" w:line="360" w:lineRule="auto"/>
        <w:jc w:val="both"/>
      </w:pPr>
      <w:r>
        <w:t>严格主路径支持官方 3840x2160 JPEG 和 MP4。</w:t>
      </w:r>
    </w:p>
    <w:p w14:paraId="7622DA45">
      <w:pPr>
        <w:pStyle w:val="21"/>
        <w:keepNext w:val="0"/>
        <w:widowControl/>
        <w:numPr>
          <w:ilvl w:val="0"/>
          <w:numId w:val="7"/>
        </w:numPr>
        <w:spacing w:after="90" w:line="360" w:lineRule="auto"/>
        <w:jc w:val="both"/>
      </w:pPr>
      <w:r>
        <w:t>JPEG 白光/荧光成对输入具备背景扣除、平移配准、归一化、伪彩、alpha 融合、ROI 定量和证据写出。</w:t>
      </w:r>
    </w:p>
    <w:p w14:paraId="57902B31">
      <w:pPr>
        <w:pStyle w:val="21"/>
        <w:keepNext w:val="0"/>
        <w:widowControl/>
        <w:numPr>
          <w:ilvl w:val="0"/>
          <w:numId w:val="7"/>
        </w:numPr>
        <w:spacing w:after="90" w:line="360" w:lineRule="auto"/>
        <w:jc w:val="both"/>
      </w:pPr>
      <w:r>
        <w:t>MP4 具备播放、关键帧分析、连续帧快速分析、视频 mask/overlay 与 manifest。</w:t>
      </w:r>
    </w:p>
    <w:p w14:paraId="04FC4AE7">
      <w:pPr>
        <w:pStyle w:val="21"/>
        <w:keepNext w:val="0"/>
        <w:widowControl/>
        <w:numPr>
          <w:ilvl w:val="0"/>
          <w:numId w:val="7"/>
        </w:numPr>
        <w:spacing w:after="90" w:line="360" w:lineRule="auto"/>
        <w:jc w:val="both"/>
      </w:pPr>
      <w:r>
        <w:t>4K tiled 全证据路径和 960x720 live_fast 路径均有实测。</w:t>
      </w:r>
    </w:p>
    <w:p w14:paraId="02F6CB9B">
      <w:pPr>
        <w:pStyle w:val="21"/>
        <w:keepNext w:val="0"/>
        <w:widowControl/>
        <w:numPr>
          <w:ilvl w:val="0"/>
          <w:numId w:val="7"/>
        </w:numPr>
        <w:spacing w:after="90" w:line="360" w:lineRule="auto"/>
        <w:jc w:val="both"/>
      </w:pPr>
      <w:r>
        <w:t>配准失败、通道不可信、模型不可用和三维条件不足时有降级路径。</w:t>
      </w:r>
    </w:p>
    <w:p w14:paraId="21D9C43E">
      <w:pPr>
        <w:pStyle w:val="21"/>
        <w:keepNext w:val="0"/>
        <w:widowControl/>
        <w:numPr>
          <w:ilvl w:val="0"/>
          <w:numId w:val="7"/>
        </w:numPr>
        <w:spacing w:after="90" w:line="360" w:lineRule="auto"/>
        <w:jc w:val="both"/>
      </w:pPr>
      <w:r>
        <w:t>2026-07-24 严格比赛配置端到端自测通过：4K JPEG 融合、4K MP4 关键帧分析、工程复核和 25.7 MB 证据包完整生成。</w:t>
      </w:r>
    </w:p>
    <w:p w14:paraId="5E96CCA7">
      <w:pPr>
        <w:pStyle w:val="4"/>
        <w:keepNext/>
        <w:keepLines/>
      </w:pPr>
      <w:bookmarkStart w:id="14" w:name="_Toc27965"/>
      <w:r>
        <w:t>关键缺口</w:t>
      </w:r>
      <w:bookmarkEnd w:id="14"/>
    </w:p>
    <w:p w14:paraId="22BB7F05">
      <w:pPr>
        <w:pStyle w:val="21"/>
        <w:keepNext w:val="0"/>
        <w:widowControl/>
        <w:numPr>
          <w:ilvl w:val="0"/>
          <w:numId w:val="8"/>
        </w:numPr>
        <w:spacing w:after="90" w:line="360" w:lineRule="auto"/>
        <w:jc w:val="both"/>
      </w:pPr>
      <w:r>
        <w:t>当前配准核心为相位相关平移，难以覆盖组织形变、旋转、尺度变化、镜头遮挡、烟雾、器械、变焦与工作距离变化。</w:t>
      </w:r>
    </w:p>
    <w:p w14:paraId="50350B11">
      <w:pPr>
        <w:pStyle w:val="21"/>
        <w:keepNext w:val="0"/>
        <w:widowControl/>
        <w:numPr>
          <w:ilvl w:val="0"/>
          <w:numId w:val="8"/>
        </w:numPr>
        <w:spacing w:after="90" w:line="360" w:lineRule="auto"/>
        <w:jc w:val="both"/>
      </w:pPr>
      <w:r>
        <w:t>缺少相机内参、双通道外参、畸变、色差和单位像素物理尺度的设备标定证据。</w:t>
      </w:r>
    </w:p>
    <w:p w14:paraId="0AAAFF44">
      <w:pPr>
        <w:pStyle w:val="21"/>
        <w:keepNext w:val="0"/>
        <w:widowControl/>
        <w:numPr>
          <w:ilvl w:val="0"/>
          <w:numId w:val="8"/>
        </w:numPr>
        <w:spacing w:after="90" w:line="360" w:lineRule="auto"/>
        <w:jc w:val="both"/>
      </w:pPr>
      <w:r>
        <w:t>缺少真实三路输出的时间戳、帧同步和几何关系验证。</w:t>
      </w:r>
    </w:p>
    <w:p w14:paraId="4A462518">
      <w:pPr>
        <w:pStyle w:val="21"/>
        <w:keepNext w:val="0"/>
        <w:widowControl/>
        <w:numPr>
          <w:ilvl w:val="0"/>
          <w:numId w:val="8"/>
        </w:numPr>
        <w:spacing w:after="90" w:line="360" w:lineRule="auto"/>
        <w:jc w:val="both"/>
      </w:pPr>
      <w:r>
        <w:t>当前 4K 全证据 P95 为 5.78 s，适合离线关键帧；与解读提出的 100 ms 级融合目标存在数量级差距。</w:t>
      </w:r>
    </w:p>
    <w:p w14:paraId="3CE15283">
      <w:pPr>
        <w:pStyle w:val="21"/>
        <w:keepNext w:val="0"/>
        <w:widowControl/>
        <w:numPr>
          <w:ilvl w:val="0"/>
          <w:numId w:val="8"/>
        </w:numPr>
        <w:spacing w:after="90" w:line="360" w:lineRule="auto"/>
        <w:jc w:val="both"/>
      </w:pPr>
      <w:r>
        <w:t>live_fast P95 为 176 ms，输入为 960x720，且未计 HTTP、浏览器调度、采集与传输，无法表述为 4K 端到端小于 100 ms。</w:t>
      </w:r>
    </w:p>
    <w:p w14:paraId="3BFF0346">
      <w:pPr>
        <w:pStyle w:val="21"/>
        <w:keepNext w:val="0"/>
        <w:widowControl/>
        <w:numPr>
          <w:ilvl w:val="0"/>
          <w:numId w:val="8"/>
        </w:numPr>
        <w:spacing w:after="90" w:line="360" w:lineRule="auto"/>
        <w:jc w:val="both"/>
      </w:pPr>
      <w:r>
        <w:t>缺少同步双通道真实视频的连续配准稳定性、抖动、漂移和失败率统计。</w:t>
      </w:r>
    </w:p>
    <w:p w14:paraId="6F0FCF3F">
      <w:pPr>
        <w:pStyle w:val="21"/>
        <w:keepNext w:val="0"/>
        <w:widowControl/>
        <w:numPr>
          <w:ilvl w:val="0"/>
          <w:numId w:val="8"/>
        </w:numPr>
        <w:spacing w:after="90" w:line="360" w:lineRule="auto"/>
        <w:jc w:val="both"/>
      </w:pPr>
      <w:r>
        <w:t>当前报告将三维 L0/L1/L2 占用较多篇幅，可能稀释白光/荧光融合这一官方核心任务。</w:t>
      </w:r>
    </w:p>
    <w:p w14:paraId="196E7DBE">
      <w:pPr>
        <w:pStyle w:val="4"/>
        <w:keepNext/>
        <w:keepLines/>
      </w:pPr>
      <w:bookmarkStart w:id="15" w:name="_Toc11858"/>
      <w:r>
        <w:t>截止前收口要求</w:t>
      </w:r>
      <w:bookmarkEnd w:id="15"/>
    </w:p>
    <w:p w14:paraId="782EC223">
      <w:pPr>
        <w:pStyle w:val="21"/>
        <w:keepNext w:val="0"/>
        <w:widowControl/>
        <w:numPr>
          <w:ilvl w:val="0"/>
          <w:numId w:val="9"/>
        </w:numPr>
        <w:spacing w:after="90" w:line="360" w:lineRule="auto"/>
        <w:jc w:val="both"/>
      </w:pPr>
      <w:r>
        <w:t>把运行指标拆成采集、解码、配准、融合、模型、写盘、API 和浏览器显示，不再用单一“实时”标签。</w:t>
      </w:r>
    </w:p>
    <w:p w14:paraId="0D91C38A">
      <w:pPr>
        <w:pStyle w:val="21"/>
        <w:keepNext w:val="0"/>
        <w:widowControl/>
        <w:numPr>
          <w:ilvl w:val="0"/>
          <w:numId w:val="9"/>
        </w:numPr>
        <w:spacing w:after="90" w:line="360" w:lineRule="auto"/>
        <w:jc w:val="both"/>
      </w:pPr>
      <w:r>
        <w:t>将当前能力明确命名为“4K 离线关键帧全证据”和“受控分辨率连续帧辅助显示”。</w:t>
      </w:r>
    </w:p>
    <w:p w14:paraId="7A5D00EF">
      <w:pPr>
        <w:pStyle w:val="21"/>
        <w:keepNext w:val="0"/>
        <w:widowControl/>
        <w:numPr>
          <w:ilvl w:val="0"/>
          <w:numId w:val="9"/>
        </w:numPr>
        <w:spacing w:after="90" w:line="360" w:lineRule="auto"/>
        <w:jc w:val="both"/>
      </w:pPr>
      <w:r>
        <w:t>增加配准路线图：平移基线、仿射、单应性、局部非刚性或光流、时间平滑、质量门与回退。</w:t>
      </w:r>
    </w:p>
    <w:p w14:paraId="616F0827">
      <w:pPr>
        <w:pStyle w:val="21"/>
        <w:keepNext w:val="0"/>
        <w:widowControl/>
        <w:numPr>
          <w:ilvl w:val="0"/>
          <w:numId w:val="9"/>
        </w:numPr>
        <w:spacing w:after="90" w:line="360" w:lineRule="auto"/>
        <w:jc w:val="both"/>
      </w:pPr>
      <w:r>
        <w:t>增加倍率、工作距离、曝光、遮挡和运动的测试矩阵，标注当前已测与待测。</w:t>
      </w:r>
    </w:p>
    <w:p w14:paraId="387C13E6">
      <w:pPr>
        <w:pStyle w:val="21"/>
        <w:keepNext w:val="0"/>
        <w:widowControl/>
        <w:numPr>
          <w:ilvl w:val="0"/>
          <w:numId w:val="9"/>
        </w:numPr>
        <w:spacing w:after="90" w:line="360" w:lineRule="auto"/>
        <w:jc w:val="both"/>
      </w:pPr>
      <w:r>
        <w:t>报告中给出 100 ms 目标的测量边界和分阶段方案，当前结果保留真实值。</w:t>
      </w:r>
    </w:p>
    <w:p w14:paraId="528F7772">
      <w:pPr>
        <w:widowControl/>
        <w:spacing w:after="160" w:line="390" w:lineRule="auto"/>
        <w:jc w:val="both"/>
      </w:pPr>
      <w:r>
        <w:t>评委风险等级：高。软件链较强，设备级同步配准和实时性证据决定可行性得分上限。</w:t>
      </w:r>
    </w:p>
    <w:p w14:paraId="69D11EED">
      <w:pPr>
        <w:pStyle w:val="3"/>
        <w:keepNext/>
        <w:keepLines/>
      </w:pPr>
      <w:bookmarkStart w:id="16" w:name="_Toc22219"/>
      <w:r>
        <w:t>4.3 AI 病灶识别与辅助判读</w:t>
      </w:r>
      <w:bookmarkEnd w:id="16"/>
    </w:p>
    <w:p w14:paraId="5B49CD29">
      <w:pPr>
        <w:pStyle w:val="4"/>
        <w:keepNext/>
        <w:keepLines/>
      </w:pPr>
      <w:bookmarkStart w:id="17" w:name="_Toc12580"/>
      <w:r>
        <w:t>已具备</w:t>
      </w:r>
      <w:bookmarkEnd w:id="17"/>
    </w:p>
    <w:p w14:paraId="6A823B3E">
      <w:pPr>
        <w:pStyle w:val="21"/>
        <w:keepNext w:val="0"/>
        <w:widowControl/>
        <w:numPr>
          <w:ilvl w:val="0"/>
          <w:numId w:val="10"/>
        </w:numPr>
        <w:spacing w:after="90" w:line="360" w:lineRule="auto"/>
        <w:jc w:val="both"/>
      </w:pPr>
      <w:r>
        <w:t>严格配置加载真实 checkpoint，禁止缺失权重时启发式回退。</w:t>
      </w:r>
    </w:p>
    <w:p w14:paraId="6C7255D4">
      <w:pPr>
        <w:pStyle w:val="21"/>
        <w:keepNext w:val="0"/>
        <w:widowControl/>
        <w:numPr>
          <w:ilvl w:val="0"/>
          <w:numId w:val="10"/>
        </w:numPr>
        <w:spacing w:after="90" w:line="360" w:lineRule="auto"/>
        <w:jc w:val="both"/>
      </w:pPr>
      <w:r>
        <w:t>主线模型在公开离体荧光代理数据上完成多模型、多随机种子和阈值比较。</w:t>
      </w:r>
    </w:p>
    <w:p w14:paraId="7F4A0710">
      <w:pPr>
        <w:pStyle w:val="21"/>
        <w:keepNext w:val="0"/>
        <w:widowControl/>
        <w:numPr>
          <w:ilvl w:val="0"/>
          <w:numId w:val="10"/>
        </w:numPr>
        <w:spacing w:after="90" w:line="360" w:lineRule="auto"/>
        <w:jc w:val="both"/>
      </w:pPr>
      <w:r>
        <w:t>锁定代理测试指标为 Dice 0.917681、IoU 0.848335，并明确不可外推到目标域。</w:t>
      </w:r>
    </w:p>
    <w:p w14:paraId="0E35056F">
      <w:pPr>
        <w:pStyle w:val="21"/>
        <w:keepNext w:val="0"/>
        <w:widowControl/>
        <w:numPr>
          <w:ilvl w:val="0"/>
          <w:numId w:val="10"/>
        </w:numPr>
        <w:spacing w:after="90" w:line="360" w:lineRule="auto"/>
        <w:jc w:val="both"/>
      </w:pPr>
      <w:r>
        <w:t xml:space="preserve">输出覆盖 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fluorescence_signal_mask</w:t>
      </w:r>
      <w:r>
        <w:t>、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risk_mask</w:t>
      </w:r>
      <w:r>
        <w:t xml:space="preserve"> 和 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uncertain_mask</w:t>
      </w:r>
      <w:r>
        <w:t>。</w:t>
      </w:r>
    </w:p>
    <w:p w14:paraId="3805ED8C">
      <w:pPr>
        <w:pStyle w:val="21"/>
        <w:keepNext w:val="0"/>
        <w:widowControl/>
        <w:numPr>
          <w:ilvl w:val="0"/>
          <w:numId w:val="10"/>
        </w:numPr>
        <w:spacing w:after="90" w:line="360" w:lineRule="auto"/>
        <w:jc w:val="both"/>
      </w:pPr>
      <w:r>
        <w:t>医生可接受、修改、驳回候选区，并进入 ROI、版本和训练准入链。</w:t>
      </w:r>
    </w:p>
    <w:p w14:paraId="57DB0AD3">
      <w:pPr>
        <w:pStyle w:val="21"/>
        <w:keepNext w:val="0"/>
        <w:widowControl/>
        <w:numPr>
          <w:ilvl w:val="0"/>
          <w:numId w:val="10"/>
        </w:numPr>
        <w:spacing w:after="90" w:line="360" w:lineRule="auto"/>
        <w:jc w:val="both"/>
      </w:pPr>
      <w:r>
        <w:t>人工标注、复核身份、数据授权、训练准入和证据包设计成熟。</w:t>
      </w:r>
    </w:p>
    <w:p w14:paraId="5093854F">
      <w:pPr>
        <w:pStyle w:val="4"/>
        <w:keepNext/>
        <w:keepLines/>
      </w:pPr>
      <w:bookmarkStart w:id="18" w:name="_Toc8697"/>
      <w:r>
        <w:t>关键缺口</w:t>
      </w:r>
      <w:bookmarkEnd w:id="18"/>
    </w:p>
    <w:p w14:paraId="2BDDA8BD">
      <w:pPr>
        <w:pStyle w:val="21"/>
        <w:keepNext w:val="0"/>
        <w:widowControl/>
        <w:numPr>
          <w:ilvl w:val="0"/>
          <w:numId w:val="11"/>
        </w:numPr>
        <w:spacing w:after="90" w:line="360" w:lineRule="auto"/>
        <w:jc w:val="both"/>
      </w:pPr>
      <w:r>
        <w:t>真实术中 ICG 颌骨骨髓炎 JPEG/MP4 为 0，可信医生像素级标注为 0，目标域训练准入为 0。</w:t>
      </w:r>
    </w:p>
    <w:p w14:paraId="09A434FC">
      <w:pPr>
        <w:pStyle w:val="21"/>
        <w:keepNext w:val="0"/>
        <w:widowControl/>
        <w:numPr>
          <w:ilvl w:val="0"/>
          <w:numId w:val="11"/>
        </w:numPr>
        <w:spacing w:after="90" w:line="360" w:lineRule="auto"/>
        <w:jc w:val="both"/>
      </w:pPr>
      <w:r>
        <w:t>当前主线识别荧光信号候选，无法证明识别颌骨骨髓炎病灶、坏死骨、活性骨或切除边界。</w:t>
      </w:r>
    </w:p>
    <w:p w14:paraId="08D8328D">
      <w:pPr>
        <w:pStyle w:val="21"/>
        <w:keepNext w:val="0"/>
        <w:widowControl/>
        <w:numPr>
          <w:ilvl w:val="0"/>
          <w:numId w:val="11"/>
        </w:numPr>
        <w:spacing w:after="90" w:line="360" w:lineRule="auto"/>
        <w:jc w:val="both"/>
      </w:pPr>
      <w:r>
        <w:t>严格主线模型接收单帧 RGB 图像，尚未形成官方要求意义上的白光与荧光双分支联合模型。</w:t>
      </w:r>
    </w:p>
    <w:p w14:paraId="0E15C61F">
      <w:pPr>
        <w:pStyle w:val="21"/>
        <w:keepNext w:val="0"/>
        <w:widowControl/>
        <w:numPr>
          <w:ilvl w:val="0"/>
          <w:numId w:val="11"/>
        </w:numPr>
        <w:spacing w:after="90" w:line="360" w:lineRule="auto"/>
        <w:jc w:val="both"/>
      </w:pPr>
      <w:r>
        <w:t>报告中的“结合白光/荧光”描述需要区分融合处理输入与 AI 模型真实输入。</w:t>
      </w:r>
    </w:p>
    <w:p w14:paraId="33B82507">
      <w:pPr>
        <w:pStyle w:val="21"/>
        <w:keepNext w:val="0"/>
        <w:widowControl/>
        <w:numPr>
          <w:ilvl w:val="0"/>
          <w:numId w:val="11"/>
        </w:numPr>
        <w:spacing w:after="90" w:line="360" w:lineRule="auto"/>
        <w:jc w:val="both"/>
      </w:pPr>
      <w:r>
        <w:t>缺少目标域敏感性、特异性、阳性/阴性预测值、校准、医生一致性和外部验证。</w:t>
      </w:r>
    </w:p>
    <w:p w14:paraId="38F62F60">
      <w:pPr>
        <w:pStyle w:val="21"/>
        <w:keepNext w:val="0"/>
        <w:widowControl/>
        <w:numPr>
          <w:ilvl w:val="0"/>
          <w:numId w:val="11"/>
        </w:numPr>
        <w:spacing w:after="90" w:line="360" w:lineRule="auto"/>
        <w:jc w:val="both"/>
      </w:pPr>
      <w:r>
        <w:t>骨活性多任务和患者条件模型均未通过主线替换门，放入正文会增加解释负担。</w:t>
      </w:r>
    </w:p>
    <w:p w14:paraId="0407EC6F">
      <w:pPr>
        <w:pStyle w:val="21"/>
        <w:keepNext w:val="0"/>
        <w:widowControl/>
        <w:numPr>
          <w:ilvl w:val="0"/>
          <w:numId w:val="11"/>
        </w:numPr>
        <w:spacing w:after="90" w:line="360" w:lineRule="auto"/>
        <w:jc w:val="both"/>
      </w:pPr>
      <w:r>
        <w:t>骨面门控仍依赖医生 ROI 或提示辅助复核，当前真实医生门控样本缺失。</w:t>
      </w:r>
    </w:p>
    <w:p w14:paraId="54E92539">
      <w:pPr>
        <w:pStyle w:val="21"/>
        <w:keepNext w:val="0"/>
        <w:widowControl/>
        <w:numPr>
          <w:ilvl w:val="0"/>
          <w:numId w:val="11"/>
        </w:numPr>
        <w:spacing w:after="90" w:line="360" w:lineRule="auto"/>
        <w:jc w:val="both"/>
      </w:pPr>
      <w:r>
        <w:t>代理模型名称、数据域、输出语义和临床术语较多，评委可能难以快速理解主线到底判断什么。</w:t>
      </w:r>
    </w:p>
    <w:p w14:paraId="572179A3">
      <w:pPr>
        <w:pStyle w:val="4"/>
        <w:keepNext/>
        <w:keepLines/>
      </w:pPr>
      <w:bookmarkStart w:id="19" w:name="_Toc7753"/>
      <w:r>
        <w:t>截止前收口要求</w:t>
      </w:r>
      <w:bookmarkEnd w:id="19"/>
    </w:p>
    <w:p w14:paraId="46F76880">
      <w:pPr>
        <w:pStyle w:val="21"/>
        <w:keepNext w:val="0"/>
        <w:widowControl/>
        <w:numPr>
          <w:ilvl w:val="0"/>
          <w:numId w:val="12"/>
        </w:numPr>
        <w:spacing w:after="90" w:line="360" w:lineRule="auto"/>
        <w:jc w:val="both"/>
      </w:pPr>
      <w:r>
        <w:t>主任务固定为“荧光/灌注信号候选 + 边界风险 + 不确定性 + 医生复核”。</w:t>
      </w:r>
    </w:p>
    <w:p w14:paraId="4E4F33E0">
      <w:pPr>
        <w:pStyle w:val="21"/>
        <w:keepNext w:val="0"/>
        <w:widowControl/>
        <w:numPr>
          <w:ilvl w:val="0"/>
          <w:numId w:val="12"/>
        </w:numPr>
        <w:spacing w:after="90" w:line="360" w:lineRule="auto"/>
        <w:jc w:val="both"/>
      </w:pPr>
      <w:r>
        <w:t>用一张表清楚区分当前已测、代理验证、未来目标域和禁止声称。</w:t>
      </w:r>
    </w:p>
    <w:p w14:paraId="745A97BD">
      <w:pPr>
        <w:pStyle w:val="21"/>
        <w:keepNext w:val="0"/>
        <w:widowControl/>
        <w:numPr>
          <w:ilvl w:val="0"/>
          <w:numId w:val="12"/>
        </w:numPr>
        <w:spacing w:after="90" w:line="360" w:lineRule="auto"/>
        <w:jc w:val="both"/>
      </w:pPr>
      <w:r>
        <w:t>报告明确当前 AI 主线的实际输入通道，双通道模型列为下一阶段并说明训练数据需求。</w:t>
      </w:r>
    </w:p>
    <w:p w14:paraId="33044C14">
      <w:pPr>
        <w:pStyle w:val="21"/>
        <w:keepNext w:val="0"/>
        <w:widowControl/>
        <w:numPr>
          <w:ilvl w:val="0"/>
          <w:numId w:val="12"/>
        </w:numPr>
        <w:spacing w:after="90" w:line="360" w:lineRule="auto"/>
        <w:jc w:val="both"/>
      </w:pPr>
      <w:r>
        <w:t>优先补充 5-10 个由临床医生进行图像级或区域级复核的公开/近域示例意见。它们只能作为可用性反馈，不能转换为目标域性能。</w:t>
      </w:r>
    </w:p>
    <w:p w14:paraId="61E32139">
      <w:pPr>
        <w:pStyle w:val="21"/>
        <w:keepNext w:val="0"/>
        <w:widowControl/>
        <w:numPr>
          <w:ilvl w:val="0"/>
          <w:numId w:val="12"/>
        </w:numPr>
        <w:spacing w:after="90" w:line="360" w:lineRule="auto"/>
        <w:jc w:val="both"/>
      </w:pPr>
      <w:r>
        <w:t>保留一张模型选型表和一张典型成功/失败案例图，删减大量次要模型与代理指标。</w:t>
      </w:r>
    </w:p>
    <w:p w14:paraId="50C119C7">
      <w:pPr>
        <w:widowControl/>
        <w:spacing w:after="160" w:line="390" w:lineRule="auto"/>
        <w:jc w:val="both"/>
      </w:pPr>
      <w:r>
        <w:t>评委风险等级：高。软件实现可信，病灶识别语义与目标域证据距离较大。</w:t>
      </w:r>
    </w:p>
    <w:p w14:paraId="12FCB52A">
      <w:pPr>
        <w:pStyle w:val="2"/>
        <w:keepNext/>
        <w:keepLines/>
      </w:pPr>
      <w:bookmarkStart w:id="20" w:name="_Toc4514"/>
      <w:r>
        <w:t>5. 软件、数据和工程证据审查</w:t>
      </w:r>
      <w:bookmarkEnd w:id="20"/>
    </w:p>
    <w:p w14:paraId="24E49C1F">
      <w:pPr>
        <w:pStyle w:val="3"/>
        <w:keepNext/>
        <w:keepLines/>
      </w:pPr>
      <w:bookmarkStart w:id="21" w:name="_Toc16560"/>
      <w:r>
        <w:t>5.1 2026-07-24 实测通过项</w:t>
      </w:r>
      <w:bookmarkEnd w:id="21"/>
    </w:p>
    <w:p w14:paraId="5CCE69A3">
      <w:pPr>
        <w:pStyle w:val="21"/>
        <w:keepNext w:val="0"/>
        <w:widowControl/>
        <w:numPr>
          <w:ilvl w:val="0"/>
          <w:numId w:val="13"/>
        </w:numPr>
        <w:spacing w:after="90" w:line="360" w:lineRule="auto"/>
        <w:jc w:val="both"/>
      </w:pPr>
      <w:r>
        <w:t>严格比赛配置预检通过，checkpoint SHA256 与 sidecar 有效，FFmpeg/ffprobe 可用。</w:t>
      </w:r>
    </w:p>
    <w:p w14:paraId="40587545">
      <w:pPr>
        <w:pStyle w:val="21"/>
        <w:keepNext w:val="0"/>
        <w:widowControl/>
        <w:numPr>
          <w:ilvl w:val="0"/>
          <w:numId w:val="13"/>
        </w:numPr>
        <w:spacing w:after="90" w:line="360" w:lineRule="auto"/>
        <w:jc w:val="both"/>
      </w:pPr>
      <w:r>
        <w:t>4K JPEG/MP4 端到端比赛流自测通过，真实主线 checkpoint 被执行，无启发式回退。</w:t>
      </w:r>
    </w:p>
    <w:p w14:paraId="52EFDD94">
      <w:pPr>
        <w:pStyle w:val="21"/>
        <w:keepNext w:val="0"/>
        <w:widowControl/>
        <w:numPr>
          <w:ilvl w:val="0"/>
          <w:numId w:val="13"/>
        </w:numPr>
        <w:spacing w:after="90" w:line="360" w:lineRule="auto"/>
        <w:jc w:val="both"/>
      </w:pPr>
      <w:r>
        <w:t>核心 pytest 在独立临时目录运行通过。</w:t>
      </w:r>
    </w:p>
    <w:p w14:paraId="2C33B544">
      <w:pPr>
        <w:pStyle w:val="21"/>
        <w:keepNext w:val="0"/>
        <w:widowControl/>
        <w:numPr>
          <w:ilvl w:val="0"/>
          <w:numId w:val="13"/>
        </w:numPr>
        <w:spacing w:after="90" w:line="360" w:lineRule="auto"/>
        <w:jc w:val="both"/>
      </w:pPr>
      <w:r>
        <w:t>后端 pytest 通过。</w:t>
      </w:r>
    </w:p>
    <w:p w14:paraId="34F885A9">
      <w:pPr>
        <w:pStyle w:val="21"/>
        <w:keepNext w:val="0"/>
        <w:widowControl/>
        <w:numPr>
          <w:ilvl w:val="0"/>
          <w:numId w:val="13"/>
        </w:numPr>
        <w:spacing w:after="90" w:line="360" w:lineRule="auto"/>
        <w:jc w:val="both"/>
      </w:pPr>
      <w:r>
        <w:t>前端 TypeScript 检查、214 项 Vitest 和生产构建通过。</w:t>
      </w:r>
    </w:p>
    <w:p w14:paraId="4EA9F9F2">
      <w:pPr>
        <w:pStyle w:val="21"/>
        <w:keepNext w:val="0"/>
        <w:widowControl/>
        <w:numPr>
          <w:ilvl w:val="0"/>
          <w:numId w:val="13"/>
        </w:numPr>
        <w:spacing w:after="90" w:line="360" w:lineRule="auto"/>
        <w:jc w:val="both"/>
      </w:pPr>
      <w:r>
        <w:t>独立三维运行时类型检查、20 项 Vitest 和构建通过。</w:t>
      </w:r>
    </w:p>
    <w:p w14:paraId="6B92B55C">
      <w:pPr>
        <w:pStyle w:val="21"/>
        <w:keepNext w:val="0"/>
        <w:widowControl/>
        <w:numPr>
          <w:ilvl w:val="0"/>
          <w:numId w:val="13"/>
        </w:numPr>
        <w:spacing w:after="90" w:line="360" w:lineRule="auto"/>
        <w:jc w:val="both"/>
      </w:pPr>
      <w:r>
        <w:t>Ruff 通过。</w:t>
      </w:r>
    </w:p>
    <w:p w14:paraId="049116B5">
      <w:pPr>
        <w:pStyle w:val="21"/>
        <w:keepNext w:val="0"/>
        <w:widowControl/>
        <w:numPr>
          <w:ilvl w:val="0"/>
          <w:numId w:val="13"/>
        </w:numPr>
        <w:spacing w:after="90" w:line="360" w:lineRule="auto"/>
        <w:jc w:val="both"/>
      </w:pPr>
      <w:r>
        <w:t>15 份数据 manifest、47 条记录、138 个文件、约 5.51 GB 全部通过来源与 SHA256 核验。</w:t>
      </w:r>
    </w:p>
    <w:p w14:paraId="65EA58AC">
      <w:pPr>
        <w:pStyle w:val="21"/>
        <w:keepNext w:val="0"/>
        <w:widowControl/>
        <w:numPr>
          <w:ilvl w:val="0"/>
          <w:numId w:val="13"/>
        </w:numPr>
        <w:spacing w:after="90" w:line="360" w:lineRule="auto"/>
        <w:jc w:val="both"/>
      </w:pPr>
      <w:r>
        <w:t>严格启动脚本在独立端口成功启动后端、前端和三维运行时，并完成模型预热。</w:t>
      </w:r>
    </w:p>
    <w:p w14:paraId="6BA329FB">
      <w:pPr>
        <w:pStyle w:val="3"/>
        <w:keepNext/>
        <w:keepLines/>
      </w:pPr>
      <w:bookmarkStart w:id="22" w:name="_Toc4715"/>
      <w:r>
        <w:t>5.2 当前质量门失败项</w:t>
      </w:r>
      <w:bookmarkEnd w:id="22"/>
    </w:p>
    <w:p w14:paraId="4CCC2F75">
      <w:pPr>
        <w:pStyle w:val="21"/>
        <w:keepNext w:val="0"/>
        <w:widowControl/>
        <w:numPr>
          <w:ilvl w:val="0"/>
          <w:numId w:val="14"/>
        </w:numPr>
        <w:spacing w:after="90" w:line="360" w:lineRule="auto"/>
        <w:jc w:val="both"/>
      </w:pP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mypy</w:t>
      </w:r>
      <w:r>
        <w:t xml:space="preserve"> 当前有 6 个错误，集中在 Pillow 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Image.save</w:t>
      </w:r>
      <w:r>
        <w:t xml:space="preserve"> 参数类型。</w:t>
      </w:r>
    </w:p>
    <w:p w14:paraId="513E38F1">
      <w:pPr>
        <w:pStyle w:val="21"/>
        <w:keepNext w:val="0"/>
        <w:widowControl/>
        <w:numPr>
          <w:ilvl w:val="0"/>
          <w:numId w:val="14"/>
        </w:numPr>
        <w:spacing w:after="90" w:line="360" w:lineRule="auto"/>
        <w:jc w:val="both"/>
      </w:pPr>
      <w:r>
        <w:t xml:space="preserve">Playwright E2E 无法启动，配置仍引用已删除的 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backend.src.api.app:app</w:t>
      </w:r>
      <w:r>
        <w:t>。</w:t>
      </w:r>
    </w:p>
    <w:p w14:paraId="2E4F9BB3">
      <w:pPr>
        <w:pStyle w:val="21"/>
        <w:keepNext w:val="0"/>
        <w:widowControl/>
        <w:numPr>
          <w:ilvl w:val="0"/>
          <w:numId w:val="14"/>
        </w:numPr>
        <w:spacing w:after="90" w:line="360" w:lineRule="auto"/>
        <w:jc w:val="both"/>
      </w:pPr>
      <w:r>
        <w:t xml:space="preserve">挑战杯展示页的独立三维运行时在严格启动环境显示“没有可渲染的三维模型”；API 明确返回 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public_reference_model_asset_unavailable</w:t>
      </w:r>
      <w:r>
        <w:t>。</w:t>
      </w:r>
    </w:p>
    <w:p w14:paraId="667626A2">
      <w:pPr>
        <w:pStyle w:val="21"/>
        <w:keepNext w:val="0"/>
        <w:widowControl/>
        <w:numPr>
          <w:ilvl w:val="0"/>
          <w:numId w:val="14"/>
        </w:numPr>
        <w:spacing w:after="90" w:line="360" w:lineRule="auto"/>
        <w:jc w:val="both"/>
      </w:pPr>
      <w:r>
        <w:t xml:space="preserve">证据索引生成于 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d536410</w:t>
      </w:r>
      <w:r>
        <w:t xml:space="preserve">，当前代码为 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61ab991</w:t>
      </w:r>
      <w:r>
        <w:t xml:space="preserve">，且旧索引继续记录已迁移的 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backend/src</w:t>
      </w:r>
      <w:r>
        <w:t xml:space="preserve"> 与 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src</w:t>
      </w:r>
      <w:r>
        <w:t xml:space="preserve"> 路径。</w:t>
      </w:r>
    </w:p>
    <w:p w14:paraId="495674DC">
      <w:pPr>
        <w:pStyle w:val="21"/>
        <w:keepNext w:val="0"/>
        <w:widowControl/>
        <w:numPr>
          <w:ilvl w:val="0"/>
          <w:numId w:val="14"/>
        </w:numPr>
        <w:spacing w:after="90" w:line="360" w:lineRule="auto"/>
        <w:jc w:val="both"/>
      </w:pPr>
      <w:r>
        <w:t>当前 evidence manifest 未包含 27 页精简报告和 127 页完整证据报告，报告入口与证据冻结对象不一致。</w:t>
      </w:r>
    </w:p>
    <w:p w14:paraId="353F1E47">
      <w:pPr>
        <w:pStyle w:val="21"/>
        <w:keepNext w:val="0"/>
        <w:widowControl/>
        <w:numPr>
          <w:ilvl w:val="0"/>
          <w:numId w:val="14"/>
        </w:numPr>
        <w:spacing w:after="90" w:line="360" w:lineRule="auto"/>
        <w:jc w:val="both"/>
      </w:pPr>
      <w:r>
        <w:t>4K 门控旧报告仍写“比赛配置已选择候选：False”，与当前严格主线状态冲突。</w:t>
      </w:r>
    </w:p>
    <w:p w14:paraId="4449DCBC">
      <w:pPr>
        <w:pStyle w:val="21"/>
        <w:keepNext w:val="0"/>
        <w:widowControl/>
        <w:numPr>
          <w:ilvl w:val="0"/>
          <w:numId w:val="14"/>
        </w:numPr>
        <w:spacing w:after="90" w:line="360" w:lineRule="auto"/>
        <w:jc w:val="both"/>
      </w:pPr>
      <w:r>
        <w:t xml:space="preserve">工作区存在未跟踪 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output/</w:t>
      </w:r>
      <w:r>
        <w:t>，正式冻结前需要确认其归属并保持提交工作区干净。</w:t>
      </w:r>
    </w:p>
    <w:p w14:paraId="1E772A89">
      <w:pPr>
        <w:widowControl/>
        <w:spacing w:after="160" w:line="390" w:lineRule="auto"/>
        <w:jc w:val="both"/>
      </w:pPr>
      <w:r>
        <w:t>上述问题直接影响“现场可重复演示”“证据可信”和“提交件与代码一致”。</w:t>
      </w:r>
    </w:p>
    <w:p w14:paraId="20880959">
      <w:pPr>
        <w:pStyle w:val="3"/>
        <w:keepNext/>
        <w:keepLines/>
      </w:pPr>
      <w:bookmarkStart w:id="23" w:name="_Toc20983"/>
      <w:r>
        <w:t>5.3 数据证据判断</w:t>
      </w:r>
      <w:bookmarkEnd w:id="23"/>
    </w:p>
    <w:p w14:paraId="53CA50CF">
      <w:pPr>
        <w:widowControl/>
        <w:spacing w:after="160" w:line="390" w:lineRule="auto"/>
        <w:jc w:val="both"/>
      </w:pPr>
      <w:r>
        <w:t>数据治理和来源记录是项目的明显优势。当前数据主要服务代理训练、软件链验证、三维解剖参考和临床变量探索。它们无法填补以下核心证据：</w:t>
      </w:r>
    </w:p>
    <w:p w14:paraId="46E0233A">
      <w:pPr>
        <w:pStyle w:val="21"/>
        <w:keepNext w:val="0"/>
        <w:widowControl/>
        <w:numPr>
          <w:ilvl w:val="0"/>
          <w:numId w:val="15"/>
        </w:numPr>
        <w:spacing w:after="90" w:line="360" w:lineRule="auto"/>
        <w:jc w:val="both"/>
      </w:pPr>
      <w:r>
        <w:t>颌骨骨髓炎术中同步白光/ICG 视频。</w:t>
      </w:r>
    </w:p>
    <w:p w14:paraId="06C51CE0">
      <w:pPr>
        <w:pStyle w:val="21"/>
        <w:keepNext w:val="0"/>
        <w:widowControl/>
        <w:numPr>
          <w:ilvl w:val="0"/>
          <w:numId w:val="15"/>
        </w:numPr>
        <w:spacing w:after="90" w:line="360" w:lineRule="auto"/>
        <w:jc w:val="both"/>
      </w:pPr>
      <w:r>
        <w:t>坏死骨、活性骨、炎症软组织与病理/培养对应标签。</w:t>
      </w:r>
    </w:p>
    <w:p w14:paraId="4B209397">
      <w:pPr>
        <w:pStyle w:val="21"/>
        <w:keepNext w:val="0"/>
        <w:widowControl/>
        <w:numPr>
          <w:ilvl w:val="0"/>
          <w:numId w:val="15"/>
        </w:numPr>
        <w:spacing w:after="90" w:line="360" w:lineRule="auto"/>
        <w:jc w:val="both"/>
      </w:pPr>
      <w:r>
        <w:t>可信医生像素级边界和双人一致性。</w:t>
      </w:r>
    </w:p>
    <w:p w14:paraId="6DB65D2D">
      <w:pPr>
        <w:pStyle w:val="21"/>
        <w:keepNext w:val="0"/>
        <w:widowControl/>
        <w:numPr>
          <w:ilvl w:val="0"/>
          <w:numId w:val="15"/>
        </w:numPr>
        <w:spacing w:after="90" w:line="360" w:lineRule="auto"/>
        <w:jc w:val="both"/>
      </w:pPr>
      <w:r>
        <w:t>新型探针在材料、细胞、组织或动物层面的原始实验数据。</w:t>
      </w:r>
    </w:p>
    <w:p w14:paraId="5B17C88F">
      <w:pPr>
        <w:pStyle w:val="21"/>
        <w:keepNext w:val="0"/>
        <w:widowControl/>
        <w:numPr>
          <w:ilvl w:val="0"/>
          <w:numId w:val="15"/>
        </w:numPr>
        <w:spacing w:after="90" w:line="360" w:lineRule="auto"/>
        <w:jc w:val="both"/>
      </w:pPr>
      <w:r>
        <w:t>科奥达设备全倍率、全工作距离和双通道同步实测。</w:t>
      </w:r>
    </w:p>
    <w:p w14:paraId="6F40E03B">
      <w:pPr>
        <w:pStyle w:val="2"/>
        <w:keepNext/>
        <w:keepLines/>
      </w:pPr>
      <w:bookmarkStart w:id="24" w:name="_Toc16583"/>
      <w:r>
        <w:t>6. 报告、答辩和提交件审查</w:t>
      </w:r>
      <w:bookmarkEnd w:id="24"/>
    </w:p>
    <w:p w14:paraId="07F70943">
      <w:pPr>
        <w:pStyle w:val="3"/>
        <w:keepNext/>
        <w:keepLines/>
      </w:pPr>
      <w:bookmarkStart w:id="25" w:name="_Toc18671"/>
      <w:r>
        <w:t>6.1 当前材料优点</w:t>
      </w:r>
      <w:bookmarkEnd w:id="25"/>
    </w:p>
    <w:p w14:paraId="1791CECE">
      <w:pPr>
        <w:pStyle w:val="21"/>
        <w:keepNext w:val="0"/>
        <w:widowControl/>
        <w:numPr>
          <w:ilvl w:val="0"/>
          <w:numId w:val="16"/>
        </w:numPr>
        <w:spacing w:after="90" w:line="360" w:lineRule="auto"/>
        <w:jc w:val="both"/>
      </w:pPr>
      <w:r>
        <w:t>27 页精简版信息密度适中，图表和配色整体专业。</w:t>
      </w:r>
    </w:p>
    <w:p w14:paraId="6E9693FF">
      <w:pPr>
        <w:pStyle w:val="21"/>
        <w:keepNext w:val="0"/>
        <w:widowControl/>
        <w:numPr>
          <w:ilvl w:val="0"/>
          <w:numId w:val="16"/>
        </w:numPr>
        <w:spacing w:after="90" w:line="360" w:lineRule="auto"/>
        <w:jc w:val="both"/>
      </w:pPr>
      <w:r>
        <w:t>127 页完整证据版可用于团队答辩准备与证据查询。</w:t>
      </w:r>
    </w:p>
    <w:p w14:paraId="73C47CA2">
      <w:pPr>
        <w:pStyle w:val="21"/>
        <w:keepNext w:val="0"/>
        <w:widowControl/>
        <w:numPr>
          <w:ilvl w:val="0"/>
          <w:numId w:val="16"/>
        </w:numPr>
        <w:spacing w:after="90" w:line="360" w:lineRule="auto"/>
        <w:jc w:val="both"/>
      </w:pPr>
      <w:r>
        <w:t>医学边界、非目标域声明和安全降级贯穿全文。</w:t>
      </w:r>
    </w:p>
    <w:p w14:paraId="0A8B1EC9">
      <w:pPr>
        <w:pStyle w:val="21"/>
        <w:keepNext w:val="0"/>
        <w:widowControl/>
        <w:numPr>
          <w:ilvl w:val="0"/>
          <w:numId w:val="16"/>
        </w:numPr>
        <w:spacing w:after="90" w:line="360" w:lineRule="auto"/>
        <w:jc w:val="both"/>
      </w:pPr>
      <w:r>
        <w:t>报告已覆盖三项赛题要求、系统架构、实验、工程、创新和路线图。</w:t>
      </w:r>
    </w:p>
    <w:p w14:paraId="76F9BD54">
      <w:pPr>
        <w:pStyle w:val="3"/>
        <w:keepNext/>
        <w:keepLines/>
      </w:pPr>
      <w:bookmarkStart w:id="26" w:name="_Toc23518"/>
      <w:r>
        <w:t>6.2 当前材料风险</w:t>
      </w:r>
      <w:bookmarkEnd w:id="26"/>
    </w:p>
    <w:p w14:paraId="389ADB77">
      <w:pPr>
        <w:pStyle w:val="21"/>
        <w:keepNext w:val="0"/>
        <w:widowControl/>
        <w:numPr>
          <w:ilvl w:val="0"/>
          <w:numId w:val="17"/>
        </w:numPr>
        <w:spacing w:after="90" w:line="360" w:lineRule="auto"/>
        <w:jc w:val="both"/>
      </w:pPr>
      <w:r>
        <w:t>27 页精简 PDF 第 2 页“文档导航”为空，呈现为明显的未更新目录。</w:t>
      </w:r>
    </w:p>
    <w:p w14:paraId="083DD73B">
      <w:pPr>
        <w:pStyle w:val="21"/>
        <w:keepNext w:val="0"/>
        <w:widowControl/>
        <w:numPr>
          <w:ilvl w:val="0"/>
          <w:numId w:val="17"/>
        </w:numPr>
        <w:spacing w:after="90" w:line="360" w:lineRule="auto"/>
        <w:jc w:val="both"/>
      </w:pPr>
      <w:r>
        <w:t xml:space="preserve">第 4 页出现 Markdown 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**关键词：**</w:t>
      </w:r>
      <w:r>
        <w:t xml:space="preserve"> 原始标记。</w:t>
      </w:r>
    </w:p>
    <w:p w14:paraId="4333C1B2">
      <w:pPr>
        <w:pStyle w:val="21"/>
        <w:keepNext w:val="0"/>
        <w:widowControl/>
        <w:numPr>
          <w:ilvl w:val="0"/>
          <w:numId w:val="17"/>
        </w:numPr>
        <w:spacing w:after="90" w:line="360" w:lineRule="auto"/>
        <w:jc w:val="both"/>
      </w:pPr>
      <w:r>
        <w:t>正式参考文献不足，结尾仅有少量证据说明，缺少作者、题目、期刊、年份、卷页、DOI/PMID 的完整列表。</w:t>
      </w:r>
    </w:p>
    <w:p w14:paraId="2EBB0AEB">
      <w:pPr>
        <w:pStyle w:val="21"/>
        <w:keepNext w:val="0"/>
        <w:widowControl/>
        <w:numPr>
          <w:ilvl w:val="0"/>
          <w:numId w:val="17"/>
        </w:numPr>
        <w:spacing w:after="90" w:line="360" w:lineRule="auto"/>
        <w:jc w:val="both"/>
      </w:pPr>
      <w:r>
        <w:t>造影剂章节篇幅与证据强度不足，且包含“后续可替换”措辞。</w:t>
      </w:r>
    </w:p>
    <w:p w14:paraId="0F35A84B">
      <w:pPr>
        <w:pStyle w:val="21"/>
        <w:keepNext w:val="0"/>
        <w:widowControl/>
        <w:numPr>
          <w:ilvl w:val="0"/>
          <w:numId w:val="17"/>
        </w:numPr>
        <w:spacing w:after="90" w:line="360" w:lineRule="auto"/>
        <w:jc w:val="both"/>
      </w:pPr>
      <w:r>
        <w:t>三维、患者条件、DICOM 和数据治理篇幅较大，赛题三项核心尤其造影剂和双通道 AI 被稀释。</w:t>
      </w:r>
    </w:p>
    <w:p w14:paraId="33A3E16C">
      <w:pPr>
        <w:pStyle w:val="21"/>
        <w:keepNext w:val="0"/>
        <w:widowControl/>
        <w:numPr>
          <w:ilvl w:val="0"/>
          <w:numId w:val="17"/>
        </w:numPr>
        <w:spacing w:after="90" w:line="360" w:lineRule="auto"/>
        <w:jc w:val="both"/>
      </w:pPr>
      <w:r>
        <w:t>报告版本为 2026-07-22，当前代码和 README 已继续变化，截图、测试数、路径和状态需要重建。</w:t>
      </w:r>
    </w:p>
    <w:p w14:paraId="1B4018EA">
      <w:pPr>
        <w:pStyle w:val="21"/>
        <w:keepNext w:val="0"/>
        <w:widowControl/>
        <w:numPr>
          <w:ilvl w:val="0"/>
          <w:numId w:val="17"/>
        </w:numPr>
        <w:spacing w:after="90" w:line="360" w:lineRule="auto"/>
        <w:jc w:val="both"/>
      </w:pPr>
      <w:r>
        <w:t>127 页完整证据版不适合作为主提交件，评委难以在短时间抓住主线。</w:t>
      </w:r>
    </w:p>
    <w:p w14:paraId="4D8E7BA6">
      <w:pPr>
        <w:pStyle w:val="21"/>
        <w:keepNext w:val="0"/>
        <w:widowControl/>
        <w:numPr>
          <w:ilvl w:val="0"/>
          <w:numId w:val="17"/>
        </w:numPr>
        <w:spacing w:after="90" w:line="360" w:lineRule="auto"/>
        <w:jc w:val="both"/>
      </w:pPr>
      <w:r>
        <w:t>目前没有最终提交 ZIP，也未在仓库内发现审核通过且盖章的报名表。</w:t>
      </w:r>
    </w:p>
    <w:p w14:paraId="79A2846D">
      <w:pPr>
        <w:pStyle w:val="21"/>
        <w:keepNext w:val="0"/>
        <w:widowControl/>
        <w:numPr>
          <w:ilvl w:val="0"/>
          <w:numId w:val="17"/>
        </w:numPr>
        <w:spacing w:after="90" w:line="360" w:lineRule="auto"/>
        <w:jc w:val="both"/>
      </w:pPr>
      <w:r>
        <w:t>未见最终文件命名、压缩包目录、SHA256、邮件主题、收件确认和备用提交记录。</w:t>
      </w:r>
    </w:p>
    <w:p w14:paraId="4E01845E">
      <w:pPr>
        <w:pStyle w:val="3"/>
        <w:keepNext/>
        <w:keepLines/>
      </w:pPr>
      <w:bookmarkStart w:id="27" w:name="_Toc25932"/>
      <w:r>
        <w:t>6.3 主提交件建议结构</w:t>
      </w:r>
      <w:bookmarkEnd w:id="27"/>
    </w:p>
    <w:p w14:paraId="7BC37709">
      <w:pPr>
        <w:widowControl/>
        <w:spacing w:after="160" w:line="390" w:lineRule="auto"/>
        <w:jc w:val="both"/>
      </w:pPr>
      <w:r>
        <w:t>建议主报告控制在 28-35 页，正文围绕评分项和三项核心任务：</w:t>
      </w:r>
    </w:p>
    <w:p w14:paraId="2639FBCB">
      <w:pPr>
        <w:pStyle w:val="21"/>
        <w:keepNext w:val="0"/>
        <w:widowControl/>
        <w:numPr>
          <w:ilvl w:val="0"/>
          <w:numId w:val="18"/>
        </w:numPr>
        <w:spacing w:after="90" w:line="360" w:lineRule="auto"/>
        <w:jc w:val="both"/>
      </w:pPr>
      <w:r>
        <w:t>摘要与一页总方案。</w:t>
      </w:r>
    </w:p>
    <w:p w14:paraId="3D0703AC">
      <w:pPr>
        <w:pStyle w:val="21"/>
        <w:keepNext w:val="0"/>
        <w:widowControl/>
        <w:numPr>
          <w:ilvl w:val="0"/>
          <w:numId w:val="18"/>
        </w:numPr>
        <w:spacing w:after="90" w:line="360" w:lineRule="auto"/>
        <w:jc w:val="both"/>
      </w:pPr>
      <w:r>
        <w:t>临床问题、赛题对应和公司设备边界。</w:t>
      </w:r>
    </w:p>
    <w:p w14:paraId="79B9F20A">
      <w:pPr>
        <w:pStyle w:val="21"/>
        <w:keepNext w:val="0"/>
        <w:widowControl/>
        <w:numPr>
          <w:ilvl w:val="0"/>
          <w:numId w:val="18"/>
        </w:numPr>
        <w:spacing w:after="90" w:line="360" w:lineRule="auto"/>
        <w:jc w:val="both"/>
      </w:pPr>
      <w:r>
        <w:t>新型造影剂确定方案与 A0-A4 验证。</w:t>
      </w:r>
    </w:p>
    <w:p w14:paraId="6A10CD18">
      <w:pPr>
        <w:pStyle w:val="21"/>
        <w:keepNext w:val="0"/>
        <w:widowControl/>
        <w:numPr>
          <w:ilvl w:val="0"/>
          <w:numId w:val="18"/>
        </w:numPr>
        <w:spacing w:after="90" w:line="360" w:lineRule="auto"/>
        <w:jc w:val="both"/>
      </w:pPr>
      <w:r>
        <w:t>4K 白光/荧光配准融合与实时分级。</w:t>
      </w:r>
    </w:p>
    <w:p w14:paraId="29EE00B1">
      <w:pPr>
        <w:pStyle w:val="21"/>
        <w:keepNext w:val="0"/>
        <w:widowControl/>
        <w:numPr>
          <w:ilvl w:val="0"/>
          <w:numId w:val="18"/>
        </w:numPr>
        <w:spacing w:after="90" w:line="360" w:lineRule="auto"/>
        <w:jc w:val="both"/>
      </w:pPr>
      <w:r>
        <w:t>AI 候选、风险、不确定性和医生复核。</w:t>
      </w:r>
    </w:p>
    <w:p w14:paraId="7028166D">
      <w:pPr>
        <w:pStyle w:val="21"/>
        <w:keepNext w:val="0"/>
        <w:widowControl/>
        <w:numPr>
          <w:ilvl w:val="0"/>
          <w:numId w:val="18"/>
        </w:numPr>
        <w:spacing w:after="90" w:line="360" w:lineRule="auto"/>
        <w:jc w:val="both"/>
      </w:pPr>
      <w:r>
        <w:t>工程验证结果、失败案例与安全降级。</w:t>
      </w:r>
    </w:p>
    <w:p w14:paraId="59CBBA35">
      <w:pPr>
        <w:pStyle w:val="21"/>
        <w:keepNext w:val="0"/>
        <w:widowControl/>
        <w:numPr>
          <w:ilvl w:val="0"/>
          <w:numId w:val="18"/>
        </w:numPr>
        <w:spacing w:after="90" w:line="360" w:lineRule="auto"/>
        <w:jc w:val="both"/>
      </w:pPr>
      <w:r>
        <w:t>创新性、科学合理性、可行性、应用价值和完整性逐项自证。</w:t>
      </w:r>
    </w:p>
    <w:p w14:paraId="3FD41317">
      <w:pPr>
        <w:pStyle w:val="21"/>
        <w:keepNext w:val="0"/>
        <w:widowControl/>
        <w:numPr>
          <w:ilvl w:val="0"/>
          <w:numId w:val="18"/>
        </w:numPr>
        <w:spacing w:after="90" w:line="360" w:lineRule="auto"/>
        <w:jc w:val="both"/>
      </w:pPr>
      <w:r>
        <w:t>实施计划、团队分工、知识产权、合规与产业协同。</w:t>
      </w:r>
    </w:p>
    <w:p w14:paraId="56E261C9">
      <w:pPr>
        <w:pStyle w:val="21"/>
        <w:keepNext w:val="0"/>
        <w:widowControl/>
        <w:numPr>
          <w:ilvl w:val="0"/>
          <w:numId w:val="18"/>
        </w:numPr>
        <w:spacing w:after="90" w:line="360" w:lineRule="auto"/>
        <w:jc w:val="both"/>
      </w:pPr>
      <w:r>
        <w:t>正式参考文献。</w:t>
      </w:r>
    </w:p>
    <w:p w14:paraId="6F7A6CC8">
      <w:pPr>
        <w:widowControl/>
        <w:spacing w:after="160" w:line="390" w:lineRule="auto"/>
        <w:jc w:val="both"/>
      </w:pPr>
      <w:r>
        <w:t>三维、患者条件、DICOM、远程协作和大规模数据治理放入“平台扩展与工程底座”一节或附录。</w:t>
      </w:r>
    </w:p>
    <w:p w14:paraId="40805417">
      <w:pPr>
        <w:pStyle w:val="2"/>
        <w:keepNext/>
        <w:keepLines/>
      </w:pPr>
      <w:bookmarkStart w:id="28" w:name="_Toc29948"/>
      <w:r>
        <w:t>7. 发榜方可能追问的十个问题</w:t>
      </w:r>
      <w:bookmarkEnd w:id="28"/>
    </w:p>
    <w:p w14:paraId="546EB014">
      <w:pPr>
        <w:pStyle w:val="21"/>
        <w:keepNext w:val="0"/>
        <w:widowControl/>
        <w:numPr>
          <w:ilvl w:val="0"/>
          <w:numId w:val="19"/>
        </w:numPr>
        <w:spacing w:after="90" w:line="360" w:lineRule="auto"/>
        <w:jc w:val="both"/>
      </w:pPr>
      <w:r>
        <w:t>你们所谓“新型造影剂”具体是哪一个分子，结构、靶点和合成路线是什么？</w:t>
      </w:r>
    </w:p>
    <w:p w14:paraId="31D73184">
      <w:pPr>
        <w:pStyle w:val="21"/>
        <w:keepNext w:val="0"/>
        <w:widowControl/>
        <w:numPr>
          <w:ilvl w:val="0"/>
          <w:numId w:val="19"/>
        </w:numPr>
        <w:spacing w:after="90" w:line="360" w:lineRule="auto"/>
        <w:jc w:val="both"/>
      </w:pPr>
      <w:r>
        <w:t>该探针识别感染、坏死、骨矿化或灌注中的哪一项？如何排除炎症充血和无菌坏死？</w:t>
      </w:r>
    </w:p>
    <w:p w14:paraId="31D092E6">
      <w:pPr>
        <w:pStyle w:val="21"/>
        <w:keepNext w:val="0"/>
        <w:widowControl/>
        <w:numPr>
          <w:ilvl w:val="0"/>
          <w:numId w:val="19"/>
        </w:numPr>
        <w:spacing w:after="90" w:line="360" w:lineRule="auto"/>
        <w:jc w:val="both"/>
      </w:pPr>
      <w:r>
        <w:t>它为什么适配现有显微镜？现有设备需要增加哪些光源、探测器、滤光片和安全控制？</w:t>
      </w:r>
    </w:p>
    <w:p w14:paraId="539CDB2F">
      <w:pPr>
        <w:pStyle w:val="21"/>
        <w:keepNext w:val="0"/>
        <w:widowControl/>
        <w:numPr>
          <w:ilvl w:val="0"/>
          <w:numId w:val="19"/>
        </w:numPr>
        <w:spacing w:after="90" w:line="360" w:lineRule="auto"/>
        <w:jc w:val="both"/>
      </w:pPr>
      <w:r>
        <w:t>报告里的数据哪些是团队实测，哪些来自文献，哪些来自代理或仿真？</w:t>
      </w:r>
    </w:p>
    <w:p w14:paraId="6820DDB1">
      <w:pPr>
        <w:pStyle w:val="21"/>
        <w:keepNext w:val="0"/>
        <w:widowControl/>
        <w:numPr>
          <w:ilvl w:val="0"/>
          <w:numId w:val="19"/>
        </w:numPr>
        <w:spacing w:after="90" w:line="360" w:lineRule="auto"/>
        <w:jc w:val="both"/>
      </w:pPr>
      <w:r>
        <w:t>真实颌骨骨髓炎目标域样本为 0 时，AI 如何证明可迁移？</w:t>
      </w:r>
    </w:p>
    <w:p w14:paraId="6A18A7A3">
      <w:pPr>
        <w:pStyle w:val="21"/>
        <w:keepNext w:val="0"/>
        <w:widowControl/>
        <w:numPr>
          <w:ilvl w:val="0"/>
          <w:numId w:val="19"/>
        </w:numPr>
        <w:spacing w:after="90" w:line="360" w:lineRule="auto"/>
        <w:jc w:val="both"/>
      </w:pPr>
      <w:r>
        <w:t>当前 AI 实际使用白光与荧光双通道，还是只处理一个 RGB 关键帧？</w:t>
      </w:r>
    </w:p>
    <w:p w14:paraId="0DAA45C6">
      <w:pPr>
        <w:pStyle w:val="21"/>
        <w:keepNext w:val="0"/>
        <w:widowControl/>
        <w:numPr>
          <w:ilvl w:val="0"/>
          <w:numId w:val="19"/>
        </w:numPr>
        <w:spacing w:after="90" w:line="360" w:lineRule="auto"/>
        <w:jc w:val="both"/>
      </w:pPr>
      <w:r>
        <w:t>5.78 s 与 176 ms 分别代表什么？采集、传输和显示是否计入？</w:t>
      </w:r>
    </w:p>
    <w:p w14:paraId="5D977641">
      <w:pPr>
        <w:pStyle w:val="21"/>
        <w:keepNext w:val="0"/>
        <w:widowControl/>
        <w:numPr>
          <w:ilvl w:val="0"/>
          <w:numId w:val="19"/>
        </w:numPr>
        <w:spacing w:after="90" w:line="360" w:lineRule="auto"/>
        <w:jc w:val="both"/>
      </w:pPr>
      <w:r>
        <w:t>组织变形、烟雾、器械遮挡、倍率变化时，平移配准为什么仍可信？</w:t>
      </w:r>
    </w:p>
    <w:p w14:paraId="668B352E">
      <w:pPr>
        <w:pStyle w:val="21"/>
        <w:keepNext w:val="0"/>
        <w:widowControl/>
        <w:numPr>
          <w:ilvl w:val="0"/>
          <w:numId w:val="19"/>
        </w:numPr>
        <w:spacing w:after="90" w:line="360" w:lineRule="auto"/>
        <w:jc w:val="both"/>
      </w:pPr>
      <w:r>
        <w:t>现场没有网络、没有医院数据、三维模型缺失或 GPU 异常时，软件如何完成演示？</w:t>
      </w:r>
    </w:p>
    <w:p w14:paraId="03E5D83F">
      <w:pPr>
        <w:pStyle w:val="21"/>
        <w:keepNext w:val="0"/>
        <w:widowControl/>
        <w:numPr>
          <w:ilvl w:val="0"/>
          <w:numId w:val="19"/>
        </w:numPr>
        <w:spacing w:after="90" w:line="360" w:lineRule="auto"/>
        <w:jc w:val="both"/>
      </w:pPr>
      <w:r>
        <w:t>平台如何进入科奥达产品体系，设备方、医院和项目团队分别承担什么责任？</w:t>
      </w:r>
    </w:p>
    <w:p w14:paraId="23845549">
      <w:pPr>
        <w:widowControl/>
        <w:spacing w:after="160" w:line="390" w:lineRule="auto"/>
        <w:jc w:val="both"/>
      </w:pPr>
      <w:r>
        <w:t>答辩材料需要为每个问题准备一页备份证据或一段 30 秒内可复述的回答。</w:t>
      </w:r>
    </w:p>
    <w:p w14:paraId="255F6AF7">
      <w:pPr>
        <w:pStyle w:val="2"/>
        <w:keepNext/>
        <w:keepLines/>
      </w:pPr>
      <w:bookmarkStart w:id="29" w:name="_Toc10737"/>
      <w:r>
        <w:t>8. 7 月 30 日前的硬优先级</w:t>
      </w:r>
      <w:bookmarkEnd w:id="29"/>
    </w:p>
    <w:p w14:paraId="36ED4B4E">
      <w:pPr>
        <w:pStyle w:val="3"/>
        <w:keepNext/>
        <w:keepLines/>
      </w:pPr>
      <w:bookmarkStart w:id="30" w:name="_Toc26421"/>
      <w:r>
        <w:t>P0：提交前必须清零</w:t>
      </w:r>
      <w:bookmarkEnd w:id="30"/>
    </w:p>
    <w:p w14:paraId="2544624A">
      <w:pPr>
        <w:pStyle w:val="21"/>
        <w:keepNext w:val="0"/>
        <w:widowControl/>
        <w:numPr>
          <w:ilvl w:val="0"/>
          <w:numId w:val="20"/>
        </w:numPr>
        <w:spacing w:after="90" w:line="360" w:lineRule="auto"/>
        <w:jc w:val="both"/>
      </w:pPr>
      <w:r>
        <w:t>冻结一个确定的新探针主方案，补齐结构、靶点、合成、光谱、设备适配、对照、阈值和风险。</w:t>
      </w:r>
    </w:p>
    <w:p w14:paraId="5DE5B6EE">
      <w:pPr>
        <w:pStyle w:val="21"/>
        <w:keepNext w:val="0"/>
        <w:widowControl/>
        <w:numPr>
          <w:ilvl w:val="0"/>
          <w:numId w:val="20"/>
        </w:numPr>
        <w:spacing w:after="90" w:line="360" w:lineRule="auto"/>
        <w:jc w:val="both"/>
      </w:pPr>
      <w:r>
        <w:t>删除或降级所有无来源 NIR-II 数字、临床效果和 100 ms 达标暗示。</w:t>
      </w:r>
    </w:p>
    <w:p w14:paraId="35BD8363">
      <w:pPr>
        <w:pStyle w:val="21"/>
        <w:keepNext w:val="0"/>
        <w:widowControl/>
        <w:numPr>
          <w:ilvl w:val="0"/>
          <w:numId w:val="20"/>
        </w:numPr>
        <w:spacing w:after="90" w:line="360" w:lineRule="auto"/>
        <w:jc w:val="both"/>
      </w:pPr>
      <w:r>
        <w:t>修复 Playwright 后端入口、6 个 mypy 错误和严格演示下 D024 三维资产缺失。</w:t>
      </w:r>
    </w:p>
    <w:p w14:paraId="1018D305">
      <w:pPr>
        <w:pStyle w:val="21"/>
        <w:keepNext w:val="0"/>
        <w:widowControl/>
        <w:numPr>
          <w:ilvl w:val="0"/>
          <w:numId w:val="20"/>
        </w:numPr>
        <w:spacing w:after="90" w:line="360" w:lineRule="auto"/>
        <w:jc w:val="both"/>
      </w:pPr>
      <w:r>
        <w:t>用当前提交重新跑全质量门、严格启动、4K 比赛流、现场演示和导出。</w:t>
      </w:r>
    </w:p>
    <w:p w14:paraId="46932C22">
      <w:pPr>
        <w:pStyle w:val="21"/>
        <w:keepNext w:val="0"/>
        <w:widowControl/>
        <w:numPr>
          <w:ilvl w:val="0"/>
          <w:numId w:val="20"/>
        </w:numPr>
        <w:spacing w:after="90" w:line="360" w:lineRule="auto"/>
        <w:jc w:val="both"/>
      </w:pPr>
      <w:r>
        <w:t>重建精简 DOCX/PDF，更新目录，清除 Markdown 标记，逐页目视校验。</w:t>
      </w:r>
    </w:p>
    <w:p w14:paraId="3FE26E88">
      <w:pPr>
        <w:pStyle w:val="21"/>
        <w:keepNext w:val="0"/>
        <w:widowControl/>
        <w:numPr>
          <w:ilvl w:val="0"/>
          <w:numId w:val="20"/>
        </w:numPr>
        <w:spacing w:after="90" w:line="360" w:lineRule="auto"/>
        <w:jc w:val="both"/>
      </w:pPr>
      <w:r>
        <w:t>建立完整参考文献表，核对正文每个定量结论的来源。</w:t>
      </w:r>
    </w:p>
    <w:p w14:paraId="279C8555">
      <w:pPr>
        <w:pStyle w:val="21"/>
        <w:keepNext w:val="0"/>
        <w:widowControl/>
        <w:numPr>
          <w:ilvl w:val="0"/>
          <w:numId w:val="20"/>
        </w:numPr>
        <w:spacing w:after="90" w:line="360" w:lineRule="auto"/>
        <w:jc w:val="both"/>
      </w:pPr>
      <w:r>
        <w:t>更新 evidence manifest 和证据索引到最终 Git 提交，移除迁移前路径与状态冲突。</w:t>
      </w:r>
    </w:p>
    <w:p w14:paraId="6DE47035">
      <w:pPr>
        <w:pStyle w:val="21"/>
        <w:keepNext w:val="0"/>
        <w:widowControl/>
        <w:numPr>
          <w:ilvl w:val="0"/>
          <w:numId w:val="20"/>
        </w:numPr>
        <w:spacing w:after="90" w:line="360" w:lineRule="auto"/>
        <w:jc w:val="both"/>
      </w:pPr>
      <w:r>
        <w:t>准备审核通过且盖章的报名表。</w:t>
      </w:r>
    </w:p>
    <w:p w14:paraId="5BE22C2A">
      <w:pPr>
        <w:pStyle w:val="21"/>
        <w:keepNext w:val="0"/>
        <w:widowControl/>
        <w:numPr>
          <w:ilvl w:val="0"/>
          <w:numId w:val="20"/>
        </w:numPr>
        <w:spacing w:after="90" w:line="360" w:lineRule="auto"/>
        <w:jc w:val="both"/>
      </w:pPr>
      <w:r>
        <w:t>生成最终 ZIP，内含 Word、PDF 和报名表，核对文件可打开、大小、命名与 SHA256。</w:t>
      </w:r>
    </w:p>
    <w:p w14:paraId="2543B2D9">
      <w:pPr>
        <w:pStyle w:val="21"/>
        <w:keepNext w:val="0"/>
        <w:widowControl/>
        <w:numPr>
          <w:ilvl w:val="0"/>
          <w:numId w:val="20"/>
        </w:numPr>
        <w:spacing w:after="90" w:line="360" w:lineRule="auto"/>
        <w:jc w:val="both"/>
      </w:pPr>
      <w:r>
        <w:t xml:space="preserve">提前发送至 </w:t>
      </w:r>
      <w:r>
        <w:rPr>
          <w:rFonts w:ascii="Consolas" w:hAnsi="Consolas" w:eastAsia="微软雅黑" w:cs="Consolas"/>
          <w:color w:val="294850"/>
          <w:sz w:val="19"/>
          <w:szCs w:val="19"/>
          <w:shd w:val="clear" w:fill="EEF3F4"/>
        </w:rPr>
        <w:t>zxw@cdcorder.com</w:t>
      </w:r>
      <w:r>
        <w:t>，取得送达或收件确认。</w:t>
      </w:r>
    </w:p>
    <w:p w14:paraId="11469ECB">
      <w:pPr>
        <w:pStyle w:val="3"/>
        <w:keepNext/>
        <w:keepLines/>
      </w:pPr>
      <w:bookmarkStart w:id="31" w:name="_Toc17008"/>
      <w:r>
        <w:t>P1：显著提高得分</w:t>
      </w:r>
      <w:bookmarkEnd w:id="31"/>
    </w:p>
    <w:p w14:paraId="2FF2ADC5">
      <w:pPr>
        <w:pStyle w:val="21"/>
        <w:keepNext w:val="0"/>
        <w:widowControl/>
        <w:numPr>
          <w:ilvl w:val="0"/>
          <w:numId w:val="21"/>
        </w:numPr>
        <w:spacing w:after="90" w:line="360" w:lineRule="auto"/>
        <w:jc w:val="both"/>
      </w:pPr>
      <w:r>
        <w:t>补一张新探针结构与光谱示意、一张显微镜改造/适配图、一张 A0-A4 验证矩阵。</w:t>
      </w:r>
    </w:p>
    <w:p w14:paraId="6FE28CB2">
      <w:pPr>
        <w:pStyle w:val="21"/>
        <w:keepNext w:val="0"/>
        <w:widowControl/>
        <w:numPr>
          <w:ilvl w:val="0"/>
          <w:numId w:val="21"/>
        </w:numPr>
        <w:spacing w:after="90" w:line="360" w:lineRule="auto"/>
        <w:jc w:val="both"/>
      </w:pPr>
      <w:r>
        <w:t>补一张配准失效案例与降级图，避免只展示成功样例。</w:t>
      </w:r>
    </w:p>
    <w:p w14:paraId="567EC0A2">
      <w:pPr>
        <w:pStyle w:val="21"/>
        <w:keepNext w:val="0"/>
        <w:widowControl/>
        <w:numPr>
          <w:ilvl w:val="0"/>
          <w:numId w:val="21"/>
        </w:numPr>
        <w:spacing w:after="90" w:line="360" w:lineRule="auto"/>
        <w:jc w:val="both"/>
      </w:pPr>
      <w:r>
        <w:t>补一张 AI 真正输入、真实输出和禁止解释的语义表。</w:t>
      </w:r>
    </w:p>
    <w:p w14:paraId="6C1EE075">
      <w:pPr>
        <w:pStyle w:val="21"/>
        <w:keepNext w:val="0"/>
        <w:widowControl/>
        <w:numPr>
          <w:ilvl w:val="0"/>
          <w:numId w:val="21"/>
        </w:numPr>
        <w:spacing w:after="90" w:line="360" w:lineRule="auto"/>
        <w:jc w:val="both"/>
      </w:pPr>
      <w:r>
        <w:t>完成 3-5 名临床或荧光成像专家的结构化可用性评审记录。</w:t>
      </w:r>
    </w:p>
    <w:p w14:paraId="50426AC8">
      <w:pPr>
        <w:pStyle w:val="21"/>
        <w:keepNext w:val="0"/>
        <w:widowControl/>
        <w:numPr>
          <w:ilvl w:val="0"/>
          <w:numId w:val="21"/>
        </w:numPr>
        <w:spacing w:after="90" w:line="360" w:lineRule="auto"/>
        <w:jc w:val="both"/>
      </w:pPr>
      <w:r>
        <w:t>准备 3 分钟主演示、5 分钟完整演示和无 GPU 录屏备份。</w:t>
      </w:r>
    </w:p>
    <w:p w14:paraId="1D52E994">
      <w:pPr>
        <w:pStyle w:val="21"/>
        <w:keepNext w:val="0"/>
        <w:widowControl/>
        <w:numPr>
          <w:ilvl w:val="0"/>
          <w:numId w:val="21"/>
        </w:numPr>
        <w:spacing w:after="90" w:line="360" w:lineRule="auto"/>
        <w:jc w:val="both"/>
      </w:pPr>
      <w:r>
        <w:t>向赛题专班确认 NIR-II 是否为初审偏好、湿实验数据的最低要求、页数与文件命名限制。</w:t>
      </w:r>
    </w:p>
    <w:p w14:paraId="11DBD484">
      <w:pPr>
        <w:pStyle w:val="3"/>
        <w:keepNext/>
        <w:keepLines/>
      </w:pPr>
      <w:bookmarkStart w:id="32" w:name="_Toc16731"/>
      <w:r>
        <w:t>P2：截止后再推进</w:t>
      </w:r>
      <w:bookmarkEnd w:id="32"/>
    </w:p>
    <w:p w14:paraId="2CD0878F">
      <w:pPr>
        <w:pStyle w:val="21"/>
        <w:keepNext w:val="0"/>
        <w:widowControl/>
        <w:numPr>
          <w:ilvl w:val="0"/>
          <w:numId w:val="22"/>
        </w:numPr>
        <w:spacing w:after="90" w:line="360" w:lineRule="auto"/>
        <w:jc w:val="both"/>
      </w:pPr>
      <w:r>
        <w:t>患者条件分割的空间调制解锁。</w:t>
      </w:r>
    </w:p>
    <w:p w14:paraId="326B27BB">
      <w:pPr>
        <w:pStyle w:val="21"/>
        <w:keepNext w:val="0"/>
        <w:widowControl/>
        <w:numPr>
          <w:ilvl w:val="0"/>
          <w:numId w:val="22"/>
        </w:numPr>
        <w:spacing w:after="90" w:line="360" w:lineRule="auto"/>
        <w:jc w:val="both"/>
      </w:pPr>
      <w:r>
        <w:t>更多代理模型架构与小幅 Dice 优化。</w:t>
      </w:r>
    </w:p>
    <w:p w14:paraId="56D761D5">
      <w:pPr>
        <w:pStyle w:val="21"/>
        <w:keepNext w:val="0"/>
        <w:widowControl/>
        <w:numPr>
          <w:ilvl w:val="0"/>
          <w:numId w:val="22"/>
        </w:numPr>
        <w:spacing w:after="90" w:line="360" w:lineRule="auto"/>
        <w:jc w:val="both"/>
      </w:pPr>
      <w:r>
        <w:t>DICOM 扩展、远程协作与附加导出格式。</w:t>
      </w:r>
    </w:p>
    <w:p w14:paraId="06546444">
      <w:pPr>
        <w:pStyle w:val="21"/>
        <w:keepNext w:val="0"/>
        <w:widowControl/>
        <w:numPr>
          <w:ilvl w:val="0"/>
          <w:numId w:val="22"/>
        </w:numPr>
        <w:spacing w:after="90" w:line="360" w:lineRule="auto"/>
        <w:jc w:val="both"/>
      </w:pPr>
      <w:r>
        <w:t>L3 真实术中导航、复杂三维规划和更多三维交互。</w:t>
      </w:r>
    </w:p>
    <w:p w14:paraId="54E89752">
      <w:pPr>
        <w:pStyle w:val="21"/>
        <w:keepNext w:val="0"/>
        <w:widowControl/>
        <w:numPr>
          <w:ilvl w:val="0"/>
          <w:numId w:val="22"/>
        </w:numPr>
        <w:spacing w:after="90" w:line="360" w:lineRule="auto"/>
        <w:jc w:val="both"/>
      </w:pPr>
      <w:r>
        <w:t>大规模公开异域数据继续扩充。</w:t>
      </w:r>
    </w:p>
    <w:p w14:paraId="45B01AE8">
      <w:pPr>
        <w:pStyle w:val="2"/>
        <w:keepNext/>
        <w:keepLines/>
      </w:pPr>
      <w:bookmarkStart w:id="33" w:name="_Toc30135"/>
      <w:r>
        <w:t>9. 逐日收口建议</w:t>
      </w:r>
      <w:bookmarkEnd w:id="33"/>
    </w:p>
    <w:tbl>
      <w:tblPr>
        <w:tblStyle w:val="16"/>
        <w:tblW w:w="8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59"/>
        <w:gridCol w:w="2959"/>
        <w:gridCol w:w="2961"/>
      </w:tblGrid>
      <w:tr w14:paraId="75864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0B6B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728167">
            <w:pPr>
              <w:spacing w:after="0" w:line="32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日期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0B6B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2C7512">
            <w:pPr>
              <w:spacing w:after="0" w:line="32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交付物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0B6B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4F41EF">
            <w:pPr>
              <w:spacing w:after="0" w:line="32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验收条件</w:t>
            </w:r>
          </w:p>
        </w:tc>
      </w:tr>
      <w:tr w14:paraId="3F8AB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4507AC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7 月 24 日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2F826C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决定主探针、审查结论和最终报告目录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150C4C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团队确认唯一主线与禁止声称清单</w:t>
            </w:r>
          </w:p>
        </w:tc>
      </w:tr>
      <w:tr w14:paraId="66A1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EDDA13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7 月 25 日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E15887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造影剂确定方案、结构图、光谱图、A0-A4 表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BF0CBD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每个数字有来源，每个实验有对照和停止条件</w:t>
            </w:r>
          </w:p>
        </w:tc>
      </w:tr>
      <w:tr w14:paraId="6EBA1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A82B66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7 月 26 日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0623AB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软件 P0 修复、严格演示资产、全质量门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C44FA7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E2E、mypy、pytest、构建、4K 比赛流全部通过</w:t>
            </w:r>
          </w:p>
        </w:tc>
      </w:tr>
      <w:tr w14:paraId="6482F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71364A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7 月 27 日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B01F3B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主报告源稿、正式参考文献、评分自证表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BE8B47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三项核心任务篇幅均衡，无待替换文本</w:t>
            </w:r>
          </w:p>
        </w:tc>
      </w:tr>
      <w:tr w14:paraId="39E9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6BA193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7 月 28 日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DC03DE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DOCX/PDF、逐页 QA、现场演示与录屏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9DD7C8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目录、图号、页码、引用、截图和指标一致</w:t>
            </w:r>
          </w:p>
        </w:tc>
      </w:tr>
      <w:tr w14:paraId="4638C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E897BC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7 月 29 日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260915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最终 Git/tag、证据索引、ZIP、报名表、邮件草稿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4F8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9AD03D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SHA256 固定，换机可打开，离线可演示</w:t>
            </w:r>
          </w:p>
        </w:tc>
      </w:tr>
      <w:tr w14:paraId="56A7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01AC44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7 月 30 日前</w:t>
            </w:r>
          </w:p>
        </w:tc>
        <w:tc>
          <w:tcPr>
            <w:tcW w:w="2959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BFCD66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正式发送并确认</w:t>
            </w:r>
          </w:p>
        </w:tc>
        <w:tc>
          <w:tcPr>
            <w:tcW w:w="2961" w:type="dxa"/>
            <w:tcBorders>
              <w:top w:val="single" w:color="B9C9CC" w:sz="2" w:space="0"/>
              <w:left w:val="single" w:color="B9C9CC" w:sz="2" w:space="0"/>
              <w:bottom w:val="single" w:color="B9C9CC" w:sz="2" w:space="0"/>
              <w:right w:val="single" w:color="B9C9CC" w:sz="2" w:space="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570DC3">
            <w:pPr>
              <w:spacing w:after="0" w:line="320" w:lineRule="auto"/>
              <w:jc w:val="left"/>
            </w:pPr>
            <w:r>
              <w:rPr>
                <w:b w:val="0"/>
                <w:bCs w:val="0"/>
                <w:color w:val="18323A"/>
                <w:sz w:val="18"/>
                <w:szCs w:val="18"/>
              </w:rPr>
              <w:t>邮件送达、附件完整、保留发送与收件证据</w:t>
            </w:r>
          </w:p>
        </w:tc>
      </w:tr>
    </w:tbl>
    <w:p w14:paraId="12313D58">
      <w:pPr>
        <w:spacing w:after="100"/>
      </w:pPr>
    </w:p>
    <w:p w14:paraId="781EF4CC">
      <w:pPr>
        <w:pStyle w:val="2"/>
        <w:keepNext/>
        <w:keepLines/>
      </w:pPr>
      <w:bookmarkStart w:id="34" w:name="_Toc23678"/>
      <w:r>
        <w:t>10. 最终结论</w:t>
      </w:r>
      <w:bookmarkEnd w:id="34"/>
    </w:p>
    <w:p w14:paraId="0B32AEDE">
      <w:pPr>
        <w:widowControl/>
        <w:spacing w:after="160" w:line="390" w:lineRule="auto"/>
        <w:jc w:val="both"/>
      </w:pPr>
      <w:r>
        <w:t>项目已经拥有较成熟的软件平台、严格运行、4K 文件工作流、医生复核和证据导出能力。这部分明显超过常规概念方案，能够支撑可行性、应用价值和工程完整性。</w:t>
      </w:r>
    </w:p>
    <w:p w14:paraId="58C6E5FF">
      <w:pPr>
        <w:widowControl/>
        <w:spacing w:after="160" w:line="390" w:lineRule="auto"/>
        <w:jc w:val="both"/>
      </w:pPr>
      <w:r>
        <w:t>当前最大差距集中在新型荧光造影剂。现有内容具备文献与实验计划基础，尚缺少可以让科奥达光学、药学和临床评委共同评审的确定分子与验证闭环。第二个高风险是 AI 的目标域语义，当前主线只能证明荧光代理信号分割的工程能力。第三个高风险是提交冻结，现行 E2E、mypy、三维演示资产、证据索引、报告格式和最终 ZIP 仍有明确问题。</w:t>
      </w:r>
    </w:p>
    <w:p w14:paraId="27C2276E">
      <w:pPr>
        <w:widowControl/>
        <w:spacing w:after="160" w:line="390" w:lineRule="auto"/>
        <w:jc w:val="both"/>
      </w:pPr>
      <w:r>
        <w:t>截止前应停止扩张次要功能，把团队资源集中到“确定探针方案、双通道融合证据、AI 语义收口、全质量门、报告与提交包”五件事。完成 P0 后，项目可以形成一套边界清楚、软件可信、方案完整且可被科奥达继续联合验证的参赛作品。</w:t>
      </w:r>
    </w:p>
    <w:sectPr>
      <w:headerReference r:id="rId12" w:type="default"/>
      <w:footerReference r:id="rId13" w:type="default"/>
      <w:pgSz w:w="11906" w:h="16838"/>
      <w:pgMar w:top="1360" w:right="1440" w:bottom="1300" w:left="1587" w:header="650" w:footer="65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">
    <w:panose1 w:val="00000500000000000000"/>
    <w:charset w:val="86"/>
    <w:family w:val="auto"/>
    <w:pitch w:val="default"/>
    <w:sig w:usb0="00000001" w:usb1="0A0F181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3F492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7C597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4951C">
    <w:pPr>
      <w:pStyle w:val="1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50711">
    <w:pPr>
      <w:spacing w:before="0" w:after="0"/>
      <w:jc w:val="center"/>
    </w:pPr>
    <w:r>
      <w:rPr>
        <w:color w:val="5A6870"/>
        <w:sz w:val="17"/>
        <w:szCs w:val="17"/>
      </w:rPr>
      <w:t xml:space="preserve">研发验证版平台  |  第 </w:t>
    </w:r>
    <w:r>
      <w:rPr>
        <w:color w:val="5A6870"/>
        <w:sz w:val="17"/>
        <w:szCs w:val="17"/>
      </w:rPr>
      <w:fldChar w:fldCharType="begin"/>
    </w:r>
    <w:r>
      <w:rPr>
        <w:color w:val="5A6870"/>
        <w:sz w:val="17"/>
        <w:szCs w:val="17"/>
      </w:rPr>
      <w:instrText xml:space="preserve">PAGE</w:instrText>
    </w:r>
    <w:r>
      <w:rPr>
        <w:color w:val="5A6870"/>
        <w:sz w:val="17"/>
        <w:szCs w:val="17"/>
      </w:rPr>
      <w:fldChar w:fldCharType="separate"/>
    </w:r>
    <w:r>
      <w:rPr>
        <w:color w:val="5A6870"/>
        <w:sz w:val="17"/>
        <w:szCs w:val="17"/>
      </w:rPr>
      <w:t>1</w:t>
    </w:r>
    <w:r>
      <w:rPr>
        <w:color w:val="5A6870"/>
        <w:sz w:val="17"/>
        <w:szCs w:val="17"/>
      </w:rPr>
      <w:fldChar w:fldCharType="end"/>
    </w:r>
    <w:r>
      <w:rPr>
        <w:color w:val="5A687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20"/>
      </w:pPr>
      <w:r>
        <w:separator/>
      </w:r>
    </w:p>
  </w:footnote>
  <w:footnote w:type="continuationSeparator" w:id="1">
    <w:p>
      <w:pPr>
        <w:spacing w:before="0" w:after="0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AADC4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20593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102FB">
    <w:pPr>
      <w:pStyle w:val="11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C496F">
    <w:pPr>
      <w:pBdr>
        <w:bottom w:val="single" w:color="0B6B68" w:sz="4" w:space="4"/>
      </w:pBdr>
      <w:spacing w:after="0"/>
    </w:pPr>
    <w:r>
      <w:rPr>
        <w:color w:val="5A6870"/>
        <w:sz w:val="17"/>
        <w:szCs w:val="17"/>
      </w:rPr>
      <w:t>OSTEO VISION  |  颌骨骨髓炎智能化荧光诊疗技术方案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F8DAC">
    <w:pPr>
      <w:pBdr>
        <w:bottom w:val="single" w:color="0B6B68" w:sz="4" w:space="4"/>
      </w:pBdr>
      <w:spacing w:after="0"/>
    </w:pPr>
    <w:r>
      <w:rPr>
        <w:color w:val="5A6870"/>
        <w:sz w:val="17"/>
        <w:szCs w:val="17"/>
      </w:rPr>
      <w:t>OSTEO VISION  |  颌骨骨髓炎智能化荧光诊疗技术方案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3F14F6"/>
    <w:multiLevelType w:val="singleLevel"/>
    <w:tmpl w:val="AC3F14F6"/>
    <w:lvl w:ilvl="0" w:tentative="0">
      <w:start w:val="1"/>
      <w:numFmt w:val="bullet"/>
      <w:lvlText w:val="•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1">
    <w:nsid w:val="ADBDBAE5"/>
    <w:multiLevelType w:val="singleLevel"/>
    <w:tmpl w:val="ADBDBAE5"/>
    <w:lvl w:ilvl="0" w:tentative="0">
      <w:start w:val="1"/>
      <w:numFmt w:val="bullet"/>
      <w:lvlText w:val="•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2">
    <w:nsid w:val="B8A3C6A4"/>
    <w:multiLevelType w:val="singleLevel"/>
    <w:tmpl w:val="B8A3C6A4"/>
    <w:lvl w:ilvl="0" w:tentative="0">
      <w:start w:val="1"/>
      <w:numFmt w:val="bullet"/>
      <w:lvlText w:val="•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3">
    <w:nsid w:val="C1B3A669"/>
    <w:multiLevelType w:val="singleLevel"/>
    <w:tmpl w:val="C1B3A669"/>
    <w:lvl w:ilvl="0" w:tentative="0">
      <w:start w:val="1"/>
      <w:numFmt w:val="bullet"/>
      <w:lvlText w:val="•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4">
    <w:nsid w:val="C36583F8"/>
    <w:multiLevelType w:val="singleLevel"/>
    <w:tmpl w:val="C36583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5">
    <w:nsid w:val="CEADE334"/>
    <w:multiLevelType w:val="singleLevel"/>
    <w:tmpl w:val="CEADE334"/>
    <w:lvl w:ilvl="0" w:tentative="0">
      <w:start w:val="1"/>
      <w:numFmt w:val="bullet"/>
      <w:lvlText w:val="•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6">
    <w:nsid w:val="D5862D56"/>
    <w:multiLevelType w:val="singleLevel"/>
    <w:tmpl w:val="D5862D5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7">
    <w:nsid w:val="E7E496DE"/>
    <w:multiLevelType w:val="singleLevel"/>
    <w:tmpl w:val="E7E496DE"/>
    <w:lvl w:ilvl="0" w:tentative="0">
      <w:start w:val="1"/>
      <w:numFmt w:val="bullet"/>
      <w:lvlText w:val="•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8">
    <w:nsid w:val="F34A3662"/>
    <w:multiLevelType w:val="singleLevel"/>
    <w:tmpl w:val="F34A366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9">
    <w:nsid w:val="F68FD66F"/>
    <w:multiLevelType w:val="singleLevel"/>
    <w:tmpl w:val="F68FD66F"/>
    <w:lvl w:ilvl="0" w:tentative="0">
      <w:start w:val="1"/>
      <w:numFmt w:val="bullet"/>
      <w:lvlText w:val="•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10">
    <w:nsid w:val="01B137B6"/>
    <w:multiLevelType w:val="singleLevel"/>
    <w:tmpl w:val="01B137B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11">
    <w:nsid w:val="0325C932"/>
    <w:multiLevelType w:val="singleLevel"/>
    <w:tmpl w:val="0325C93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12">
    <w:nsid w:val="115C1F4A"/>
    <w:multiLevelType w:val="singleLevel"/>
    <w:tmpl w:val="115C1F4A"/>
    <w:lvl w:ilvl="0" w:tentative="0">
      <w:start w:val="1"/>
      <w:numFmt w:val="bullet"/>
      <w:lvlText w:val="•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13">
    <w:nsid w:val="163AC005"/>
    <w:multiLevelType w:val="singleLevel"/>
    <w:tmpl w:val="163AC005"/>
    <w:lvl w:ilvl="0" w:tentative="0">
      <w:start w:val="1"/>
      <w:numFmt w:val="bullet"/>
      <w:lvlText w:val="•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14">
    <w:nsid w:val="2586CAD5"/>
    <w:multiLevelType w:val="singleLevel"/>
    <w:tmpl w:val="2586CAD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15">
    <w:nsid w:val="30C1155C"/>
    <w:multiLevelType w:val="singleLevel"/>
    <w:tmpl w:val="30C1155C"/>
    <w:lvl w:ilvl="0" w:tentative="0">
      <w:start w:val="1"/>
      <w:numFmt w:val="bullet"/>
      <w:lvlText w:val="•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16">
    <w:nsid w:val="46658B8C"/>
    <w:multiLevelType w:val="singleLevel"/>
    <w:tmpl w:val="46658B8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17">
    <w:nsid w:val="48B7F7AF"/>
    <w:multiLevelType w:val="singleLevel"/>
    <w:tmpl w:val="48B7F7A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18">
    <w:nsid w:val="49228B7E"/>
    <w:multiLevelType w:val="singleLevel"/>
    <w:tmpl w:val="49228B7E"/>
    <w:lvl w:ilvl="0" w:tentative="0">
      <w:start w:val="1"/>
      <w:numFmt w:val="bullet"/>
      <w:lvlText w:val="•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19">
    <w:nsid w:val="4D8B814F"/>
    <w:multiLevelType w:val="singleLevel"/>
    <w:tmpl w:val="4D8B814F"/>
    <w:lvl w:ilvl="0" w:tentative="0">
      <w:start w:val="1"/>
      <w:numFmt w:val="bullet"/>
      <w:lvlText w:val="•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20">
    <w:nsid w:val="5B57F114"/>
    <w:multiLevelType w:val="singleLevel"/>
    <w:tmpl w:val="5B57F11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abstractNum w:abstractNumId="21">
    <w:nsid w:val="6E368EF2"/>
    <w:multiLevelType w:val="singleLevel"/>
    <w:tmpl w:val="6E368EF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 w:ascii="微软雅黑" w:hAnsi="微软雅黑" w:eastAsia="微软雅黑" w:cs="微软雅黑"/>
        <w:color w:val="0B6B68"/>
      </w:rPr>
    </w:lvl>
  </w:abstractNum>
  <w:num w:numId="1">
    <w:abstractNumId w:val="14"/>
    <w:lvlOverride w:ilvl="0">
      <w:startOverride w:val="1"/>
    </w:lvlOverride>
  </w:num>
  <w:num w:numId="2">
    <w:abstractNumId w:val="18"/>
    <w:lvlOverride w:ilvl="0">
      <w:startOverride w:val="1"/>
    </w:lvlOverride>
  </w:num>
  <w:num w:numId="3">
    <w:abstractNumId w:val="15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20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21"/>
    <w:lvlOverride w:ilvl="0">
      <w:startOverride w:val="1"/>
    </w:lvlOverride>
  </w:num>
  <w:num w:numId="15">
    <w:abstractNumId w:val="19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6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1"/>
    <w:lvlOverride w:ilvl="0">
      <w:startOverride w:val="1"/>
    </w:lvlOverride>
  </w:num>
  <w:num w:numId="20">
    <w:abstractNumId w:val="17"/>
    <w:lvlOverride w:ilvl="0">
      <w:startOverride w:val="1"/>
    </w:lvlOverride>
  </w:num>
  <w:num w:numId="21">
    <w:abstractNumId w:val="16"/>
    <w:lvlOverride w:ilvl="0">
      <w:startOverride w:val="1"/>
    </w:lvlOverride>
  </w:num>
  <w:num w:numId="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4A7D1A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qFormat/>
    <w:pPr>
      <w:widowControl w:val="0"/>
      <w:spacing w:before="50" w:beforeLines="50"/>
      <w:ind w:firstLine="641" w:firstLineChars="200"/>
      <w:jc w:val="both"/>
    </w:pPr>
    <w:rPr>
      <w:rFonts w:hint="eastAsia" w:ascii="微软雅黑" w:hAnsi="微软雅黑" w:eastAsia="微软雅黑" w:cs="微软雅黑"/>
      <w:color w:val="18323A"/>
      <w:sz w:val="21"/>
      <w:szCs w:val="21"/>
    </w:rPr>
  </w:style>
  <w:style w:type="paragraph" w:styleId="2">
    <w:name w:val="heading 1"/>
    <w:next w:val="1"/>
    <w:uiPriority w:val="0"/>
    <w:qFormat/>
    <w:pPr>
      <w:pBdr>
        <w:bottom w:val="single" w:color="DDEDEA" w:sz="6" w:space="5"/>
      </w:pBdr>
      <w:spacing w:before="340" w:after="170" w:line="390" w:lineRule="auto"/>
      <w:outlineLvl w:val="0"/>
    </w:pPr>
    <w:rPr>
      <w:rFonts w:hint="eastAsia" w:ascii="微软雅黑" w:hAnsi="微软雅黑" w:eastAsia="微软雅黑" w:cs="微软雅黑"/>
      <w:b/>
      <w:bCs/>
      <w:color w:val="0B6B68"/>
      <w:sz w:val="31"/>
      <w:szCs w:val="31"/>
    </w:rPr>
  </w:style>
  <w:style w:type="paragraph" w:styleId="3">
    <w:name w:val="heading 2"/>
    <w:next w:val="1"/>
    <w:uiPriority w:val="0"/>
    <w:qFormat/>
    <w:pPr>
      <w:spacing w:before="240" w:after="130" w:line="390" w:lineRule="auto"/>
      <w:outlineLvl w:val="1"/>
    </w:pPr>
    <w:rPr>
      <w:rFonts w:hint="eastAsia" w:ascii="微软雅黑" w:hAnsi="微软雅黑" w:eastAsia="微软雅黑" w:cs="微软雅黑"/>
      <w:b/>
      <w:bCs/>
      <w:color w:val="176B87"/>
      <w:sz w:val="25"/>
      <w:szCs w:val="25"/>
    </w:rPr>
  </w:style>
  <w:style w:type="paragraph" w:styleId="4">
    <w:name w:val="heading 3"/>
    <w:next w:val="1"/>
    <w:uiPriority w:val="0"/>
    <w:qFormat/>
    <w:pPr>
      <w:spacing w:before="200" w:after="110" w:line="390" w:lineRule="auto"/>
      <w:outlineLvl w:val="2"/>
    </w:pPr>
    <w:rPr>
      <w:rFonts w:hint="eastAsia" w:ascii="微软雅黑" w:hAnsi="微软雅黑" w:eastAsia="微软雅黑" w:cs="微软雅黑"/>
      <w:b/>
      <w:bCs/>
      <w:color w:val="18323A"/>
      <w:sz w:val="22"/>
      <w:szCs w:val="22"/>
    </w:rPr>
  </w:style>
  <w:style w:type="paragraph" w:styleId="5">
    <w:name w:val="heading 4"/>
    <w:next w:val="1"/>
    <w:uiPriority w:val="0"/>
    <w:qFormat/>
    <w:pPr>
      <w:spacing w:line="390" w:lineRule="auto"/>
    </w:pPr>
    <w:rPr>
      <w:rFonts w:hint="eastAsia"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uiPriority w:val="0"/>
    <w:qFormat/>
    <w:pPr>
      <w:spacing w:line="390" w:lineRule="auto"/>
    </w:pPr>
    <w:rPr>
      <w:rFonts w:hint="eastAsia"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uiPriority w:val="0"/>
    <w:qFormat/>
    <w:pPr>
      <w:spacing w:line="390" w:lineRule="auto"/>
    </w:pPr>
    <w:rPr>
      <w:rFonts w:hint="eastAsia" w:ascii="微软雅黑" w:hAnsi="微软雅黑" w:eastAsia="微软雅黑" w:cs="微软雅黑"/>
      <w:color w:val="1F4D78"/>
      <w:sz w:val="21"/>
      <w:szCs w:val="21"/>
    </w:rPr>
  </w:style>
  <w:style w:type="character" w:default="1" w:styleId="17">
    <w:name w:val="Default Paragraph Font"/>
    <w:uiPriority w:val="0"/>
    <w:semiHidden/>
    <w:qFormat/>
  </w:style>
  <w:style w:type="table" w:default="1" w:styleId="16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3"/>
    <w:uiPriority w:val="99"/>
    <w:semiHidden/>
    <w:unhideWhenUsed/>
    <w:pPr>
      <w:spacing w:after="0" w:line="240" w:lineRule="auto"/>
    </w:pPr>
    <w:rPr>
      <w:rFonts w:hint="eastAsia" w:ascii="微软雅黑" w:hAnsi="微软雅黑" w:eastAsia="微软雅黑" w:cs="微软雅黑"/>
      <w:color w:val="18323A"/>
      <w:sz w:val="20"/>
      <w:szCs w:val="20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uiPriority w:val="0"/>
  </w:style>
  <w:style w:type="paragraph" w:styleId="13">
    <w:name w:val="footnote text"/>
    <w:link w:val="22"/>
    <w:uiPriority w:val="99"/>
    <w:semiHidden/>
    <w:unhideWhenUsed/>
    <w:qFormat/>
    <w:pPr>
      <w:spacing w:after="0" w:line="240" w:lineRule="auto"/>
    </w:pPr>
    <w:rPr>
      <w:rFonts w:hint="eastAsia" w:ascii="微软雅黑" w:hAnsi="微软雅黑" w:eastAsia="微软雅黑" w:cs="微软雅黑"/>
      <w:color w:val="18323A"/>
      <w:sz w:val="20"/>
      <w:szCs w:val="20"/>
    </w:rPr>
  </w:style>
  <w:style w:type="paragraph" w:styleId="14">
    <w:name w:val="toc 2"/>
    <w:basedOn w:val="1"/>
    <w:next w:val="1"/>
    <w:uiPriority w:val="0"/>
    <w:pPr>
      <w:ind w:left="420" w:leftChars="200"/>
    </w:pPr>
  </w:style>
  <w:style w:type="paragraph" w:styleId="15">
    <w:name w:val="Title"/>
    <w:uiPriority w:val="0"/>
    <w:qFormat/>
    <w:pPr>
      <w:spacing w:before="300" w:after="300" w:line="390" w:lineRule="auto"/>
      <w:jc w:val="center"/>
    </w:pPr>
    <w:rPr>
      <w:rFonts w:hint="eastAsia" w:ascii="微软雅黑" w:hAnsi="微软雅黑" w:eastAsia="微软雅黑" w:cs="微软雅黑"/>
      <w:b/>
      <w:bCs/>
      <w:color w:val="18323A"/>
      <w:sz w:val="48"/>
      <w:szCs w:val="48"/>
    </w:rPr>
  </w:style>
  <w:style w:type="character" w:styleId="18">
    <w:name w:val="endnote reference"/>
    <w:uiPriority w:val="99"/>
    <w:semiHidden/>
    <w:unhideWhenUsed/>
    <w:rPr>
      <w:vertAlign w:val="superscript"/>
    </w:rPr>
  </w:style>
  <w:style w:type="character" w:styleId="19">
    <w:name w:val="Hyperlink"/>
    <w:uiPriority w:val="99"/>
    <w:unhideWhenUsed/>
    <w:rPr>
      <w:color w:val="0563C1"/>
      <w:u w:val="single"/>
    </w:rPr>
  </w:style>
  <w:style w:type="character" w:styleId="20">
    <w:name w:val="footnote reference"/>
    <w:uiPriority w:val="99"/>
    <w:semiHidden/>
    <w:unhideWhenUsed/>
    <w:rPr>
      <w:vertAlign w:val="superscript"/>
    </w:rPr>
  </w:style>
  <w:style w:type="paragraph" w:styleId="21">
    <w:name w:val="List Paragraph"/>
    <w:uiPriority w:val="0"/>
    <w:qFormat/>
    <w:pPr>
      <w:spacing w:line="390" w:lineRule="auto"/>
    </w:pPr>
    <w:rPr>
      <w:rFonts w:hint="eastAsia" w:ascii="微软雅黑" w:hAnsi="微软雅黑" w:eastAsia="微软雅黑" w:cs="微软雅黑"/>
      <w:color w:val="18323A"/>
      <w:sz w:val="21"/>
      <w:szCs w:val="21"/>
    </w:rPr>
  </w:style>
  <w:style w:type="character" w:customStyle="1" w:styleId="22">
    <w:name w:val="Footnote Text Char"/>
    <w:link w:val="13"/>
    <w:uiPriority w:val="99"/>
    <w:semiHidden/>
    <w:unhideWhenUsed/>
    <w:qFormat/>
    <w:rPr>
      <w:sz w:val="20"/>
      <w:szCs w:val="20"/>
    </w:rPr>
  </w:style>
  <w:style w:type="character" w:customStyle="1" w:styleId="23">
    <w:name w:val="Endnote Text Char"/>
    <w:link w:val="9"/>
    <w:uiPriority w:val="99"/>
    <w:semiHidden/>
    <w:unhideWhenUsed/>
    <w:qFormat/>
    <w:rPr>
      <w:sz w:val="20"/>
      <w:szCs w:val="20"/>
    </w:rPr>
  </w:style>
  <w:style w:type="paragraph" w:customStyle="1" w:styleId="24">
    <w:name w:val="TOC Heading"/>
    <w:uiPriority w:val="0"/>
    <w:qFormat/>
    <w:pPr>
      <w:pBdr>
        <w:bottom w:val="single" w:color="0B6B68" w:sz="10" w:space="8"/>
      </w:pBdr>
      <w:spacing w:before="120" w:after="260" w:line="390" w:lineRule="auto"/>
    </w:pPr>
    <w:rPr>
      <w:rFonts w:hint="eastAsia" w:ascii="微软雅黑" w:hAnsi="微软雅黑" w:eastAsia="微软雅黑" w:cs="微软雅黑"/>
      <w:b/>
      <w:bCs/>
      <w:color w:val="18323A"/>
      <w:sz w:val="34"/>
      <w:szCs w:val="3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TotalTime>0</TotalTime>
  <ScaleCrop>false</ScaleCrop>
  <LinksUpToDate>false</LinksUpToDate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2026-07-24T09:32:00Z</dcterms:created>
  <dc:creator>Osteo Vision Team</dc:creator>
  <dc:description>研发验证版平台技术方案，包含患者安全边界、荧光造影剂、多模态融合、AI 辅助判读与三维工程验证。</dc:description>
  <cp:keywords>颌骨骨髓炎,荧光显微镜,ICG,医学图像融合,辅助判读,患者安全</cp:keywords>
  <cp:lastModifiedBy>BlackSheep</cp:lastModifiedBy>
  <dcterms:modified xsi:type="dcterms:W3CDTF">2026-07-24T09:32:42Z</dcterms:modified>
  <dc:subject>颌骨骨髓炎智能化荧光诊疗比赛技术方案</dc:subject>
  <dc:title>科奥达赛题专业评委视角差距审查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2A9AF2B518BA4F91962595AB806F9208_12</vt:lpwstr>
  </property>
</Properties>
</file>