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 w:before="7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324D"/>
          <w:sz w:val="42"/>
          <w:szCs w:val="42"/>
        </w:rPr>
        <w:t xml:space="preserve">颌骨骨髓炎智能化荧光诊疗</w:t>
      </w:r>
    </w:p>
    <w:p>
      <w:pPr>
        <w:spacing w:after="17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563A6"/>
          <w:sz w:val="32"/>
          <w:szCs w:val="32"/>
        </w:rPr>
        <w:t xml:space="preserve">赛题差距、困难与国内外解决路径归档报告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770"/>
          <w:sz w:val="22"/>
          <w:szCs w:val="22"/>
        </w:rPr>
        <w:t xml:space="preserve">只读审计与互联网资料复核归档</w:t>
      </w:r>
    </w:p>
    <w:p>
      <w:pPr>
        <w:spacing w:after="54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770"/>
          <w:sz w:val="21"/>
          <w:szCs w:val="21"/>
        </w:rPr>
        <w:t xml:space="preserve">归档日期：2026年7月10日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1D6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7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1"/>
                <w:szCs w:val="21"/>
              </w:rPr>
              <w:t xml:space="preserve">用途与医学边界</w:t>
            </w:r>
          </w:p>
          <w:p>
            <w:pPr>
              <w:keepNext w:val="false"/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本报告用于比赛方案决策、研发验证和团队协作。所有模型输出均定位为术中参考信号、风险提示和医生复核辅助。代理数据、伪标注和公开异域数据所得指标不能用于声称真实术中ICG颌骨骨髓炎临床性能。</w:t>
            </w:r>
          </w:p>
        </w:tc>
      </w:tr>
    </w:tbl>
    <w:p>
      <w:r>
        <w:t xml:space="preserve"/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3"/>
          <w:sz w:val="21"/>
          <w:szCs w:val="21"/>
        </w:rPr>
        <w:t xml:space="preserve">零、R01-R08修复归档更新</w:t>
      </w:r>
    </w:p>
    <w:p>
      <w:pPr>
        <w:keepNext w:val="false"/>
        <w:spacing w:after="110" w:before="0" w:line="330"/>
        <w:ind w:firstLine="4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2026年7月10日已完成前八项问题的比赛版工程修复。本节记录当前可核验状态，后文章节保留问题发现时的背景、互联网解决路径和外部依赖，便于追溯决策过程。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900"/>
        <w:gridCol w:w="5476"/>
      </w:tblGrid>
      <w:tr>
        <w:trPr>
          <w:tblHeader/>
        </w:trPr>
        <w:tc>
          <w:tcPr>
            <w:tcW w:type="dxa" w:w="165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7324D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W w:type="dxa" w:w="19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7324D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修复状态</w:t>
            </w:r>
          </w:p>
        </w:tc>
        <w:tc>
          <w:tcPr>
            <w:tcW w:type="dxa" w:w="547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7324D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当前证据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R01 视频源级泄漏</w:t>
            </w:r>
          </w:p>
        </w:tc>
        <w:tc>
          <w:tcPr>
            <w:tcW w:type="dxa" w:w="19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已完成</w:t>
            </w:r>
          </w:p>
        </w:tc>
        <w:tc>
          <w:tcPr>
            <w:tcW w:type="dxa" w:w="547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192帧/48视频源按源分组；train/val/test为28/14/6源；leakage_detected=false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R02 多mask全零</w:t>
            </w:r>
          </w:p>
        </w:tc>
        <w:tc>
          <w:tcPr>
            <w:tcW w:type="dxa" w:w="19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工程修复完成</w:t>
            </w:r>
          </w:p>
        </w:tc>
        <w:tc>
          <w:tcPr>
            <w:tcW w:type="dxa" w:w="547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独立双头监督、有效性mask和逐头阈值；测试两个头空mask率均为0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R03 0.9093可信度</w:t>
            </w:r>
          </w:p>
        </w:tc>
        <w:tc>
          <w:tcPr>
            <w:tcW w:type="dxa" w:w="19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已完成</w:t>
            </w:r>
          </w:p>
        </w:tc>
        <w:tc>
          <w:tcPr>
            <w:tcW w:type="dxa" w:w="547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旧值撤回泛化证据地位；独立测试Dice 0.9214，视频级95% CI 0.9127-0.9302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R04 最终证据链</w:t>
            </w:r>
          </w:p>
        </w:tc>
        <w:tc>
          <w:tcPr>
            <w:tcW w:type="dxa" w:w="19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已完成比赛版索引</w:t>
            </w:r>
          </w:p>
        </w:tc>
        <w:tc>
          <w:tcPr>
            <w:tcW w:type="dxa" w:w="547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证据已按造影剂、多模态融合、AI判读、设备适配和医学边界重排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R05 双通道AI</w:t>
            </w:r>
          </w:p>
        </w:tc>
        <w:tc>
          <w:tcPr>
            <w:tcW w:type="dxa" w:w="19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已完成代理基线</w:t>
            </w:r>
          </w:p>
        </w:tc>
        <w:tc>
          <w:tcPr>
            <w:tcW w:type="dxa" w:w="547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四组消融均可运行；验证集选择early fusion；独立测试Dice 0.8654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R06 ICG动态定量</w:t>
            </w:r>
          </w:p>
        </w:tc>
        <w:tc>
          <w:tcPr>
            <w:tcW w:type="dxa" w:w="19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已完成软件实现</w:t>
            </w:r>
          </w:p>
        </w:tc>
        <w:tc>
          <w:tcPr>
            <w:tcW w:type="dxa" w:w="547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背景扣除、归一化时间强度曲线、达峰时间、上升斜率、AUC和质控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R07 4K稳定性</w:t>
            </w:r>
          </w:p>
        </w:tc>
        <w:tc>
          <w:tcPr>
            <w:tcW w:type="dxa" w:w="19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已完成关键帧验证</w:t>
            </w:r>
          </w:p>
        </w:tc>
        <w:tc>
          <w:tcPr>
            <w:tcW w:type="dxa" w:w="547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3840x2160、45 tiles、5次运行；端到端P50/P95为3481.8/7577.3 ms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R08 不确定性</w:t>
            </w:r>
          </w:p>
        </w:tc>
        <w:tc>
          <w:tcPr>
            <w:tcW w:type="dxa" w:w="19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已完成技术校准</w:t>
            </w:r>
          </w:p>
        </w:tc>
        <w:tc>
          <w:tcPr>
            <w:tcW w:type="dxa" w:w="547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温度缩放、预测熵、TTA方差、ECE/Brier、uncertain_mask和复核优先级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1D6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7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1"/>
                <w:szCs w:val="21"/>
              </w:rPr>
              <w:t xml:space="preserve">更新后的证据边界</w:t>
            </w:r>
          </w:p>
          <w:p>
            <w:pPr>
              <w:keepNext w:val="false"/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上述结果均用于比赛版工程验证。D046指标来自公开非目标域视频伪标注，bone_gate来自待复核prompt-assisted种子；造影剂实物、真实目标域病例与医生金标准、企业显微镜实机验证仍属于外部依赖。</w:t>
            </w:r>
          </w:p>
        </w:tc>
      </w:tr>
    </w:tbl>
    <w:p>
      <w:pPr>
        <w:pStyle w:val="Heading2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3"/>
          <w:sz w:val="21"/>
          <w:szCs w:val="21"/>
        </w:rPr>
        <w:t xml:space="preserve">0.1 无泄漏单mask评估</w:t>
      </w:r>
    </w:p>
    <w:p>
      <w:pPr>
        <w:keepNext w:val="false"/>
        <w:spacing w:after="110" w:before="0" w:line="330"/>
        <w:ind w:firstLine="4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新主线候选使用视频源级分组清单训练，验证集确定阈值0.45，测试集只执行一次独立评估。测试Dice为0.9214、IoU为0.8546、Boundary F1为0.9844，空mask率和过分割率均为0；ECE为0.00524，Brier score为0.01973。所有结果只代表D046伪标注代理任务。</w:t>
      </w:r>
    </w:p>
    <w:p>
      <w:pPr>
        <w:pStyle w:val="Heading2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3"/>
          <w:sz w:val="21"/>
          <w:szCs w:val="21"/>
        </w:rPr>
        <w:t xml:space="preserve">0.2 多mask与双通道模型</w:t>
      </w:r>
    </w:p>
    <w:p>
      <w:pPr>
        <w:keepNext w:val="false"/>
        <w:spacing w:after="110" w:before="0" w:line="330"/>
        <w:ind w:firstLine="4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多mask训练已按图像聚合标签，并为荧光信号头和骨面门控头提供独立有效性mask、损失和阈值扫描。测试Dice分别为0.4984和0.8722，两个头均保持非空。双通道模型完成白光单模态、荧光单模态、早期融合和中间融合四组消融，验证集选择early fusion，测试Dice为0.8654。白光由源图亮度合成，结果只证明工程可运行性。</w:t>
      </w:r>
    </w:p>
    <w:p>
      <w:pPr>
        <w:pStyle w:val="Heading2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3"/>
          <w:sz w:val="21"/>
          <w:szCs w:val="21"/>
        </w:rPr>
        <w:t xml:space="preserve">0.3 动态定量、4K与不确定性</w:t>
      </w:r>
    </w:p>
    <w:p>
      <w:pPr>
        <w:keepNext w:val="false"/>
        <w:spacing w:after="110" w:before="0" w:line="330"/>
        <w:ind w:firstLine="4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视频汇总已加入稀疏关键帧时间强度曲线，输出背景扣除值、基线到峰值归一化、达峰时间、最大上升斜率、AUC和曲线质控。官方4K尺寸的五次强制tiling验证全部通过，模型推理P50为1587.4 ms，端到端P50/P95为3481.8/7577.3 ms。推理配置已启用温度1.4138和TTA不确定性，输出risk_mask、uncertain_mask与医生复核优先级。</w:t>
      </w:r>
    </w:p>
    <w:p>
      <w:pPr>
        <w:pStyle w:val="Heading1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3"/>
          <w:sz w:val="21"/>
          <w:szCs w:val="21"/>
        </w:rPr>
        <w:t xml:space="preserve">一、执行摘要</w:t>
      </w:r>
    </w:p>
    <w:p>
      <w:pPr>
        <w:keepNext w:val="false"/>
        <w:spacing w:after="110" w:before="0" w:line="330"/>
        <w:ind w:firstLine="4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项目已经形成较完整的平台软件演示闭环，具备4K JPEG/MP4输入、白光/荧光融合、关键帧分割提示、医生复核和证据导出能力。按官方三项答题要求衡量，主要缺口集中在新型造影剂方案证据、真实目标域数据、无泄漏AI评价、企业显微镜实机适配以及最终参赛文档。</w:t>
      </w:r>
    </w:p>
    <w:p>
      <w:pPr>
        <w:keepNext w:val="false"/>
        <w:spacing w:after="110" w:before="0" w:line="330"/>
        <w:ind w:firstLine="4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互联网与学术资料复核显示，多数困难存在可执行的比赛版解决路径。三项能力仍依赖外部协作：原创造影剂实物验证、真实目标域病例及医生金标准、企业显微镜实机验证。公开数据和工程方法可以降低风险、完善论证并维持软件闭环，无法生成缺失的临床证据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0"/>
        <w:gridCol w:w="6076"/>
      </w:tblGrid>
      <w:tr>
        <w:trPr>
          <w:tblHeader/>
        </w:trPr>
        <w:tc>
          <w:tcPr>
            <w:tcW w:type="dxa" w:w="295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7324D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607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7324D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当前判断</w:t>
            </w:r>
          </w:p>
        </w:tc>
      </w:tr>
      <w:tr>
        <w:trPr>
          <w:cantSplit/>
        </w:trPr>
        <w:tc>
          <w:tcPr>
            <w:tcW w:type="dxa" w:w="295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软件工程演示成熟度</w:t>
            </w:r>
          </w:p>
        </w:tc>
        <w:tc>
          <w:tcPr>
            <w:tcW w:type="dxa" w:w="607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约75%：主流程可演示，仍需长视频、设备样片和交付冻结验证</w:t>
            </w:r>
          </w:p>
        </w:tc>
      </w:tr>
      <w:tr>
        <w:trPr>
          <w:cantSplit/>
        </w:trPr>
        <w:tc>
          <w:tcPr>
            <w:tcW w:type="dxa" w:w="295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官方三项答题整体就绪度</w:t>
            </w:r>
          </w:p>
        </w:tc>
        <w:tc>
          <w:tcPr>
            <w:tcW w:type="dxa" w:w="607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约45%-55%：第二项较强，第三项为代理工程验证，第一项仍需形成独立方案</w:t>
            </w:r>
          </w:p>
        </w:tc>
      </w:tr>
      <w:tr>
        <w:trPr>
          <w:cantSplit/>
        </w:trPr>
        <w:tc>
          <w:tcPr>
            <w:tcW w:type="dxa" w:w="295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真实目标域与医学证据成熟度</w:t>
            </w:r>
          </w:p>
        </w:tc>
        <w:tc>
          <w:tcPr>
            <w:tcW w:type="dxa" w:w="607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低于20%：缺真实术中白光/ICG病例、医生像素级标注和目标域独立测试</w:t>
            </w:r>
          </w:p>
        </w:tc>
      </w:tr>
      <w:tr>
        <w:trPr>
          <w:cantSplit/>
        </w:trPr>
        <w:tc>
          <w:tcPr>
            <w:tcW w:type="dxa" w:w="295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提交风险</w:t>
            </w:r>
          </w:p>
        </w:tc>
        <w:tc>
          <w:tcPr>
            <w:tcW w:type="dxa" w:w="607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截止2026年7月30日；最终Word/PDF、无泄漏重评估和造影剂章节需优先收束</w:t>
            </w:r>
          </w:p>
        </w:tc>
      </w:tr>
    </w:tbl>
    <w:p>
      <w:pPr>
        <w:pStyle w:val="Heading1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3"/>
          <w:sz w:val="21"/>
          <w:szCs w:val="21"/>
        </w:rPr>
        <w:t xml:space="preserve">二、官方赛题目标与当前距离</w:t>
      </w:r>
    </w:p>
    <w:p>
      <w:pPr>
        <w:keepNext w:val="false"/>
        <w:spacing w:after="110" w:before="0" w:line="330"/>
        <w:ind w:firstLine="4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依据本地完整赛题方案和赛题方设备技术文档，完整作品需覆盖三项核心内容：新型荧光造影剂设计、多模态白光/荧光图像融合与处理、AI辅助显微成像判读。设备输入边界包括3840×2160摄录、USB3.0存储、JPEG图片和MP4视频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2750"/>
        <w:gridCol w:w="1300"/>
        <w:gridCol w:w="2926"/>
      </w:tblGrid>
      <w:tr>
        <w:trPr>
          <w:tblHeader/>
        </w:trPr>
        <w:tc>
          <w:tcPr>
            <w:tcW w:type="dxa" w:w="205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7324D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官方要求</w:t>
            </w:r>
          </w:p>
        </w:tc>
        <w:tc>
          <w:tcPr>
            <w:tcW w:type="dxa" w:w="275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7324D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当前状态</w:t>
            </w:r>
          </w:p>
        </w:tc>
        <w:tc>
          <w:tcPr>
            <w:tcW w:type="dxa" w:w="13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7324D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成熟度判断</w:t>
            </w:r>
          </w:p>
        </w:tc>
        <w:tc>
          <w:tcPr>
            <w:tcW w:type="dxa" w:w="292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7324D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决定性缺口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新型荧光造影剂设计</w:t>
            </w:r>
          </w:p>
        </w:tc>
        <w:tc>
          <w:tcPr>
            <w:tcW w:type="dxa" w:w="275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已有ICG基线、四环素/自发荧光、骨靶向及细菌靶向文献</w:t>
            </w:r>
          </w:p>
        </w:tc>
        <w:tc>
          <w:tcPr>
            <w:tcW w:type="dxa" w:w="13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15%-25%</w:t>
            </w:r>
          </w:p>
        </w:tc>
        <w:tc>
          <w:tcPr>
            <w:tcW w:type="dxa" w:w="292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缺独立候选结构、光谱适配、稳定性、毒性及选择性验证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多模态融合与处理</w:t>
            </w:r>
          </w:p>
        </w:tc>
        <w:tc>
          <w:tcPr>
            <w:tcW w:type="dxa" w:w="275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具备4K输入、背景扣除、配准、伪彩、融合、ROI定量和播放同步</w:t>
            </w:r>
          </w:p>
        </w:tc>
        <w:tc>
          <w:tcPr>
            <w:tcW w:type="dxa" w:w="13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60%-70%</w:t>
            </w:r>
          </w:p>
        </w:tc>
        <w:tc>
          <w:tcPr>
            <w:tcW w:type="dxa" w:w="292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缺真实双通道同步样片、设备标定和连续实机验证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AI辅助显微判读</w:t>
            </w:r>
          </w:p>
        </w:tc>
        <w:tc>
          <w:tcPr>
            <w:tcW w:type="dxa" w:w="275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具备checkpoint、tiling、候选区、风险/不确定性和医生复核</w:t>
            </w:r>
          </w:p>
        </w:tc>
        <w:tc>
          <w:tcPr>
            <w:tcW w:type="dxa" w:w="13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40%-50%</w:t>
            </w:r>
          </w:p>
        </w:tc>
        <w:tc>
          <w:tcPr>
            <w:tcW w:type="dxa" w:w="292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缺目标域标注、无泄漏独立评价和显式双通道模型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企业显微镜集成</w:t>
            </w:r>
          </w:p>
        </w:tc>
        <w:tc>
          <w:tcPr>
            <w:tcW w:type="dxa" w:w="275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文件格式已对齐官方边界</w:t>
            </w:r>
          </w:p>
        </w:tc>
        <w:tc>
          <w:tcPr>
            <w:tcW w:type="dxa" w:w="13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35%-45%</w:t>
            </w:r>
          </w:p>
        </w:tc>
        <w:tc>
          <w:tcPr>
            <w:tcW w:type="dxa" w:w="292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缺通道编码、时间同步、曝光、倍率、滤光片和长视频实测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最终作品交付</w:t>
            </w:r>
          </w:p>
        </w:tc>
        <w:tc>
          <w:tcPr>
            <w:tcW w:type="dxa" w:w="275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已有多份阶段报告和软件证据</w:t>
            </w:r>
          </w:p>
        </w:tc>
        <w:tc>
          <w:tcPr>
            <w:tcW w:type="dxa" w:w="13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20%-30%</w:t>
            </w:r>
          </w:p>
        </w:tc>
        <w:tc>
          <w:tcPr>
            <w:tcW w:type="dxa" w:w="292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缺按三项核心要求重排的最终Word/PDF和冻结版本</w:t>
            </w:r>
          </w:p>
        </w:tc>
      </w:tr>
    </w:tbl>
    <w:p>
      <w:pPr>
        <w:pStyle w:val="Heading1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3"/>
          <w:sz w:val="21"/>
          <w:szCs w:val="21"/>
        </w:rPr>
        <w:t xml:space="preserve">三、困难与解决路径总表</w:t>
      </w:r>
    </w:p>
    <w:p>
      <w:pPr>
        <w:keepNext w:val="false"/>
        <w:spacing w:after="110" w:before="0" w:line="33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以下结论采用四级分类，便于团队区分可立即推进事项与外部依赖。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0"/>
        <w:gridCol w:w="2520"/>
        <w:gridCol w:w="2030"/>
        <w:gridCol w:w="2806"/>
      </w:tblGrid>
      <w:tr>
        <w:trPr>
          <w:tblHeader/>
        </w:trPr>
        <w:tc>
          <w:tcPr>
            <w:tcW w:type="dxa" w:w="167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7324D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困难</w:t>
            </w:r>
          </w:p>
        </w:tc>
        <w:tc>
          <w:tcPr>
            <w:tcW w:type="dxa" w:w="252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7324D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当前证据</w:t>
            </w:r>
          </w:p>
        </w:tc>
        <w:tc>
          <w:tcPr>
            <w:tcW w:type="dxa" w:w="203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7324D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解决类别</w:t>
            </w:r>
          </w:p>
        </w:tc>
        <w:tc>
          <w:tcPr>
            <w:tcW w:type="dxa" w:w="280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7324D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建议路径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新型荧光造影剂</w:t>
            </w:r>
          </w:p>
        </w:tc>
        <w:tc>
          <w:tcPr>
            <w:tcW w:type="dxa" w:w="252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已具备 ICG、四环素/骨自发荧光、骨靶向和细菌靶向文献链</w:t>
            </w:r>
          </w:p>
        </w:tc>
        <w:tc>
          <w:tcPr>
            <w:tcW w:type="dxa" w:w="203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1D6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需企业/医院/实验团队配合</w:t>
            </w:r>
          </w:p>
        </w:tc>
        <w:tc>
          <w:tcPr>
            <w:tcW w:type="dxa" w:w="280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形成明确候选结构与验证矩阵；原创性能需合成、光谱和生物学验证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真实目标域数据</w:t>
            </w:r>
          </w:p>
        </w:tc>
        <w:tc>
          <w:tcPr>
            <w:tcW w:type="dxa" w:w="252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未发现公开的颌骨骨髓炎白光/ICG像素标注视频集</w:t>
            </w:r>
          </w:p>
        </w:tc>
        <w:tc>
          <w:tcPr>
            <w:tcW w:type="dxa" w:w="203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CE5E5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当前无可靠替代</w:t>
            </w:r>
          </w:p>
        </w:tc>
        <w:tc>
          <w:tcPr>
            <w:tcW w:type="dxa" w:w="280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采用公开荧光代理、骨髓炎公开视频、CBCT代理和后续小金标准集分层推进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医生金标准</w:t>
            </w:r>
          </w:p>
        </w:tc>
        <w:tc>
          <w:tcPr>
            <w:tcW w:type="dxa" w:w="252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现阶段暂缺医生关键帧/ROI标注</w:t>
            </w:r>
          </w:p>
        </w:tc>
        <w:tc>
          <w:tcPr>
            <w:tcW w:type="dxa" w:w="203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1D6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需企业/医院/实验团队配合</w:t>
            </w:r>
          </w:p>
        </w:tc>
        <w:tc>
          <w:tcPr>
            <w:tcW w:type="dxa" w:w="280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SAM 2/CVAT预标注，医生仅复核高价值关键帧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历史指标泄漏</w:t>
            </w:r>
          </w:p>
        </w:tc>
        <w:tc>
          <w:tcPr>
            <w:tcW w:type="dxa" w:w="252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同源视频帧可能跨训练集和验证集</w:t>
            </w:r>
          </w:p>
        </w:tc>
        <w:tc>
          <w:tcPr>
            <w:tcW w:type="dxa" w:w="203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E3F1E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当前可直接落地</w:t>
            </w:r>
          </w:p>
        </w:tc>
        <w:tc>
          <w:tcPr>
            <w:tcW w:type="dxa" w:w="280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按 source_video_id/case_id 重划分并重训，历史指标降级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多 mask 模型全零</w:t>
            </w:r>
          </w:p>
        </w:tc>
        <w:tc>
          <w:tcPr>
            <w:tcW w:type="dxa" w:w="252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当前训练记录显示 Dice、IoU和预测阳性比例为0</w:t>
            </w:r>
          </w:p>
        </w:tc>
        <w:tc>
          <w:tcPr>
            <w:tcW w:type="dxa" w:w="203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E3F1E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当前可直接落地</w:t>
            </w:r>
          </w:p>
        </w:tc>
        <w:tc>
          <w:tcPr>
            <w:tcW w:type="dxa" w:w="280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先做标签审计与小样本过拟合，再调整采样、损失和阈值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双通道 AI</w:t>
            </w:r>
          </w:p>
        </w:tc>
        <w:tc>
          <w:tcPr>
            <w:tcW w:type="dxa" w:w="252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现有AI链路以单幅RGB关键帧为主</w:t>
            </w:r>
          </w:p>
        </w:tc>
        <w:tc>
          <w:tcPr>
            <w:tcW w:type="dxa" w:w="203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E3F1E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当前可直接落地</w:t>
            </w:r>
          </w:p>
        </w:tc>
        <w:tc>
          <w:tcPr>
            <w:tcW w:type="dxa" w:w="280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双编码器中间融合，完成单模态与融合消融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配准与标定</w:t>
            </w:r>
          </w:p>
        </w:tc>
        <w:tc>
          <w:tcPr>
            <w:tcW w:type="dxa" w:w="252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当前主要为轻量平移配准</w:t>
            </w:r>
          </w:p>
        </w:tc>
        <w:tc>
          <w:tcPr>
            <w:tcW w:type="dxa" w:w="203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1D6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需企业/医院/实验团队配合</w:t>
            </w:r>
          </w:p>
        </w:tc>
        <w:tc>
          <w:tcPr>
            <w:tcW w:type="dxa" w:w="280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离线双通道标定、在线残差校正、荧光仿体质控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ICG 定量</w:t>
            </w:r>
          </w:p>
        </w:tc>
        <w:tc>
          <w:tcPr>
            <w:tcW w:type="dxa" w:w="252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绝对强度受曝光、距离、剂量和运动影响</w:t>
            </w:r>
          </w:p>
        </w:tc>
        <w:tc>
          <w:tcPr>
            <w:tcW w:type="dxa" w:w="203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E3F1E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当前可直接落地</w:t>
            </w:r>
          </w:p>
        </w:tc>
        <w:tc>
          <w:tcPr>
            <w:tcW w:type="dxa" w:w="280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背景扣除、运动补偿、归一化时间强度曲线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4K实时分析</w:t>
            </w:r>
          </w:p>
        </w:tc>
        <w:tc>
          <w:tcPr>
            <w:tcW w:type="dxa" w:w="252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当前属于关键帧播放同步分析</w:t>
            </w:r>
          </w:p>
        </w:tc>
        <w:tc>
          <w:tcPr>
            <w:tcW w:type="dxa" w:w="203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E3F1E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当前可直接落地</w:t>
            </w:r>
          </w:p>
        </w:tc>
        <w:tc>
          <w:tcPr>
            <w:tcW w:type="dxa" w:w="280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4K播放与低分辨率异步AI双速管线，保留关键帧表述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不确定性</w:t>
            </w:r>
          </w:p>
        </w:tc>
        <w:tc>
          <w:tcPr>
            <w:tcW w:type="dxa" w:w="252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已有风险/不确定性输出，缺系统校准</w:t>
            </w:r>
          </w:p>
        </w:tc>
        <w:tc>
          <w:tcPr>
            <w:tcW w:type="dxa" w:w="203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E3F1E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当前可直接落地</w:t>
            </w:r>
          </w:p>
        </w:tc>
        <w:tc>
          <w:tcPr>
            <w:tcW w:type="dxa" w:w="280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温度缩放、TTA/集成方差、ECE/Brier与复核优先级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三维空间映射</w:t>
            </w:r>
          </w:p>
        </w:tc>
        <w:tc>
          <w:tcPr>
            <w:tcW w:type="dxa" w:w="252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具备CBCT三维工作台，术中坐标尚未注册</w:t>
            </w:r>
          </w:p>
        </w:tc>
        <w:tc>
          <w:tcPr>
            <w:tcW w:type="dxa" w:w="203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1D6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需企业/医院/实验团队配合</w:t>
            </w:r>
          </w:p>
        </w:tc>
        <w:tc>
          <w:tcPr>
            <w:tcW w:type="dxa" w:w="280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保持术前参考定位；完整导航需跟踪、配准与误差验证</w:t>
            </w:r>
          </w:p>
        </w:tc>
      </w:tr>
      <w:tr>
        <w:trPr>
          <w:cantSplit/>
        </w:trPr>
        <w:tc>
          <w:tcPr>
            <w:tcW w:type="dxa" w:w="167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最终参赛交付</w:t>
            </w:r>
          </w:p>
        </w:tc>
        <w:tc>
          <w:tcPr>
            <w:tcW w:type="dxa" w:w="252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仓库未发现按官方三项重排的最终Word/PDF</w:t>
            </w:r>
          </w:p>
        </w:tc>
        <w:tc>
          <w:tcPr>
            <w:tcW w:type="dxa" w:w="203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E3F1E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当前可直接落地</w:t>
            </w:r>
          </w:p>
        </w:tc>
        <w:tc>
          <w:tcPr>
            <w:tcW w:type="dxa" w:w="280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按造影剂、融合、AI、设备适配、证据边界重写并冻结</w:t>
            </w:r>
          </w:p>
        </w:tc>
      </w:tr>
    </w:tbl>
    <w:p>
      <w:pPr>
        <w:pStyle w:val="Heading1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3"/>
          <w:sz w:val="21"/>
          <w:szCs w:val="21"/>
        </w:rPr>
        <w:t xml:space="preserve">四、逐项解决方案</w:t>
      </w:r>
    </w:p>
    <w:p>
      <w:pPr>
        <w:pStyle w:val="Heading2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3"/>
          <w:sz w:val="21"/>
          <w:szCs w:val="21"/>
        </w:rPr>
        <w:t xml:space="preserve">4.1 新型荧光造影剂</w:t>
      </w:r>
    </w:p>
    <w:p>
      <w:pPr>
        <w:keepNext w:val="false"/>
        <w:spacing w:after="110" w:before="0" w:line="330"/>
        <w:ind w:firstLine="4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建议形成“骨定位 + 感染识别 + 近红外发光”的候选设计框架。骨定位端可采用磷酸基或双膦酸基，提高对羟基磷灰石的亲和力；感染识别端可评估万古霉素、IsaA抗体或金黄色葡萄球菌核酸酶激活底物；发光端优先考虑接近企业ICG检测窗口的七甲川菁类染料。</w:t>
      </w:r>
    </w:p>
    <w:p>
      <w:pPr>
        <w:pStyle w:val="ListParagraph"/>
        <w:numPr>
          <w:ilvl w:val="0"/>
          <w:numId w:val="2"/>
        </w:numPr>
        <w:spacing w:after="80" w:line="315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骨靶向证据：磷酸化近红外染料已显示骨矿物亲和与长期滞留能力。</w:t>
      </w:r>
    </w:p>
    <w:p>
      <w:pPr>
        <w:pStyle w:val="ListParagraph"/>
        <w:numPr>
          <w:ilvl w:val="0"/>
          <w:numId w:val="2"/>
        </w:numPr>
        <w:spacing w:after="80" w:line="315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细菌靶向证据：Vanco-800CW可识别革兰阳性菌及相关生物膜，已有动物、取出内固定物和人体尸体模型证据。</w:t>
      </w:r>
    </w:p>
    <w:p>
      <w:pPr>
        <w:pStyle w:val="ListParagraph"/>
        <w:numPr>
          <w:ilvl w:val="0"/>
          <w:numId w:val="2"/>
        </w:numPr>
        <w:spacing w:after="80" w:line="315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候选限制：颌骨骨髓炎可能为多菌种感染；单一万古霉素靶点覆盖有限。</w:t>
      </w:r>
    </w:p>
    <w:p>
      <w:pPr>
        <w:pStyle w:val="ListParagraph"/>
        <w:numPr>
          <w:ilvl w:val="0"/>
          <w:numId w:val="2"/>
        </w:numPr>
        <w:spacing w:after="80" w:line="315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光学限制：Vanco-800CW峰值与ICG通道接近但不完全一致，需获取企业滤光片透过曲线。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DCECF4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7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1"/>
                <w:szCs w:val="21"/>
              </w:rPr>
              <w:t xml:space="preserve">结论分类</w:t>
            </w:r>
          </w:p>
          <w:p>
            <w:pPr>
              <w:keepNext w:val="false"/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候选设计和文献论证可直接完成；合成、纯化、光谱、细胞、组织选择性及安全性验证需要化学、药理、口腔病理和实验团队协作。</w:t>
            </w:r>
          </w:p>
        </w:tc>
      </w:tr>
    </w:tbl>
    <w:p>
      <w:pPr>
        <w:pStyle w:val="Heading2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3"/>
          <w:sz w:val="21"/>
          <w:szCs w:val="21"/>
        </w:rPr>
        <w:t xml:space="preserve">4.2 四环素与骨自发荧光保底路径</w:t>
      </w:r>
    </w:p>
    <w:p>
      <w:pPr>
        <w:keepNext w:val="false"/>
        <w:spacing w:after="110" w:before="0" w:line="330"/>
        <w:ind w:firstLine="4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四环素标记与骨自发荧光在颌骨坏死、颌骨放射性坏死及慢性硬化性下颌骨髓炎中已有边界提示研究。该路线可支撑坏死骨与活性骨差异的科学机制，并可设计为造影剂对照组或扩展通道。其激发通常位于蓝光范围，和企业ICG近红外通道存在明显光谱差异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1D6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7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1"/>
                <w:szCs w:val="21"/>
              </w:rPr>
              <w:t xml:space="preserve">结论分类</w:t>
            </w:r>
          </w:p>
          <w:p>
            <w:pPr>
              <w:keepNext w:val="false"/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该路线适合降低造影剂章节的论证风险，无法单独满足原创近红外造影剂的全部验证要求。</w:t>
            </w:r>
          </w:p>
        </w:tc>
      </w:tr>
    </w:tbl>
    <w:p>
      <w:pPr>
        <w:pStyle w:val="Heading2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3"/>
          <w:sz w:val="21"/>
          <w:szCs w:val="21"/>
        </w:rPr>
        <w:t xml:space="preserve">4.3 真实目标域数据缺失</w:t>
      </w:r>
    </w:p>
    <w:p>
      <w:pPr>
        <w:keepNext w:val="false"/>
        <w:spacing w:after="110" w:before="0" w:line="330"/>
        <w:ind w:firstLine="4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本轮未核验到公开的“颌骨骨髓炎 + 白光/ICG + 可下载MP4 + 像素级标注”数据集。检索中出现的所谓MICCAI ICG-SEG仓库链接返回404；SurgeryVideoQA提供视频问答数据，未提供荧光分割mask。</w:t>
      </w:r>
    </w:p>
    <w:p>
      <w:pPr>
        <w:pStyle w:val="ListParagraph"/>
        <w:numPr>
          <w:ilvl w:val="0"/>
          <w:numId w:val="2"/>
        </w:numPr>
        <w:spacing w:after="80" w:line="315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公开荧光工程代理：OnLume/Dryad与OFDVDnet，可验证双通道、去噪、融合、低剂量和时序处理。</w:t>
      </w:r>
    </w:p>
    <w:p>
      <w:pPr>
        <w:pStyle w:val="ListParagraph"/>
        <w:numPr>
          <w:ilvl w:val="0"/>
          <w:numId w:val="2"/>
        </w:numPr>
        <w:spacing w:after="80" w:line="315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骨髓炎真实公开视频：本地清单已记录25个非荧光骨髓炎视频文件，可用于手术场景、视频输入和自监督预训练。</w:t>
      </w:r>
    </w:p>
    <w:p>
      <w:pPr>
        <w:pStyle w:val="ListParagraph"/>
        <w:numPr>
          <w:ilvl w:val="0"/>
          <w:numId w:val="2"/>
        </w:numPr>
        <w:spacing w:after="80" w:line="315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口腔多光谱代理：MODID可提供口腔组织多光谱先验，但其波段和ICG目标域不同。</w:t>
      </w:r>
    </w:p>
    <w:p>
      <w:pPr>
        <w:pStyle w:val="ListParagraph"/>
        <w:numPr>
          <w:ilvl w:val="0"/>
          <w:numId w:val="2"/>
        </w:numPr>
        <w:spacing w:after="80" w:line="315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CBCT层：ToothFairy2、D024/D025及少量医院CBCT用于颌骨解剖、三维表面和术前证据。</w:t>
      </w:r>
    </w:p>
    <w:p>
      <w:pPr>
        <w:pStyle w:val="ListParagraph"/>
        <w:numPr>
          <w:ilvl w:val="0"/>
          <w:numId w:val="2"/>
        </w:numPr>
        <w:spacing w:after="80" w:line="315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目标域层：后续企业/医院样片只用于微调、标定和独立测试，必须按病例和视频源隔离。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DCECF4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7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1"/>
                <w:szCs w:val="21"/>
              </w:rPr>
              <w:t xml:space="preserve">结论分类</w:t>
            </w:r>
          </w:p>
          <w:p>
            <w:pPr>
              <w:keepNext w:val="false"/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公开资料足以维持工程验证闭环；真实目标域临床性能没有可靠公开替代。</w:t>
            </w:r>
          </w:p>
        </w:tc>
      </w:tr>
    </w:tbl>
    <w:p>
      <w:pPr>
        <w:pStyle w:val="Heading2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3"/>
          <w:sz w:val="21"/>
          <w:szCs w:val="21"/>
        </w:rPr>
        <w:t xml:space="preserve">4.4 医生标注与小金标准集</w:t>
      </w:r>
    </w:p>
    <w:p>
      <w:pPr>
        <w:keepNext w:val="false"/>
        <w:spacing w:after="110" w:before="0" w:line="330"/>
        <w:ind w:firstLine="4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采用SAM 2视频传播和CVAT复核工作流，可以把医生工作量集中到高价值关键帧。建议先由工程人员完成帧筛选、提示框和初始mask，再由医生执行接受、修改或驳回。</w:t>
      </w:r>
    </w:p>
    <w:p>
      <w:pPr>
        <w:pStyle w:val="ListParagraph"/>
        <w:numPr>
          <w:ilvl w:val="0"/>
          <w:numId w:val="2"/>
        </w:numPr>
        <w:spacing w:after="80" w:line="315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首批目标：按不同视频源选择50-100个关键帧，覆盖暴露骨、软组织、器械遮挡、强弱荧光和边界模糊场景。</w:t>
      </w:r>
    </w:p>
    <w:p>
      <w:pPr>
        <w:pStyle w:val="ListParagraph"/>
        <w:numPr>
          <w:ilvl w:val="0"/>
          <w:numId w:val="2"/>
        </w:numPr>
        <w:spacing w:after="80" w:line="315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双人独立复核10%-20%样本，记录一致性和分歧仲裁。</w:t>
      </w:r>
    </w:p>
    <w:p>
      <w:pPr>
        <w:pStyle w:val="ListParagraph"/>
        <w:numPr>
          <w:ilvl w:val="0"/>
          <w:numId w:val="2"/>
        </w:numPr>
        <w:spacing w:after="80" w:line="315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accepted/modified进入高权重训练；rejected进入负例或错误分析；review_required不得进入金标准测试。</w:t>
      </w:r>
    </w:p>
    <w:p>
      <w:pPr>
        <w:pStyle w:val="ListParagraph"/>
        <w:numPr>
          <w:ilvl w:val="0"/>
          <w:numId w:val="2"/>
        </w:numPr>
        <w:spacing w:after="80" w:line="315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测试集先锁定，后续模型和伪标签不得反向污染测试集。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DCECF4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7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1"/>
                <w:szCs w:val="21"/>
              </w:rPr>
              <w:t xml:space="preserve">结论分类</w:t>
            </w:r>
          </w:p>
          <w:p>
            <w:pPr>
              <w:keepNext w:val="false"/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工具链可直接部署；标签的医学有效性仍依赖医生复核。</w:t>
            </w:r>
          </w:p>
        </w:tc>
      </w:tr>
    </w:tbl>
    <w:p>
      <w:pPr>
        <w:pStyle w:val="Heading2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3"/>
          <w:sz w:val="21"/>
          <w:szCs w:val="21"/>
        </w:rPr>
        <w:t xml:space="preserve">4.5 历史指标泄漏与可信评估</w:t>
      </w:r>
    </w:p>
    <w:p>
      <w:pPr>
        <w:keepNext w:val="false"/>
        <w:spacing w:after="110" w:before="0" w:line="330"/>
        <w:ind w:firstLine="4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现有关键帧伪标签以帧级sample_id进行划分，同一源视频的相邻帧可能同时进入训练集和验证集。由此得到的Dice 0.9093存在明显乐观偏差。</w:t>
      </w:r>
    </w:p>
    <w:p>
      <w:pPr>
        <w:pStyle w:val="ListParagraph"/>
        <w:numPr>
          <w:ilvl w:val="0"/>
          <w:numId w:val="2"/>
        </w:numPr>
        <w:spacing w:after="80" w:line="315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先按source_video_id或case_id分组切分，再从每组抽取关键帧。</w:t>
      </w:r>
    </w:p>
    <w:p>
      <w:pPr>
        <w:pStyle w:val="ListParagraph"/>
        <w:numPr>
          <w:ilvl w:val="0"/>
          <w:numId w:val="2"/>
        </w:numPr>
        <w:spacing w:after="80" w:line="315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重新训练全部候选模型，旧指标只保留为历史代理实验。</w:t>
      </w:r>
    </w:p>
    <w:p>
      <w:pPr>
        <w:pStyle w:val="ListParagraph"/>
        <w:numPr>
          <w:ilvl w:val="0"/>
          <w:numId w:val="2"/>
        </w:numPr>
        <w:spacing w:after="80" w:line="315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报告Dice、IoU、Boundary F1、空mask率、过分割率、灵敏度、特异度和视频级bootstrap置信区间。</w:t>
      </w:r>
    </w:p>
    <w:p>
      <w:pPr>
        <w:pStyle w:val="ListParagraph"/>
        <w:numPr>
          <w:ilvl w:val="0"/>
          <w:numId w:val="2"/>
        </w:numPr>
        <w:spacing w:after="80" w:line="315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真实医生标注测试集与伪标签测试集分开报告，禁止混合为单一临床指标。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E3F1E8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7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1"/>
                <w:szCs w:val="21"/>
              </w:rPr>
              <w:t xml:space="preserve">结论分类</w:t>
            </w:r>
          </w:p>
          <w:p>
            <w:pPr>
              <w:keepNext w:val="false"/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该问题完全由项目内部解决，且属于提交前最高优先级。</w:t>
            </w:r>
          </w:p>
        </w:tc>
      </w:tr>
    </w:tbl>
    <w:p>
      <w:pPr>
        <w:pStyle w:val="Heading2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3"/>
          <w:sz w:val="21"/>
          <w:szCs w:val="21"/>
        </w:rPr>
        <w:t xml:space="preserve">4.6 多 mask 模型全零</w:t>
      </w:r>
    </w:p>
    <w:p>
      <w:pPr>
        <w:keepNext w:val="false"/>
        <w:spacing w:after="110" w:before="0" w:line="330"/>
        <w:ind w:firstLine="4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当前多mask训练结果为零时，首要任务是验证标签、损失和坐标链路。继续替换网络架构无法自动修复空标签或极端类别不平衡。</w:t>
      </w:r>
    </w:p>
    <w:p>
      <w:pPr>
        <w:pStyle w:val="ListParagraph"/>
        <w:numPr>
          <w:ilvl w:val="0"/>
          <w:numId w:val="2"/>
        </w:numPr>
        <w:spacing w:after="80" w:line="315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统计每个mask的非空率、阳性面积比例、复核状态、空间尺寸和图像对应关系。</w:t>
      </w:r>
    </w:p>
    <w:p>
      <w:pPr>
        <w:pStyle w:val="ListParagraph"/>
        <w:numPr>
          <w:ilvl w:val="0"/>
          <w:numId w:val="2"/>
        </w:numPr>
        <w:spacing w:after="80" w:line="315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先让模型过拟合4-8个有效样本，确认前向、损失、反向和阈值链路。</w:t>
      </w:r>
    </w:p>
    <w:p>
      <w:pPr>
        <w:pStyle w:val="ListParagraph"/>
        <w:numPr>
          <w:ilvl w:val="0"/>
          <w:numId w:val="2"/>
        </w:numPr>
        <w:spacing w:after="80" w:line="315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采用正样本patch采样、BCE + Dice/Tversky、多头独立损失和逐头阈值扫描。</w:t>
      </w:r>
    </w:p>
    <w:p>
      <w:pPr>
        <w:pStyle w:val="ListParagraph"/>
        <w:numPr>
          <w:ilvl w:val="0"/>
          <w:numId w:val="2"/>
        </w:numPr>
        <w:spacing w:after="80" w:line="315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bone_gate_mask缺医生或prompt复核时继续保持不可用/待复核状态。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DCECF4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7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1"/>
                <w:szCs w:val="21"/>
              </w:rPr>
              <w:t xml:space="preserve">结论分类</w:t>
            </w:r>
          </w:p>
          <w:p>
            <w:pPr>
              <w:keepNext w:val="false"/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训练链路可直接修复；有效骨面标签仍依赖人工复核。</w:t>
            </w:r>
          </w:p>
        </w:tc>
      </w:tr>
    </w:tbl>
    <w:p>
      <w:pPr>
        <w:pStyle w:val="Heading2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3"/>
          <w:sz w:val="21"/>
          <w:szCs w:val="21"/>
        </w:rPr>
        <w:t xml:space="preserve">4.7 白光/荧光联合AI</w:t>
      </w:r>
    </w:p>
    <w:p>
      <w:pPr>
        <w:keepNext w:val="false"/>
        <w:spacing w:after="110" w:before="0" w:line="330"/>
        <w:ind w:firstLine="4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推荐以双编码器中间融合为首个可运行基线。白光分支学习骨面纹理、器械和解剖边界；荧光分支学习信号强度、灌注变化和时序特征；融合模块输出骨面门控、荧光信号、风险和不确定性四类mask。</w:t>
      </w:r>
    </w:p>
    <w:p>
      <w:pPr>
        <w:pStyle w:val="ListParagraph"/>
        <w:numPr>
          <w:ilvl w:val="0"/>
          <w:numId w:val="2"/>
        </w:numPr>
        <w:spacing w:after="80" w:line="315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完成四组消融：白光单模态、荧光单模态、输入级早期融合、特征级中间融合。</w:t>
      </w:r>
    </w:p>
    <w:p>
      <w:pPr>
        <w:pStyle w:val="ListParagraph"/>
        <w:numPr>
          <w:ilvl w:val="0"/>
          <w:numId w:val="2"/>
        </w:numPr>
        <w:spacing w:after="80" w:line="315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加入通道缺失训练和质量门控，避免单通道异常导致无提示输出。</w:t>
      </w:r>
    </w:p>
    <w:p>
      <w:pPr>
        <w:pStyle w:val="ListParagraph"/>
        <w:numPr>
          <w:ilvl w:val="0"/>
          <w:numId w:val="2"/>
        </w:numPr>
        <w:spacing w:after="80" w:line="315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使用公开配对荧光视频证明工程能力，目标域临床指标继续留空。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DCECF4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7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1"/>
                <w:szCs w:val="21"/>
              </w:rPr>
              <w:t xml:space="preserve">结论分类</w:t>
            </w:r>
          </w:p>
          <w:p>
            <w:pPr>
              <w:keepNext w:val="false"/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模型结构、训练脚本和推理adapter可直接实现；目标域有效性需要真实双通道数据。</w:t>
            </w:r>
          </w:p>
        </w:tc>
      </w:tr>
    </w:tbl>
    <w:p>
      <w:pPr>
        <w:pStyle w:val="Heading2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3"/>
          <w:sz w:val="21"/>
          <w:szCs w:val="21"/>
        </w:rPr>
        <w:t xml:space="preserve">4.8 配准、标定与设备适配</w:t>
      </w:r>
    </w:p>
    <w:p>
      <w:pPr>
        <w:keepNext w:val="false"/>
        <w:spacing w:after="110" w:before="0" w:line="330"/>
        <w:ind w:firstLine="4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离线标定应覆盖两通道内参、畸变、相对位姿、尺度和工作距离；在线阶段再以互信息、ECC或光流进行残差校正。使用含ICG或近红外荧光材料的组织仿体测量检测下限、均匀性、信噪比、畸变和通道偏移。</w:t>
      </w:r>
    </w:p>
    <w:p>
      <w:pPr>
        <w:pStyle w:val="ListParagraph"/>
        <w:numPr>
          <w:ilvl w:val="0"/>
          <w:numId w:val="2"/>
        </w:numPr>
        <w:spacing w:after="80" w:line="315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企业需确认白光/NIR原始通道是否分别导出，以及MP4中的通道布局。</w:t>
      </w:r>
    </w:p>
    <w:p>
      <w:pPr>
        <w:pStyle w:val="ListParagraph"/>
        <w:numPr>
          <w:ilvl w:val="0"/>
          <w:numId w:val="2"/>
        </w:numPr>
        <w:spacing w:after="80" w:line="315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企业需提供同步方式、时间戳、帧率、曝光、增益、倍率、工作距离和滤光片曲线。</w:t>
      </w:r>
    </w:p>
    <w:p>
      <w:pPr>
        <w:pStyle w:val="ListParagraph"/>
        <w:numPr>
          <w:ilvl w:val="0"/>
          <w:numId w:val="2"/>
        </w:numPr>
        <w:spacing w:after="80" w:line="315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若设备只输出合成overlay，平台可做显示与量化验证，无法恢复真实原始双通道。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1D6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7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1"/>
                <w:szCs w:val="21"/>
              </w:rPr>
              <w:t xml:space="preserve">结论分类</w:t>
            </w:r>
          </w:p>
          <w:p>
            <w:pPr>
              <w:keepNext w:val="false"/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算法和标定方案成熟；真实集成结论需要企业设备资料与实机样片。</w:t>
            </w:r>
          </w:p>
        </w:tc>
      </w:tr>
    </w:tbl>
    <w:p>
      <w:pPr>
        <w:pStyle w:val="Heading2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3"/>
          <w:sz w:val="21"/>
          <w:szCs w:val="21"/>
        </w:rPr>
        <w:t xml:space="preserve">4.9 ICG动态定量</w:t>
      </w:r>
    </w:p>
    <w:p>
      <w:pPr>
        <w:keepNext w:val="false"/>
        <w:spacing w:after="110" w:before="0" w:line="330"/>
        <w:ind w:firstLine="4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单帧绝对强度受设备、曝光、距离、组织表面、注射剂量和运动影响。建议将量化主线调整为背景扣除、运动补偿和归一化时间强度曲线，并输出到峰时间、归一化上升斜率、AUC和曲线质量。</w:t>
      </w:r>
    </w:p>
    <w:p>
      <w:pPr>
        <w:pStyle w:val="ListParagraph"/>
        <w:numPr>
          <w:ilvl w:val="0"/>
          <w:numId w:val="2"/>
        </w:numPr>
        <w:spacing w:after="80" w:line="315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锁定曝光、增益、照明、工作距离和采集时长。</w:t>
      </w:r>
    </w:p>
    <w:p>
      <w:pPr>
        <w:pStyle w:val="ListParagraph"/>
        <w:numPr>
          <w:ilvl w:val="0"/>
          <w:numId w:val="2"/>
        </w:numPr>
        <w:spacing w:after="80" w:line="315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记录剂量、注射时间、注射速率和可能的动脉输入函数。</w:t>
      </w:r>
    </w:p>
    <w:p>
      <w:pPr>
        <w:pStyle w:val="ListParagraph"/>
        <w:numPr>
          <w:ilvl w:val="0"/>
          <w:numId w:val="2"/>
        </w:numPr>
        <w:spacing w:after="80" w:line="315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对运动、出血、器械遮挡和饱和帧设置质量标记。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DCECF4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7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1"/>
                <w:szCs w:val="21"/>
              </w:rPr>
              <w:t xml:space="preserve">结论分类</w:t>
            </w:r>
          </w:p>
          <w:p>
            <w:pPr>
              <w:keepNext w:val="false"/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软件算法可直接落地；跨病例阈值需要标准化协议和真实样本验证。</w:t>
            </w:r>
          </w:p>
        </w:tc>
      </w:tr>
    </w:tbl>
    <w:p>
      <w:pPr>
        <w:pStyle w:val="Heading2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3"/>
          <w:sz w:val="21"/>
          <w:szCs w:val="21"/>
        </w:rPr>
        <w:t xml:space="preserve">4.10 4K关键帧近实时分析</w:t>
      </w:r>
    </w:p>
    <w:p>
      <w:pPr>
        <w:keepNext w:val="false"/>
        <w:spacing w:after="110" w:before="0" w:line="330"/>
        <w:ind w:firstLine="4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比赛版采用双速管线更稳妥：4K原视频保持正常播放，AI在缩放帧或ROI上异步运行；关键帧执行4K tiling，关键帧之间使用光流或视频分割传播。</w:t>
      </w:r>
    </w:p>
    <w:p>
      <w:pPr>
        <w:pStyle w:val="ListParagraph"/>
        <w:numPr>
          <w:ilvl w:val="0"/>
          <w:numId w:val="2"/>
        </w:numPr>
        <w:spacing w:after="80" w:line="315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硬件解码优先使用NVDEC/FFmpeg或等价路径。</w:t>
      </w:r>
    </w:p>
    <w:p>
      <w:pPr>
        <w:pStyle w:val="ListParagraph"/>
        <w:numPr>
          <w:ilvl w:val="0"/>
          <w:numId w:val="2"/>
        </w:numPr>
        <w:spacing w:after="80" w:line="315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推理层可评估TensorRT FP16、异步队列和丢帧策略。</w:t>
      </w:r>
    </w:p>
    <w:p>
      <w:pPr>
        <w:pStyle w:val="ListParagraph"/>
        <w:numPr>
          <w:ilvl w:val="0"/>
          <w:numId w:val="2"/>
        </w:numPr>
        <w:spacing w:after="80" w:line="315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记录解码、预处理、推理、后处理和显示的分阶段延迟及P95。</w:t>
      </w:r>
    </w:p>
    <w:p>
      <w:pPr>
        <w:pStyle w:val="ListParagraph"/>
        <w:numPr>
          <w:ilvl w:val="0"/>
          <w:numId w:val="2"/>
        </w:numPr>
        <w:spacing w:after="80" w:line="315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界面与报告继续标记keyframe-based playback analysis。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DCECF4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7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1"/>
                <w:szCs w:val="21"/>
              </w:rPr>
              <w:t xml:space="preserve">结论分类</w:t>
            </w:r>
          </w:p>
          <w:p>
            <w:pPr>
              <w:keepNext w:val="false"/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关键帧近实时可直接推进；4K逐帧30 FPS需要目标硬件实测后再作判断。</w:t>
            </w:r>
          </w:p>
        </w:tc>
      </w:tr>
    </w:tbl>
    <w:p>
      <w:pPr>
        <w:pStyle w:val="Heading2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3"/>
          <w:sz w:val="21"/>
          <w:szCs w:val="21"/>
        </w:rPr>
        <w:t xml:space="preserve">4.11 不确定性与医生复核优先级</w:t>
      </w:r>
    </w:p>
    <w:p>
      <w:pPr>
        <w:keepNext w:val="false"/>
        <w:spacing w:after="110" w:before="0" w:line="330"/>
        <w:ind w:firstLine="4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技术性不确定性可以通过温度缩放、测试时增强方差或深度集成获得，并与时序跳变、通道缺失和质量异常合并为复核优先级。</w:t>
      </w:r>
    </w:p>
    <w:p>
      <w:pPr>
        <w:pStyle w:val="ListParagraph"/>
        <w:numPr>
          <w:ilvl w:val="0"/>
          <w:numId w:val="2"/>
        </w:numPr>
        <w:spacing w:after="80" w:line="315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报告ECE、Brier score、可靠性图和选择性覆盖率。</w:t>
      </w:r>
    </w:p>
    <w:p>
      <w:pPr>
        <w:pStyle w:val="ListParagraph"/>
        <w:numPr>
          <w:ilvl w:val="0"/>
          <w:numId w:val="2"/>
        </w:numPr>
        <w:spacing w:after="80" w:line="315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高不确定性帧优先进入医生复核队列。</w:t>
      </w:r>
    </w:p>
    <w:p>
      <w:pPr>
        <w:pStyle w:val="ListParagraph"/>
        <w:numPr>
          <w:ilvl w:val="0"/>
          <w:numId w:val="2"/>
        </w:numPr>
        <w:spacing w:after="80" w:line="315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代理标签只能用于评估模型稳定性，无法校准疾病判断正确性。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DCECF4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7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1"/>
                <w:szCs w:val="21"/>
              </w:rPr>
              <w:t xml:space="preserve">结论分类</w:t>
            </w:r>
          </w:p>
          <w:p>
            <w:pPr>
              <w:keepNext w:val="false"/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技术性不确定性可直接实现；临床风险校准需要医生金标准和目标域队列。</w:t>
            </w:r>
          </w:p>
        </w:tc>
      </w:tr>
    </w:tbl>
    <w:p>
      <w:pPr>
        <w:pStyle w:val="Heading2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3"/>
          <w:sz w:val="21"/>
          <w:szCs w:val="21"/>
        </w:rPr>
        <w:t xml:space="preserve">4.12 三维工作台与术中空间映射</w:t>
      </w:r>
    </w:p>
    <w:p>
      <w:pPr>
        <w:keepNext w:val="false"/>
        <w:spacing w:after="110" w:before="0" w:line="330"/>
        <w:ind w:firstLine="4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ToothFairy2、nnU-Net和现有CBCT工作台可以支持术前上下颌分割、方向检查、三维表面和候选区证据展示。术中视频与CBCT之间缺少共同坐标系、光学跟踪和目标配准误差验证。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1D6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7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1"/>
                <w:szCs w:val="21"/>
              </w:rPr>
              <w:t xml:space="preserve">结论分类</w:t>
            </w:r>
          </w:p>
          <w:p>
            <w:pPr>
              <w:keepNext w:val="false"/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术前三维参考可直接保留；实时术中导航需要跟踪硬件、标志物/表面配准、坐标变换和误差验证，当前没有可靠软件替代。</w:t>
            </w:r>
          </w:p>
        </w:tc>
      </w:tr>
    </w:tbl>
    <w:p>
      <w:pPr>
        <w:pStyle w:val="Heading1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3"/>
          <w:sz w:val="21"/>
          <w:szCs w:val="21"/>
        </w:rPr>
        <w:t xml:space="preserve">五、国内外资料对项目的具体价值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300"/>
        <w:gridCol w:w="2600"/>
        <w:gridCol w:w="2326"/>
      </w:tblGrid>
      <w:tr>
        <w:trPr>
          <w:tblHeader/>
        </w:trPr>
        <w:tc>
          <w:tcPr>
            <w:tcW w:type="dxa" w:w="18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7324D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资料方向</w:t>
            </w:r>
          </w:p>
        </w:tc>
        <w:tc>
          <w:tcPr>
            <w:tcW w:type="dxa" w:w="23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7324D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代表来源</w:t>
            </w:r>
          </w:p>
        </w:tc>
        <w:tc>
          <w:tcPr>
            <w:tcW w:type="dxa" w:w="26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7324D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可用于</w:t>
            </w:r>
          </w:p>
        </w:tc>
        <w:tc>
          <w:tcPr>
            <w:tcW w:type="dxa" w:w="232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7324D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禁止声称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颌骨自发/四环素荧光</w:t>
            </w:r>
          </w:p>
        </w:tc>
        <w:tc>
          <w:tcPr>
            <w:tcW w:type="dxa" w:w="23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MRONJ、ORNJ、DCSO研究</w:t>
            </w:r>
          </w:p>
        </w:tc>
        <w:tc>
          <w:tcPr>
            <w:tcW w:type="dxa" w:w="26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边界机制、对照方案、未来验证设计</w:t>
            </w:r>
          </w:p>
        </w:tc>
        <w:tc>
          <w:tcPr>
            <w:tcW w:type="dxa" w:w="232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等同于企业ICG通道或原创造影剂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骨靶向近红外探针</w:t>
            </w:r>
          </w:p>
        </w:tc>
        <w:tc>
          <w:tcPr>
            <w:tcW w:type="dxa" w:w="23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磷酸化/双膦酸近红外染料</w:t>
            </w:r>
          </w:p>
        </w:tc>
        <w:tc>
          <w:tcPr>
            <w:tcW w:type="dxa" w:w="26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候选分子骨亲和端设计</w:t>
            </w:r>
          </w:p>
        </w:tc>
        <w:tc>
          <w:tcPr>
            <w:tcW w:type="dxa" w:w="232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已经实现骨髓炎选择性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细菌靶向探针</w:t>
            </w:r>
          </w:p>
        </w:tc>
        <w:tc>
          <w:tcPr>
            <w:tcW w:type="dxa" w:w="23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Vanco-800CW、1D9-680、激活型核酸酶探针</w:t>
            </w:r>
          </w:p>
        </w:tc>
        <w:tc>
          <w:tcPr>
            <w:tcW w:type="dxa" w:w="26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感染靶向端与验证指标</w:t>
            </w:r>
          </w:p>
        </w:tc>
        <w:tc>
          <w:tcPr>
            <w:tcW w:type="dxa" w:w="232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覆盖所有颌骨骨髓炎病原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公开荧光视频</w:t>
            </w:r>
          </w:p>
        </w:tc>
        <w:tc>
          <w:tcPr>
            <w:tcW w:type="dxa" w:w="23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OnLume Dryad、OFDVDnet</w:t>
            </w:r>
          </w:p>
        </w:tc>
        <w:tc>
          <w:tcPr>
            <w:tcW w:type="dxa" w:w="26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双通道融合、去噪、时序与4K/MP4工程</w:t>
            </w:r>
          </w:p>
        </w:tc>
        <w:tc>
          <w:tcPr>
            <w:tcW w:type="dxa" w:w="232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真实颌骨骨髓炎术中数据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骨感染/骨髓炎视频</w:t>
            </w:r>
          </w:p>
        </w:tc>
        <w:tc>
          <w:tcPr>
            <w:tcW w:type="dxa" w:w="23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PMC论文补充视频</w:t>
            </w:r>
          </w:p>
        </w:tc>
        <w:tc>
          <w:tcPr>
            <w:tcW w:type="dxa" w:w="26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真实手术场景、自监督预训练和演示</w:t>
            </w:r>
          </w:p>
        </w:tc>
        <w:tc>
          <w:tcPr>
            <w:tcW w:type="dxa" w:w="232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荧光数据或像素级金标准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手术视频工具</w:t>
            </w:r>
          </w:p>
        </w:tc>
        <w:tc>
          <w:tcPr>
            <w:tcW w:type="dxa" w:w="23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SAM 2、CVAT、MONAI Label</w:t>
            </w:r>
          </w:p>
        </w:tc>
        <w:tc>
          <w:tcPr>
            <w:tcW w:type="dxa" w:w="26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标注加速、传播、复核和回灌</w:t>
            </w:r>
          </w:p>
        </w:tc>
        <w:tc>
          <w:tcPr>
            <w:tcW w:type="dxa" w:w="232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自动生成医学真值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实时AI框架</w:t>
            </w:r>
          </w:p>
        </w:tc>
        <w:tc>
          <w:tcPr>
            <w:tcW w:type="dxa" w:w="23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TensorRT、Holoscan</w:t>
            </w:r>
          </w:p>
        </w:tc>
        <w:tc>
          <w:tcPr>
            <w:tcW w:type="dxa" w:w="26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低延迟管线与目标硬件基准</w:t>
            </w:r>
          </w:p>
        </w:tc>
        <w:tc>
          <w:tcPr>
            <w:tcW w:type="dxa" w:w="232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本项目已达到某一实时帧率</w:t>
            </w:r>
          </w:p>
        </w:tc>
      </w:tr>
    </w:tbl>
    <w:p>
      <w:pPr>
        <w:pStyle w:val="Heading1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3"/>
          <w:sz w:val="21"/>
          <w:szCs w:val="21"/>
        </w:rPr>
        <w:t xml:space="preserve">六、提交前优先级与时间安排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4850"/>
        <w:gridCol w:w="2726"/>
      </w:tblGrid>
      <w:tr>
        <w:trPr>
          <w:tblHeader/>
        </w:trPr>
        <w:tc>
          <w:tcPr>
            <w:tcW w:type="dxa" w:w="145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7324D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时间窗</w:t>
            </w:r>
          </w:p>
        </w:tc>
        <w:tc>
          <w:tcPr>
            <w:tcW w:type="dxa" w:w="485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7324D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必须完成</w:t>
            </w:r>
          </w:p>
        </w:tc>
        <w:tc>
          <w:tcPr>
            <w:tcW w:type="dxa" w:w="272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7324D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验收证据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第1-3天</w:t>
            </w:r>
          </w:p>
        </w:tc>
        <w:tc>
          <w:tcPr>
            <w:tcW w:type="dxa" w:w="485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冻结造影剂候选结构、机理、光谱适配与验证矩阵；向企业发送设备问题清单</w:t>
            </w:r>
          </w:p>
        </w:tc>
        <w:tc>
          <w:tcPr>
            <w:tcW w:type="dxa" w:w="272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候选方案图、验证表、企业问题清单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第1-5天</w:t>
            </w:r>
          </w:p>
        </w:tc>
        <w:tc>
          <w:tcPr>
            <w:tcW w:type="dxa" w:w="485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完成视频源级重划分、泄漏检查、重训练和阈值扫描</w:t>
            </w:r>
          </w:p>
        </w:tc>
        <w:tc>
          <w:tcPr>
            <w:tcW w:type="dxa" w:w="272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split manifest、leakage=0、重评估报告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第4-9天</w:t>
            </w:r>
          </w:p>
        </w:tc>
        <w:tc>
          <w:tcPr>
            <w:tcW w:type="dxa" w:w="485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实现最小双通道模型及四组消融；修复多mask全零问题</w:t>
            </w:r>
          </w:p>
        </w:tc>
        <w:tc>
          <w:tcPr>
            <w:tcW w:type="dxa" w:w="272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模型代码、checkpoint、adapter、消融表、失败分析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第6-11天</w:t>
            </w:r>
          </w:p>
        </w:tc>
        <w:tc>
          <w:tcPr>
            <w:tcW w:type="dxa" w:w="485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完成真实长MP4、异常编码、4K延迟和资源测试</w:t>
            </w:r>
          </w:p>
        </w:tc>
        <w:tc>
          <w:tcPr>
            <w:tcW w:type="dxa" w:w="272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P50/P95延迟、显存/RSS、失败恢复记录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第8-15天</w:t>
            </w:r>
          </w:p>
        </w:tc>
        <w:tc>
          <w:tcPr>
            <w:tcW w:type="dxa" w:w="485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按官方三项核心要求形成最终Word/PDF初稿</w:t>
            </w:r>
          </w:p>
        </w:tc>
        <w:tc>
          <w:tcPr>
            <w:tcW w:type="dxa" w:w="272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章节完整性检查、引用和医学边界检查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第16-18天</w:t>
            </w:r>
          </w:p>
        </w:tc>
        <w:tc>
          <w:tcPr>
            <w:tcW w:type="dxa" w:w="485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冻结比赛版本、全量测试、录屏和证据包</w:t>
            </w:r>
          </w:p>
        </w:tc>
        <w:tc>
          <w:tcPr>
            <w:tcW w:type="dxa" w:w="272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Git标签、模型清单、校验和、三分钟演示视频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第19-20天</w:t>
            </w:r>
          </w:p>
        </w:tc>
        <w:tc>
          <w:tcPr>
            <w:tcW w:type="dxa" w:w="485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交叉复核与提交包校验</w:t>
            </w:r>
          </w:p>
        </w:tc>
        <w:tc>
          <w:tcPr>
            <w:tcW w:type="dxa" w:w="272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Word/PDF一致性、报名表、压缩包可解压和哈希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1D6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7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7324D"/>
                <w:sz w:val="21"/>
                <w:szCs w:val="21"/>
              </w:rPr>
              <w:t xml:space="preserve">资源取舍</w:t>
            </w:r>
          </w:p>
          <w:p>
            <w:pPr>
              <w:keepNext w:val="false"/>
              <w:spacing w:after="0" w:before="0" w:line="3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主投入集中于造影剂答题、无泄漏AI证据、双通道融合、设备适配和最终交付。DICOM、远程协作和新的三维视觉效果保持现状，避免消耗核心交付时间。</w:t>
            </w:r>
          </w:p>
        </w:tc>
      </w:tr>
    </w:tbl>
    <w:p>
      <w:pPr>
        <w:pStyle w:val="Heading1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3"/>
          <w:sz w:val="21"/>
          <w:szCs w:val="21"/>
        </w:rPr>
        <w:t xml:space="preserve">七、企业、医院与实验团队协作清单</w:t>
      </w:r>
    </w:p>
    <w:p>
      <w:pPr>
        <w:pStyle w:val="Heading2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3"/>
          <w:sz w:val="21"/>
          <w:szCs w:val="21"/>
        </w:rPr>
        <w:t xml:space="preserve">7.1 企业显微镜团队</w:t>
      </w:r>
    </w:p>
    <w:p>
      <w:pPr>
        <w:pStyle w:val="ListParagraph"/>
        <w:numPr>
          <w:ilvl w:val="0"/>
          <w:numId w:val="2"/>
        </w:numPr>
        <w:spacing w:after="80" w:line="315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提供一段原始白光/NIR双通道JPEG或MP4样片及文件说明。</w:t>
      </w:r>
    </w:p>
    <w:p>
      <w:pPr>
        <w:pStyle w:val="ListParagraph"/>
        <w:numPr>
          <w:ilvl w:val="0"/>
          <w:numId w:val="2"/>
        </w:numPr>
        <w:spacing w:after="80" w:line="315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确认通道编码、同步、时间戳、帧率、曝光、增益、倍率、工作距离和滤光片曲线。</w:t>
      </w:r>
    </w:p>
    <w:p>
      <w:pPr>
        <w:pStyle w:val="ListParagraph"/>
        <w:numPr>
          <w:ilvl w:val="0"/>
          <w:numId w:val="2"/>
        </w:numPr>
        <w:spacing w:after="80" w:line="315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确认第三方候选染料可兼容的激发/发射范围及设备安全边界。</w:t>
      </w:r>
    </w:p>
    <w:p>
      <w:pPr>
        <w:pStyle w:val="ListParagraph"/>
        <w:numPr>
          <w:ilvl w:val="0"/>
          <w:numId w:val="2"/>
        </w:numPr>
        <w:spacing w:after="80" w:line="315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安排一次实机导入、播放、分析和导出验证。</w:t>
      </w:r>
    </w:p>
    <w:p>
      <w:pPr>
        <w:pStyle w:val="Heading2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3"/>
          <w:sz w:val="21"/>
          <w:szCs w:val="21"/>
        </w:rPr>
        <w:t xml:space="preserve">7.2 医院与医生</w:t>
      </w:r>
    </w:p>
    <w:p>
      <w:pPr>
        <w:pStyle w:val="ListParagraph"/>
        <w:numPr>
          <w:ilvl w:val="0"/>
          <w:numId w:val="2"/>
        </w:numPr>
        <w:spacing w:after="80" w:line="315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复核50-100个关键帧和少量CBCT病例，给出接受、修改或驳回状态。</w:t>
      </w:r>
    </w:p>
    <w:p>
      <w:pPr>
        <w:pStyle w:val="ListParagraph"/>
        <w:numPr>
          <w:ilvl w:val="0"/>
          <w:numId w:val="2"/>
        </w:numPr>
        <w:spacing w:after="80" w:line="315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确认术中真正关心的输出：暴露骨、灌注信号、边界风险、器械遮挡和不确定性。</w:t>
      </w:r>
    </w:p>
    <w:p>
      <w:pPr>
        <w:pStyle w:val="ListParagraph"/>
        <w:numPr>
          <w:ilvl w:val="0"/>
          <w:numId w:val="2"/>
        </w:numPr>
        <w:spacing w:after="80" w:line="315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对最终报告措辞、病例展示和医生复核流程进行医学审阅。</w:t>
      </w:r>
    </w:p>
    <w:p>
      <w:pPr>
        <w:pStyle w:val="Heading2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3"/>
          <w:sz w:val="21"/>
          <w:szCs w:val="21"/>
        </w:rPr>
        <w:t xml:space="preserve">7.3 化学与实验团队</w:t>
      </w:r>
    </w:p>
    <w:p>
      <w:pPr>
        <w:pStyle w:val="ListParagraph"/>
        <w:numPr>
          <w:ilvl w:val="0"/>
          <w:numId w:val="2"/>
        </w:numPr>
        <w:spacing w:after="80" w:line="315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评估候选结构的合成可行性、纯化和稳定性。</w:t>
      </w:r>
    </w:p>
    <w:p>
      <w:pPr>
        <w:pStyle w:val="ListParagraph"/>
        <w:numPr>
          <w:ilvl w:val="0"/>
          <w:numId w:val="2"/>
        </w:numPr>
        <w:spacing w:after="80" w:line="315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测量吸收/发射光谱、量子产率、光稳定性和组织背景。</w:t>
      </w:r>
    </w:p>
    <w:p>
      <w:pPr>
        <w:pStyle w:val="ListParagraph"/>
        <w:numPr>
          <w:ilvl w:val="0"/>
          <w:numId w:val="2"/>
        </w:numPr>
        <w:spacing w:after="80" w:line="315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设计羟基磷灰石结合、细菌选择性、细胞毒性和离体组织成像实验。</w:t>
      </w:r>
    </w:p>
    <w:p>
      <w:pPr>
        <w:pStyle w:val="ListParagraph"/>
        <w:numPr>
          <w:ilvl w:val="0"/>
          <w:numId w:val="2"/>
        </w:numPr>
        <w:spacing w:after="80" w:line="315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记录阴性、竞争抑制、无菌炎症和多菌种对照。</w:t>
      </w:r>
    </w:p>
    <w:p>
      <w:pPr>
        <w:pStyle w:val="Heading1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3"/>
          <w:sz w:val="21"/>
          <w:szCs w:val="21"/>
        </w:rPr>
        <w:t xml:space="preserve">八、证据边界与声明模板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7324D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场景</w:t>
            </w:r>
          </w:p>
        </w:tc>
        <w:tc>
          <w:tcPr>
            <w:tcW w:type="dxa" w:w="682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17324D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建议表述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ICG输出</w:t>
            </w:r>
          </w:p>
        </w:tc>
        <w:tc>
          <w:tcPr>
            <w:tcW w:type="dxa" w:w="682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反映灌注、血管通透性和组织活性差异，用于术中参考和医生复核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AI分割</w:t>
            </w:r>
          </w:p>
        </w:tc>
        <w:tc>
          <w:tcPr>
            <w:tcW w:type="dxa" w:w="682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输出视频信号候选区、边界风险和不确定性提示，不作疾病终判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代理数据指标</w:t>
            </w:r>
          </w:p>
        </w:tc>
        <w:tc>
          <w:tcPr>
            <w:tcW w:type="dxa" w:w="682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用于验证工程可运行性、模型训练链路和相对比较，不代表目标域临床性能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公开异域视频</w:t>
            </w:r>
          </w:p>
        </w:tc>
        <w:tc>
          <w:tcPr>
            <w:tcW w:type="dxa" w:w="682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明确公开来源、荧光属性、医学场景和非目标域边界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三维模型</w:t>
            </w:r>
          </w:p>
        </w:tc>
        <w:tc>
          <w:tcPr>
            <w:tcW w:type="dxa" w:w="682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FFFFF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公开异域解剖分割或高阈值硬组织代理；方向和边界需医生/Slicer复核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候选造影剂</w:t>
            </w:r>
          </w:p>
        </w:tc>
        <w:tc>
          <w:tcPr>
            <w:tcW w:type="dxa" w:w="6826"/>
            <w:tcBorders>
              <w:top w:val="single" w:color="B8C4CC" w:sz="4"/>
              <w:left w:val="single" w:color="B8C4CC" w:sz="4"/>
              <w:bottom w:val="single" w:color="B8C4CC" w:sz="4"/>
              <w:right w:val="single" w:color="B8C4CC" w:sz="4"/>
            </w:tcBorders>
            <w:shd w:fill="F3F6F8" w:val="clear"/>
            <w:tcMar>
              <w:top w:type="dxa" w:w="95"/>
              <w:left w:type="dxa" w:w="105"/>
              <w:bottom w:type="dxa" w:w="95"/>
              <w:right w:type="dxa" w:w="105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>文献支持的设计方案及未来验证路径；未完成实物合成时不报告原创实验性能</w:t>
            </w:r>
          </w:p>
        </w:tc>
      </w:tr>
    </w:tbl>
    <w:p>
      <w:pPr>
        <w:pStyle w:val="Heading1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3"/>
          <w:sz w:val="21"/>
          <w:szCs w:val="21"/>
        </w:rPr>
        <w:t xml:space="preserve">九、主要参考资料与链接</w:t>
      </w:r>
    </w:p>
    <w:p>
      <w:pPr>
        <w:keepNext w:val="false"/>
        <w:spacing w:after="110" w:before="0" w:line="33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0"/>
          <w:szCs w:val="20"/>
        </w:rPr>
        <w:t xml:space="preserve">官方本地赛题方案：HT-202604成都科奥达光电技术有限公司-面向颌骨骨髓炎的智能化荧光诊疗比赛方案.pdf（本地忽略文件，不外传）</w:t>
      </w:r>
    </w:p>
    <w:p>
      <w:pPr>
        <w:spacing w:after="70" w:line="300"/>
      </w:pPr>
      <w:hyperlink w:history="1" r:id="rId78q7evdirfdyzpfez4_k3">
        <w:r>
          <w:rPr>
            <w:rStyle w:val="Hyperlink"/>
            <w:rFonts w:ascii="Microsoft YaHei" w:cs="Microsoft YaHei" w:eastAsia="Microsoft YaHei" w:hAnsi="Microsoft YaHei"/>
            <w:sz w:val="20"/>
            <w:szCs w:val="20"/>
          </w:rPr>
          <w:t xml:space="preserve">磷酸化近红外骨靶向探针</w:t>
        </w:r>
      </w:hyperlink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770"/>
          <w:sz w:val="20"/>
          <w:szCs w:val="20"/>
        </w:rPr>
        <w:t xml:space="preserve"/>
      </w:r>
    </w:p>
    <w:p>
      <w:pPr>
        <w:spacing w:after="70" w:line="300"/>
      </w:pPr>
      <w:hyperlink w:history="1" r:id="rId82u_qolv8xfal3txijurn">
        <w:r>
          <w:rPr>
            <w:rStyle w:val="Hyperlink"/>
            <w:rFonts w:ascii="Microsoft YaHei" w:cs="Microsoft YaHei" w:eastAsia="Microsoft YaHei" w:hAnsi="Microsoft YaHei"/>
            <w:sz w:val="20"/>
            <w:szCs w:val="20"/>
          </w:rPr>
          <w:t xml:space="preserve">Vanco-800CW活体细菌成像</w:t>
        </w:r>
      </w:hyperlink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770"/>
          <w:sz w:val="20"/>
          <w:szCs w:val="20"/>
        </w:rPr>
        <w:t xml:space="preserve"/>
      </w:r>
    </w:p>
    <w:p>
      <w:pPr>
        <w:spacing w:after="70" w:line="300"/>
      </w:pPr>
      <w:hyperlink w:history="1" r:id="rIdibwh24_rxjj6flobp1n0n">
        <w:r>
          <w:rPr>
            <w:rStyle w:val="Hyperlink"/>
            <w:rFonts w:ascii="Microsoft YaHei" w:cs="Microsoft YaHei" w:eastAsia="Microsoft YaHei" w:hAnsi="Microsoft YaHei"/>
            <w:sz w:val="20"/>
            <w:szCs w:val="20"/>
          </w:rPr>
          <w:t xml:space="preserve">Vanco-800CW取出内固定物验证</w:t>
        </w:r>
      </w:hyperlink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770"/>
          <w:sz w:val="20"/>
          <w:szCs w:val="20"/>
        </w:rPr>
        <w:t xml:space="preserve"/>
      </w:r>
    </w:p>
    <w:p>
      <w:pPr>
        <w:spacing w:after="70" w:line="300"/>
      </w:pPr>
      <w:hyperlink w:history="1" r:id="rIdf9tt1pflkafdr1vhmnk51">
        <w:r>
          <w:rPr>
            <w:rStyle w:val="Hyperlink"/>
            <w:rFonts w:ascii="Microsoft YaHei" w:cs="Microsoft YaHei" w:eastAsia="Microsoft YaHei" w:hAnsi="Microsoft YaHei"/>
            <w:sz w:val="20"/>
            <w:szCs w:val="20"/>
          </w:rPr>
          <w:t xml:space="preserve">葡萄球菌植入感染荧光引导清创</w:t>
        </w:r>
      </w:hyperlink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770"/>
          <w:sz w:val="20"/>
          <w:szCs w:val="20"/>
        </w:rPr>
        <w:t xml:space="preserve"/>
      </w:r>
    </w:p>
    <w:p>
      <w:pPr>
        <w:spacing w:after="70" w:line="300"/>
      </w:pPr>
      <w:hyperlink w:history="1" r:id="rId3dhnub_prdraybcxxp1jo">
        <w:r>
          <w:rPr>
            <w:rStyle w:val="Hyperlink"/>
            <w:rFonts w:ascii="Microsoft YaHei" w:cs="Microsoft YaHei" w:eastAsia="Microsoft YaHei" w:hAnsi="Microsoft YaHei"/>
            <w:sz w:val="20"/>
            <w:szCs w:val="20"/>
          </w:rPr>
          <w:t xml:space="preserve">MRONJ自发荧光与四环素荧光对照</w:t>
        </w:r>
      </w:hyperlink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770"/>
          <w:sz w:val="20"/>
          <w:szCs w:val="20"/>
        </w:rPr>
        <w:t xml:space="preserve"/>
      </w:r>
    </w:p>
    <w:p>
      <w:pPr>
        <w:spacing w:after="70" w:line="300"/>
      </w:pPr>
      <w:hyperlink w:history="1" r:id="rId-k_vy0ale3kwaskrdj7t7">
        <w:r>
          <w:rPr>
            <w:rStyle w:val="Hyperlink"/>
            <w:rFonts w:ascii="Microsoft YaHei" w:cs="Microsoft YaHei" w:eastAsia="Microsoft YaHei" w:hAnsi="Microsoft YaHei"/>
            <w:sz w:val="20"/>
            <w:szCs w:val="20"/>
          </w:rPr>
          <w:t xml:space="preserve">下颌慢性硬化性骨髓炎荧光引导切除</w:t>
        </w:r>
      </w:hyperlink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770"/>
          <w:sz w:val="20"/>
          <w:szCs w:val="20"/>
        </w:rPr>
        <w:t xml:space="preserve"/>
      </w:r>
    </w:p>
    <w:p>
      <w:pPr>
        <w:spacing w:after="70" w:line="300"/>
      </w:pPr>
      <w:hyperlink w:history="1" r:id="rIdxqetwj34i0cdnbr_nvtxa">
        <w:r>
          <w:rPr>
            <w:rStyle w:val="Hyperlink"/>
            <w:rFonts w:ascii="Microsoft YaHei" w:cs="Microsoft YaHei" w:eastAsia="Microsoft YaHei" w:hAnsi="Microsoft YaHei"/>
            <w:sz w:val="20"/>
            <w:szCs w:val="20"/>
          </w:rPr>
          <w:t xml:space="preserve">2025年骨自发荧光与病理相关研究</w:t>
        </w:r>
      </w:hyperlink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770"/>
          <w:sz w:val="20"/>
          <w:szCs w:val="20"/>
        </w:rPr>
        <w:t xml:space="preserve"/>
      </w:r>
    </w:p>
    <w:p>
      <w:pPr>
        <w:spacing w:after="70" w:line="300"/>
      </w:pPr>
      <w:hyperlink w:history="1" r:id="rIdh0gz6vzlsdkxj7rdirjd0">
        <w:r>
          <w:rPr>
            <w:rStyle w:val="Hyperlink"/>
            <w:rFonts w:ascii="Microsoft YaHei" w:cs="Microsoft YaHei" w:eastAsia="Microsoft YaHei" w:hAnsi="Microsoft YaHei"/>
            <w:sz w:val="20"/>
            <w:szCs w:val="20"/>
          </w:rPr>
          <w:t xml:space="preserve">颌骨放射性坏死荧光引导手术</w:t>
        </w:r>
      </w:hyperlink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770"/>
          <w:sz w:val="20"/>
          <w:szCs w:val="20"/>
        </w:rPr>
        <w:t xml:space="preserve"/>
      </w:r>
    </w:p>
    <w:p>
      <w:pPr>
        <w:spacing w:after="70" w:line="300"/>
      </w:pPr>
      <w:hyperlink w:history="1" r:id="rIduflv1ismiqpa64_rwycik">
        <w:r>
          <w:rPr>
            <w:rStyle w:val="Hyperlink"/>
            <w:rFonts w:ascii="Microsoft YaHei" w:cs="Microsoft YaHei" w:eastAsia="Microsoft YaHei" w:hAnsi="Microsoft YaHei"/>
            <w:sz w:val="20"/>
            <w:szCs w:val="20"/>
          </w:rPr>
          <w:t xml:space="preserve">OnLume荧光视频去噪数据</w:t>
        </w:r>
      </w:hyperlink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770"/>
          <w:sz w:val="20"/>
          <w:szCs w:val="20"/>
        </w:rPr>
        <w:t xml:space="preserve"/>
      </w:r>
    </w:p>
    <w:p>
      <w:pPr>
        <w:spacing w:after="70" w:line="300"/>
      </w:pPr>
      <w:hyperlink w:history="1" r:id="rIdsl5lr3xqsn38fbklizju4">
        <w:r>
          <w:rPr>
            <w:rStyle w:val="Hyperlink"/>
            <w:rFonts w:ascii="Microsoft YaHei" w:cs="Microsoft YaHei" w:eastAsia="Microsoft YaHei" w:hAnsi="Microsoft YaHei"/>
            <w:sz w:val="20"/>
            <w:szCs w:val="20"/>
          </w:rPr>
          <w:t xml:space="preserve">OFDVDnet荧光手术视频数据</w:t>
        </w:r>
      </w:hyperlink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770"/>
          <w:sz w:val="20"/>
          <w:szCs w:val="20"/>
        </w:rPr>
        <w:t xml:space="preserve"/>
      </w:r>
    </w:p>
    <w:p>
      <w:pPr>
        <w:spacing w:after="70" w:line="300"/>
      </w:pPr>
      <w:hyperlink w:history="1" r:id="rIdscfee5ntslp-eifsfmote">
        <w:r>
          <w:rPr>
            <w:rStyle w:val="Hyperlink"/>
            <w:rFonts w:ascii="Microsoft YaHei" w:cs="Microsoft YaHei" w:eastAsia="Microsoft YaHei" w:hAnsi="Microsoft YaHei"/>
            <w:sz w:val="20"/>
            <w:szCs w:val="20"/>
          </w:rPr>
          <w:t xml:space="preserve">口腔多光谱MODID数据</w:t>
        </w:r>
      </w:hyperlink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770"/>
          <w:sz w:val="20"/>
          <w:szCs w:val="20"/>
        </w:rPr>
        <w:t xml:space="preserve"/>
      </w:r>
    </w:p>
    <w:p>
      <w:pPr>
        <w:spacing w:after="70" w:line="300"/>
      </w:pPr>
      <w:hyperlink w:history="1" r:id="rIdpamgkmdcape0mne9yymlc">
        <w:r>
          <w:rPr>
            <w:rStyle w:val="Hyperlink"/>
            <w:rFonts w:ascii="Microsoft YaHei" w:cs="Microsoft YaHei" w:eastAsia="Microsoft YaHei" w:hAnsi="Microsoft YaHei"/>
            <w:sz w:val="20"/>
            <w:szCs w:val="20"/>
          </w:rPr>
          <w:t xml:space="preserve">SAM 2</w:t>
        </w:r>
      </w:hyperlink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770"/>
          <w:sz w:val="20"/>
          <w:szCs w:val="20"/>
        </w:rPr>
        <w:t xml:space="preserve"/>
      </w:r>
    </w:p>
    <w:p>
      <w:pPr>
        <w:spacing w:after="70" w:line="300"/>
      </w:pPr>
      <w:hyperlink w:history="1" r:id="rIddsazlgu0cnggrvltwrjyx">
        <w:r>
          <w:rPr>
            <w:rStyle w:val="Hyperlink"/>
            <w:rFonts w:ascii="Microsoft YaHei" w:cs="Microsoft YaHei" w:eastAsia="Microsoft YaHei" w:hAnsi="Microsoft YaHei"/>
            <w:sz w:val="20"/>
            <w:szCs w:val="20"/>
          </w:rPr>
          <w:t xml:space="preserve">CVAT</w:t>
        </w:r>
      </w:hyperlink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770"/>
          <w:sz w:val="20"/>
          <w:szCs w:val="20"/>
        </w:rPr>
        <w:t xml:space="preserve"/>
      </w:r>
    </w:p>
    <w:p>
      <w:pPr>
        <w:spacing w:after="70" w:line="300"/>
      </w:pPr>
      <w:hyperlink w:history="1" r:id="rIddqgurwvpoxqpkw0heozi_">
        <w:r>
          <w:rPr>
            <w:rStyle w:val="Hyperlink"/>
            <w:rFonts w:ascii="Microsoft YaHei" w:cs="Microsoft YaHei" w:eastAsia="Microsoft YaHei" w:hAnsi="Microsoft YaHei"/>
            <w:sz w:val="20"/>
            <w:szCs w:val="20"/>
          </w:rPr>
          <w:t xml:space="preserve">MONAI Label</w:t>
        </w:r>
      </w:hyperlink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770"/>
          <w:sz w:val="20"/>
          <w:szCs w:val="20"/>
        </w:rPr>
        <w:t xml:space="preserve"/>
      </w:r>
    </w:p>
    <w:p>
      <w:pPr>
        <w:spacing w:after="70" w:line="300"/>
      </w:pPr>
      <w:hyperlink w:history="1" r:id="rIdjawu0iy25yyxmd00qpqaa">
        <w:r>
          <w:rPr>
            <w:rStyle w:val="Hyperlink"/>
            <w:rFonts w:ascii="Microsoft YaHei" w:cs="Microsoft YaHei" w:eastAsia="Microsoft YaHei" w:hAnsi="Microsoft YaHei"/>
            <w:sz w:val="20"/>
            <w:szCs w:val="20"/>
          </w:rPr>
          <w:t xml:space="preserve">ICG时间强度曲线归一化</w:t>
        </w:r>
      </w:hyperlink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770"/>
          <w:sz w:val="20"/>
          <w:szCs w:val="20"/>
        </w:rPr>
        <w:t xml:space="preserve"/>
      </w:r>
    </w:p>
    <w:p>
      <w:pPr>
        <w:spacing w:after="70" w:line="300"/>
      </w:pPr>
      <w:hyperlink w:history="1" r:id="rId5ry1cajr41wdg4d7sbcgm">
        <w:r>
          <w:rPr>
            <w:rStyle w:val="Hyperlink"/>
            <w:rFonts w:ascii="Microsoft YaHei" w:cs="Microsoft YaHei" w:eastAsia="Microsoft YaHei" w:hAnsi="Microsoft YaHei"/>
            <w:sz w:val="20"/>
            <w:szCs w:val="20"/>
          </w:rPr>
          <w:t xml:space="preserve">荧光手术定量与报告标准</w:t>
        </w:r>
      </w:hyperlink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770"/>
          <w:sz w:val="20"/>
          <w:szCs w:val="20"/>
        </w:rPr>
        <w:t xml:space="preserve"/>
      </w:r>
    </w:p>
    <w:p>
      <w:pPr>
        <w:spacing w:after="70" w:line="300"/>
      </w:pPr>
      <w:hyperlink w:history="1" r:id="rId0qndor8ro6mffxx7pjebz">
        <w:r>
          <w:rPr>
            <w:rStyle w:val="Hyperlink"/>
            <w:rFonts w:ascii="Microsoft YaHei" w:cs="Microsoft YaHei" w:eastAsia="Microsoft YaHei" w:hAnsi="Microsoft YaHei"/>
            <w:sz w:val="20"/>
            <w:szCs w:val="20"/>
          </w:rPr>
          <w:t xml:space="preserve">医学分割置信度校准</w:t>
        </w:r>
      </w:hyperlink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770"/>
          <w:sz w:val="20"/>
          <w:szCs w:val="20"/>
        </w:rPr>
        <w:t xml:space="preserve"/>
      </w:r>
    </w:p>
    <w:p>
      <w:pPr>
        <w:spacing w:after="70" w:line="300"/>
      </w:pPr>
      <w:hyperlink w:history="1" r:id="rIdmd5mohplk92ynhrdtvlnf">
        <w:r>
          <w:rPr>
            <w:rStyle w:val="Hyperlink"/>
            <w:rFonts w:ascii="Microsoft YaHei" w:cs="Microsoft YaHei" w:eastAsia="Microsoft YaHei" w:hAnsi="Microsoft YaHei"/>
            <w:sz w:val="20"/>
            <w:szCs w:val="20"/>
          </w:rPr>
          <w:t xml:space="preserve">NVIDIA Holoscan</w:t>
        </w:r>
      </w:hyperlink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770"/>
          <w:sz w:val="20"/>
          <w:szCs w:val="20"/>
        </w:rPr>
        <w:t xml:space="preserve"/>
      </w:r>
    </w:p>
    <w:p>
      <w:pPr>
        <w:spacing w:after="70" w:line="300"/>
      </w:pPr>
      <w:hyperlink w:history="1" r:id="rIdlf7x7scedilbgv52-nugh">
        <w:r>
          <w:rPr>
            <w:rStyle w:val="Hyperlink"/>
            <w:rFonts w:ascii="Microsoft YaHei" w:cs="Microsoft YaHei" w:eastAsia="Microsoft YaHei" w:hAnsi="Microsoft YaHei"/>
            <w:sz w:val="20"/>
            <w:szCs w:val="20"/>
          </w:rPr>
          <w:t xml:space="preserve">ICG骨灌注系统综述</w:t>
        </w:r>
      </w:hyperlink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770"/>
          <w:sz w:val="20"/>
          <w:szCs w:val="20"/>
        </w:rPr>
        <w:t xml:space="preserve"/>
      </w:r>
    </w:p>
    <w:p>
      <w:pPr>
        <w:spacing w:after="70" w:line="300"/>
      </w:pPr>
      <w:hyperlink w:history="1" r:id="rId__elkued0x7uveucwczgu">
        <w:r>
          <w:rPr>
            <w:rStyle w:val="Hyperlink"/>
            <w:rFonts w:ascii="Microsoft YaHei" w:cs="Microsoft YaHei" w:eastAsia="Microsoft YaHei" w:hAnsi="Microsoft YaHei"/>
            <w:sz w:val="20"/>
            <w:szCs w:val="20"/>
          </w:rPr>
          <w:t xml:space="preserve">ICG感染组织临床先导研究</w:t>
        </w:r>
      </w:hyperlink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770"/>
          <w:sz w:val="20"/>
          <w:szCs w:val="20"/>
        </w:rPr>
        <w:t xml:space="preserve"/>
      </w:r>
    </w:p>
    <w:p>
      <w:pPr>
        <w:pStyle w:val="Heading1"/>
        <w:keepNext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2933"/>
          <w:sz w:val="21"/>
          <w:szCs w:val="21"/>
        </w:rPr>
        <w:t xml:space="preserve">十、归档结论</w:t>
      </w:r>
    </w:p>
    <w:p>
      <w:pPr>
        <w:keepNext w:val="false"/>
        <w:spacing w:after="110" w:before="0" w:line="330"/>
        <w:ind w:firstLine="4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项目具备可信的软件工程展示基础。剩余困难中，视频源级重评估、多mask训练修复、双通道模型、ICG动态定量、4K异步AI、最终Word/PDF和版本冻结均可由当前团队推进。造影剂原创验证、真实目标域样本与医生金标准、企业显微镜实机验证需要外部团队参与。</w:t>
      </w:r>
    </w:p>
    <w:p>
      <w:pPr>
        <w:keepNext w:val="false"/>
        <w:spacing w:after="110" w:before="0" w:line="330"/>
        <w:ind w:firstLine="4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最终提交应完整回答造影剂、多模态处理和AI判读三项核心要求，并逐级标明文献证据、代理工程证据、医生复核证据和真实目标域证据。当前无法取得的证据应明确列为外部依赖与后续验证计划。</w:t>
      </w:r>
    </w:p>
    <w:sectPr>
      <w:footerReference w:type="default" r:id="rId7"/>
      <w:pgSz w:w="11906" w:h="16838" w:orient="portrait"/>
      <w:pgMar w:top="1134" w:right="1440" w:bottom="1134" w:left="144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5B6770"/>
        <w:sz w:val="17"/>
        <w:szCs w:val="17"/>
      </w:rPr>
      <w:t xml:space="preserve">颌骨骨髓炎智能化荧光诊疗 | 赛题差距与解决路径归档   </w:t>
    </w:r>
    <w:r>
      <w:rPr>
        <w:rFonts w:ascii="Microsoft YaHei" w:cs="Microsoft YaHei" w:eastAsia="Microsoft YaHei" w:hAnsi="Microsoft YaHei"/>
        <w:color w:val="5B677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F29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/>
      <w:jc w:val="center"/>
    </w:pPr>
    <w:rPr>
      <w:rFonts w:ascii="Microsoft YaHei" w:cs="Microsoft YaHei" w:eastAsia="Microsoft YaHei" w:hAnsi="Microsoft YaHei"/>
      <w:b/>
      <w:bCs/>
      <w:color w:val="17324D"/>
      <w:sz w:val="42"/>
      <w:szCs w:val="42"/>
    </w:rPr>
  </w:style>
  <w:style w:type="paragraph" w:styleId="Heading1">
    <w:name w:val="Heading 1"/>
    <w:basedOn w:val="Normal"/>
    <w:next w:val="Normal"/>
    <w:qFormat/>
    <w:pPr>
      <w:keepNext/>
      <w:spacing w:after="150" w:before="300"/>
      <w:outlineLvl w:val="0"/>
    </w:pPr>
    <w:rPr>
      <w:rFonts w:ascii="Microsoft YaHei" w:cs="Microsoft YaHei" w:eastAsia="Microsoft YaHei" w:hAnsi="Microsoft YaHei"/>
      <w:b/>
      <w:bCs/>
      <w:color w:val="17324D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10" w:before="230"/>
      <w:outlineLvl w:val="1"/>
    </w:pPr>
    <w:rPr>
      <w:rFonts w:ascii="Microsoft YaHei" w:cs="Microsoft YaHei" w:eastAsia="Microsoft YaHei" w:hAnsi="Microsoft YaHei"/>
      <w:b/>
      <w:bCs/>
      <w:color w:val="2563A6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90" w:before="180"/>
      <w:outlineLvl w:val="2"/>
    </w:pPr>
    <w:rPr>
      <w:rFonts w:ascii="Microsoft YaHei" w:cs="Microsoft YaHei" w:eastAsia="Microsoft YaHei" w:hAnsi="Microsoft YaHei"/>
      <w:b/>
      <w:bCs/>
      <w:color w:val="1F29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78q7evdirfdyzpfez4_k3" Type="http://schemas.openxmlformats.org/officeDocument/2006/relationships/hyperlink" Target="https://doi.org/10.1002/anie.201404930" TargetMode="External"/><Relationship Id="rId82u_qolv8xfal3txijurn" Type="http://schemas.openxmlformats.org/officeDocument/2006/relationships/hyperlink" Target="https://doi.org/10.1038/ncomms3584" TargetMode="External"/><Relationship Id="rIdibwh24_rxjj6flobp1n0n" Type="http://schemas.openxmlformats.org/officeDocument/2006/relationships/hyperlink" Target="https://doi.org/10.1007/s00259-022-05695-y" TargetMode="External"/><Relationship Id="rIdf9tt1pflkafdr1vhmnk51" Type="http://schemas.openxmlformats.org/officeDocument/2006/relationships/hyperlink" Target="https://doi.org/10.1038/s41598-020-78362-7" TargetMode="External"/><Relationship Id="rId3dhnub_prdraybcxxp1jo" Type="http://schemas.openxmlformats.org/officeDocument/2006/relationships/hyperlink" Target="https://pubmed.ncbi.nlm.nih.gov/27856150/" TargetMode="External"/><Relationship Id="rId-k_vy0ale3kwaskrdj7t7" Type="http://schemas.openxmlformats.org/officeDocument/2006/relationships/hyperlink" Target="https://pmc.ncbi.nlm.nih.gov/articles/PMC4628814/" TargetMode="External"/><Relationship Id="rIdxqetwj34i0cdnbr_nvtxa" Type="http://schemas.openxmlformats.org/officeDocument/2006/relationships/hyperlink" Target="https://doi.org/10.3390/life15050686" TargetMode="External"/><Relationship Id="rIdh0gz6vzlsdkxj7rdirjd0" Type="http://schemas.openxmlformats.org/officeDocument/2006/relationships/hyperlink" Target="https://doi.org/10.1177/03000605221104186" TargetMode="External"/><Relationship Id="rIduflv1ismiqpa64_rwycik" Type="http://schemas.openxmlformats.org/officeDocument/2006/relationships/hyperlink" Target="https://doi.org/10.5061/dryad.8gtht76x9" TargetMode="External"/><Relationship Id="rIdsl5lr3xqsn38fbklizju4" Type="http://schemas.openxmlformats.org/officeDocument/2006/relationships/hyperlink" Target="https://doi.org/10.5061/dryad.v6wwpzh3w" TargetMode="External"/><Relationship Id="rIdscfee5ntslp-eifsfmote" Type="http://schemas.openxmlformats.org/officeDocument/2006/relationships/hyperlink" Target="https://doi.org/10.5061/dryad.nvx0k6dxw" TargetMode="External"/><Relationship Id="rIdpamgkmdcape0mne9yymlc" Type="http://schemas.openxmlformats.org/officeDocument/2006/relationships/hyperlink" Target="https://github.com/facebookresearch/sam2" TargetMode="External"/><Relationship Id="rIddsazlgu0cnggrvltwrjyx" Type="http://schemas.openxmlformats.org/officeDocument/2006/relationships/hyperlink" Target="https://github.com/cvat-ai/cvat" TargetMode="External"/><Relationship Id="rIddqgurwvpoxqpkw0heozi_" Type="http://schemas.openxmlformats.org/officeDocument/2006/relationships/hyperlink" Target="https://github.com/Project-MONAI/MONAILabel" TargetMode="External"/><Relationship Id="rIdjawu0iy25yyxmd00qpqaa" Type="http://schemas.openxmlformats.org/officeDocument/2006/relationships/hyperlink" Target="https://pmc.ncbi.nlm.nih.gov/articles/PMC10209496/" TargetMode="External"/><Relationship Id="rId5ry1cajr41wdg4d7sbcgm" Type="http://schemas.openxmlformats.org/officeDocument/2006/relationships/hyperlink" Target="https://doi.org/10.1007/s11307-018-1220-0" TargetMode="External"/><Relationship Id="rId0qndor8ro6mffxx7pjebz" Type="http://schemas.openxmlformats.org/officeDocument/2006/relationships/hyperlink" Target="https://doi.org/10.1109/TMI.2020.3006437" TargetMode="External"/><Relationship Id="rIdmd5mohplk92ynhrdtvlnf" Type="http://schemas.openxmlformats.org/officeDocument/2006/relationships/hyperlink" Target="https://developer.nvidia.com/holoscan-sdk" TargetMode="External"/><Relationship Id="rIdlf7x7scedilbgv52-nugh" Type="http://schemas.openxmlformats.org/officeDocument/2006/relationships/hyperlink" Target="https://doi.org/10.3390/life12020154" TargetMode="External"/><Relationship Id="rId__elkued0x7uveucwczgu" Type="http://schemas.openxmlformats.org/officeDocument/2006/relationships/hyperlink" Target="https://doi.org/10.1117/1.JBO.29.6.066003" TargetMode="External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颌骨骨髓炎智能化荧光诊疗赛题差距与解决路径归档报告</dc:title>
  <dc:creator>Codex</dc:creator>
  <dc:description>项目困难、赛题差距及国内外可用解决路径归档</dc:description>
  <cp:lastModifiedBy>Un-named</cp:lastModifiedBy>
  <cp:revision>1</cp:revision>
  <dcterms:created xsi:type="dcterms:W3CDTF">2026-07-10T10:45:53.991Z</dcterms:created>
  <dcterms:modified xsi:type="dcterms:W3CDTF">2026-07-10T10:45:53.992Z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