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Microsoft YaHei" w:hAnsi="Calibri"/>
          <w:b/>
          <w:bCs/>
          <w:i w:val="false"/>
          <w:iCs w:val="false"/>
          <w:color w:val="1A5276"/>
          <w:sz w:val="44"/>
          <w:szCs w:val="44"/>
        </w:rPr>
        <w:t xml:space="preserve">颌骨骨髓炎智能化荧光诊疗平台</w:t>
      </w:r>
    </w:p>
    <w:p>
      <w:pPr>
        <w:spacing w:after="40"/>
      </w:pPr>
      <w:r>
        <w:rPr>
          <w:rFonts w:ascii="Calibri" w:cs="Calibri" w:eastAsia="Microsoft YaHei" w:hAnsi="Calibri"/>
          <w:b/>
          <w:bCs/>
          <w:i w:val="false"/>
          <w:iCs w:val="false"/>
          <w:color w:val="1A5276"/>
          <w:sz w:val="36"/>
          <w:szCs w:val="36"/>
        </w:rPr>
        <w:t xml:space="preserve">项目进度汇报</w:t>
      </w:r>
    </w:p>
    <w:p>
      <w:pPr>
        <w:pBdr>
          <w:bottom w:val="single" w:color="1A5276" w:sz="6" w:space="8"/>
        </w:pBdr>
        <w:spacing w:after="4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5A6A7A"/>
          <w:sz w:val="20"/>
          <w:szCs w:val="20"/>
        </w:rPr>
        <w:t xml:space="preserve">汇报日期：2026年6月18日　　项目阶段：V1 → V2　　版本号：0.2.0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Microsoft YaHei" w:hAnsi="Calibri"/>
          <w:b/>
          <w:bCs/>
          <w:i w:val="false"/>
          <w:iCs w:val="false"/>
          <w:color w:val="1A5276"/>
          <w:sz w:val="32"/>
          <w:szCs w:val="32"/>
        </w:rPr>
        <w:t xml:space="preserve">一、项目定位</w:t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4"/>
          <w:szCs w:val="24"/>
        </w:rPr>
        <w:t xml:space="preserve">基于白光 / ICG 双通道影像的颌骨骨髓炎术中边界风险提示与病例报告软件平台。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面向三大赛点：荧光伪彩色增强（赛点一）、AI 辅助诊断（赛点二）、标准化输出与远程协作（赛点三）。</w:t>
      </w:r>
    </w:p>
    <w:p>
      <w:pPr>
        <w:pStyle w:val="Heading1"/>
        <w:spacing w:after="200" w:before="360"/>
      </w:pPr>
      <w:r>
        <w:rPr>
          <w:rFonts w:ascii="Calibri" w:cs="Calibri" w:eastAsia="Microsoft YaHei" w:hAnsi="Calibri"/>
          <w:b/>
          <w:bCs/>
          <w:i w:val="false"/>
          <w:iCs w:val="false"/>
          <w:color w:val="1A5276"/>
          <w:sz w:val="32"/>
          <w:szCs w:val="32"/>
        </w:rPr>
        <w:t xml:space="preserve">二、总体完成概览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rPr>
          <w:tblHeader/>
        </w:trP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状态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关键产出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V1 荧光融合闭环</w:t>
            </w:r>
          </w:p>
        </w:tc>
        <w:tc>
          <w:tcPr>
            <w:tcW w:type="dxa" w:w="1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✅ 完成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白光+ICG → 伪彩融合图 + 热图 + 归一化图 + JSON/Markdown 报告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V2 前后端分离原型</w:t>
            </w:r>
          </w:p>
        </w:tc>
        <w:tc>
          <w:tcPr>
            <w:tcW w:type="dxa" w:w="1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✅ 已成型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Vue 3 前端 + FastAPI 后端 + 完整 REST API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V2 前端界面</w:t>
            </w:r>
          </w:p>
        </w:tc>
        <w:tc>
          <w:tcPr>
            <w:tcW w:type="dxa" w:w="1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✅ 有型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三页面（病例工作台、医生复核、报告导出），医学蓝配色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AI 模型框架</w:t>
            </w:r>
          </w:p>
        </w:tc>
        <w:tc>
          <w:tcPr>
            <w:tcW w:type="dxa" w:w="1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✅ 就绪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配置驱动，4 模型注册（nnU-Net、MedSAM2、BiomedCLIP、Fixture）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AI 模型训练</w:t>
            </w:r>
          </w:p>
        </w:tc>
        <w:tc>
          <w:tcPr>
            <w:tcW w:type="dxa" w:w="1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🔄 进行中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10 模型基准测试完成，nnU-Net 基线 smoke 跑通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真实样本接入</w:t>
            </w:r>
          </w:p>
        </w:tc>
        <w:tc>
          <w:tcPr>
            <w:tcW w:type="dxa" w:w="1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⏳ 待开始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公开 CBCT 三数据集预处理已完成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DICOM 输出</w:t>
            </w:r>
          </w:p>
        </w:tc>
        <w:tc>
          <w:tcPr>
            <w:tcW w:type="dxa" w:w="1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⏳ 待开始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架构预留，需赛点三细化</w:t>
            </w:r>
          </w:p>
        </w:tc>
      </w:tr>
    </w:tbl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Microsoft YaHei" w:hAnsi="Calibri"/>
          <w:b/>
          <w:bCs/>
          <w:i w:val="false"/>
          <w:iCs w:val="false"/>
          <w:color w:val="1A5276"/>
          <w:sz w:val="32"/>
          <w:szCs w:val="32"/>
        </w:rPr>
        <w:t xml:space="preserve">三、各模块详细进度</w:t>
      </w:r>
    </w:p>
    <w:p>
      <w:pPr>
        <w:pStyle w:val="Heading2"/>
        <w:spacing w:after="160" w:before="280"/>
      </w:pPr>
      <w:r>
        <w:rPr>
          <w:rFonts w:ascii="Calibri" w:cs="Calibri" w:eastAsia="Microsoft YaHei" w:hAnsi="Calibri"/>
          <w:b/>
          <w:bCs/>
          <w:i w:val="false"/>
          <w:iCs w:val="false"/>
          <w:color w:val="1E6FA6"/>
          <w:sz w:val="28"/>
          <w:szCs w:val="28"/>
        </w:rPr>
        <w:t xml:space="preserve">3.1 荧光分析与图像融合（赛点一） ✅ 完成</w:t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0"/>
          <w:szCs w:val="20"/>
        </w:rPr>
        <w:t xml:space="preserve">核心文件：src/preprocess/fluorescence.py（240 行）</w:t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2"/>
          <w:szCs w:val="22"/>
        </w:rPr>
        <w:t xml:space="preserve">已实现能力：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白光图像 + ICG 荧光图像双通道输入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自动尺寸对齐（resize to white-light）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荧光强度归一化（[1%, 99%] 百分位归一化）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伪彩映射（绿 / 琥珀 / 品红三种方案）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Alpha 融合叠加（overlay = (1-α)×white + α×pseudo_color）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荧光定量统计：均值、最大值、P95、阳性面积、阳性面积占比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输出品：融合图 PNG、热图 PNG、归一化荧光 PNG、JSON 报告、Markdown 报告</w:t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2"/>
          <w:szCs w:val="22"/>
        </w:rPr>
        <w:t xml:space="preserve">前端融合参数面板：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透明度滑块（0.00 – 1.00）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荧光阈值滑块（0.00 – 1.00）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伪彩方案下拉（绿色 / 琥珀色 / 品红色）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0"/>
          <w:szCs w:val="20"/>
        </w:rPr>
        <w:t xml:space="preserve">状态：严格对标赛点一。当前采用 resize 对齐（标注为 initial demo），后续可升级为刚性/非刚性配准。</w:t>
      </w:r>
    </w:p>
    <w:p>
      <w:pPr>
        <w:pStyle w:val="Heading2"/>
        <w:spacing w:after="160" w:before="280"/>
      </w:pPr>
      <w:r>
        <w:rPr>
          <w:rFonts w:ascii="Calibri" w:cs="Calibri" w:eastAsia="Microsoft YaHei" w:hAnsi="Calibri"/>
          <w:b/>
          <w:bCs/>
          <w:i w:val="false"/>
          <w:iCs w:val="false"/>
          <w:color w:val="1E6FA6"/>
          <w:sz w:val="28"/>
          <w:szCs w:val="28"/>
        </w:rPr>
        <w:t xml:space="preserve">3.2 AI 辅助诊断框架（赛点二） 🔄 框架就绪 / 训练进行中</w:t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2"/>
          <w:szCs w:val="22"/>
        </w:rPr>
        <w:t xml:space="preserve">模型注册表：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模型 ID</w:t>
            </w:r>
          </w:p>
        </w:tc>
        <w:tc>
          <w:tcPr>
            <w:tcW w:type="dxa" w:w="15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家族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4326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nnunet_v2_osteo_baseline</w:t>
            </w:r>
          </w:p>
        </w:tc>
        <w:tc>
          <w:tcPr>
            <w:tcW w:type="dxa" w:w="15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nnU-Net v2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分割</w:t>
            </w:r>
          </w:p>
        </w:tc>
        <w:tc>
          <w:tcPr>
            <w:tcW w:type="dxa" w:w="43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颌骨骨髓炎分割基线</w:t>
            </w:r>
          </w:p>
        </w:tc>
      </w:tr>
      <w:tr>
        <w:tc>
          <w:tcPr>
            <w:tcW w:type="dxa" w:w="2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medsam2_osteo_promptable</w:t>
            </w:r>
          </w:p>
        </w:tc>
        <w:tc>
          <w:tcPr>
            <w:tcW w:type="dxa" w:w="15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MedSAM-like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分割</w:t>
            </w:r>
          </w:p>
        </w:tc>
        <w:tc>
          <w:tcPr>
            <w:tcW w:type="dxa" w:w="43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可提示病灶/坏死骨 ROI 分割</w:t>
            </w:r>
          </w:p>
        </w:tc>
      </w:tr>
      <w:tr>
        <w:tc>
          <w:tcPr>
            <w:tcW w:type="dxa" w:w="2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biomedclip_osteo_screening</w:t>
            </w:r>
          </w:p>
        </w:tc>
        <w:tc>
          <w:tcPr>
            <w:tcW w:type="dxa" w:w="15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VLM 编码器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分类</w:t>
            </w:r>
          </w:p>
        </w:tc>
        <w:tc>
          <w:tcPr>
            <w:tcW w:type="dxa" w:w="43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图像级辅助筛查原型</w:t>
            </w:r>
          </w:p>
        </w:tc>
      </w:tr>
      <w:tr>
        <w:tc>
          <w:tcPr>
            <w:tcW w:type="dxa" w:w="2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fixture_default</w:t>
            </w:r>
          </w:p>
        </w:tc>
        <w:tc>
          <w:tcPr>
            <w:tcW w:type="dxa" w:w="15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Fixture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全部</w:t>
            </w:r>
          </w:p>
        </w:tc>
        <w:tc>
          <w:tcPr>
            <w:tcW w:type="dxa" w:w="43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确定性 fallback，测试和 Demo 用</w:t>
            </w:r>
          </w:p>
        </w:tc>
      </w:tr>
    </w:tbl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2"/>
          <w:szCs w:val="22"/>
        </w:rPr>
        <w:t xml:space="preserve">AI 模型训练成果：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完成项</w:t>
            </w:r>
          </w:p>
        </w:tc>
        <w:tc>
          <w:tcPr>
            <w:tcW w:type="dxa" w:w="7026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D024 10 模型基准</w:t>
            </w:r>
          </w:p>
        </w:tc>
        <w:tc>
          <w:tcPr>
            <w:tcW w:type="dxa" w:w="7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MONAI 框架 10 种 3D 模型在 DentVoxel jaw-roi 上完成比较</w:t>
            </w:r>
          </w:p>
        </w:tc>
      </w:tr>
      <w:tr>
        <w:tc>
          <w:tcPr>
            <w:tcW w:type="dxa" w:w="2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D024 nnU-Net smoke</w:t>
            </w:r>
          </w:p>
        </w:tc>
        <w:tc>
          <w:tcPr>
            <w:tcW w:type="dxa" w:w="7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nnU-Net v2 在 D024 上跑通完整训练/预测/评估链路</w:t>
            </w:r>
          </w:p>
        </w:tc>
      </w:tr>
      <w:tr>
        <w:tc>
          <w:tcPr>
            <w:tcW w:type="dxa" w:w="2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D024 分割模型选型报告</w:t>
            </w:r>
          </w:p>
        </w:tc>
        <w:tc>
          <w:tcPr>
            <w:tcW w:type="dxa" w:w="7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中英文双语，推荐 nnU-Net v2 / MedNeXt / U-Mamba</w:t>
            </w:r>
          </w:p>
        </w:tc>
      </w:tr>
      <w:tr>
        <w:tc>
          <w:tcPr>
            <w:tcW w:type="dxa" w:w="2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3 个公开 CBCT 预处理</w:t>
            </w:r>
          </w:p>
        </w:tc>
        <w:tc>
          <w:tcPr>
            <w:tcW w:type="dxa" w:w="7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D024 DentVoxel、D025 DolChID、D036 ToothFairy2</w:t>
            </w:r>
          </w:p>
        </w:tc>
      </w:tr>
      <w:tr>
        <w:tc>
          <w:tcPr>
            <w:tcW w:type="dxa" w:w="2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颌骨基础分割模型设计</w:t>
            </w:r>
          </w:p>
        </w:tc>
        <w:tc>
          <w:tcPr>
            <w:tcW w:type="dxa" w:w="7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架构设计报告，5-fold 验证与 HD95/NSD 指标定义</w:t>
            </w:r>
          </w:p>
        </w:tc>
      </w:tr>
    </w:tbl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2"/>
          <w:szCs w:val="22"/>
        </w:rPr>
        <w:t xml:space="preserve">AI 安全边界：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所有模型 clinical_claim_allowed: false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输出定位为辅助提示 + 医生复核，不自动确诊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候选区域状态四态：review_required / accepted / modified / rejected</w:t>
      </w:r>
    </w:p>
    <w:p>
      <w:pPr>
        <w:pStyle w:val="Heading2"/>
        <w:spacing w:after="160" w:before="280"/>
      </w:pPr>
      <w:r>
        <w:rPr>
          <w:rFonts w:ascii="Calibri" w:cs="Calibri" w:eastAsia="Microsoft YaHei" w:hAnsi="Calibri"/>
          <w:b/>
          <w:bCs/>
          <w:i w:val="false"/>
          <w:iCs w:val="false"/>
          <w:color w:val="1E6FA6"/>
          <w:sz w:val="28"/>
          <w:szCs w:val="28"/>
        </w:rPr>
        <w:t xml:space="preserve">3.3 前端界面（Vue 3 + TypeScript） ✅ 已成型</w:t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2"/>
          <w:szCs w:val="22"/>
        </w:rPr>
        <w:t xml:space="preserve">技术栈：Vue 3.5 + Vite 6 + Pinia 3 + Vue Router 4 + TypeScript 5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页面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路由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状态</w:t>
            </w:r>
          </w:p>
        </w:tc>
        <w:tc>
          <w:tcPr>
            <w:tcW w:type="dxa" w:w="5626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14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病例工作台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/case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✅ 完成</w:t>
            </w:r>
          </w:p>
        </w:tc>
        <w:tc>
          <w:tcPr>
            <w:tcW w:type="dxa" w:w="56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三栏布局：控制面板 + 三联图像/候选区/量化 + 证据面板</w:t>
            </w:r>
          </w:p>
        </w:tc>
      </w:tr>
      <w:tr>
        <w:tc>
          <w:tcPr>
            <w:tcW w:type="dxa" w:w="14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医生复核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/review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✅ 完成</w:t>
            </w:r>
          </w:p>
        </w:tc>
        <w:tc>
          <w:tcPr>
            <w:tcW w:type="dxa" w:w="56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两栏布局：ROI 画布 + 候选区列表/复核按钮/量化指标</w:t>
            </w:r>
          </w:p>
        </w:tc>
      </w:tr>
      <w:tr>
        <w:tc>
          <w:tcPr>
            <w:tcW w:type="dxa" w:w="14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报告导出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/report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✅ 完成</w:t>
            </w:r>
          </w:p>
        </w:tc>
        <w:tc>
          <w:tcPr>
            <w:tcW w:type="dxa" w:w="56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两栏布局：导出详情 + 输出边界说明</w:t>
            </w:r>
          </w:p>
        </w:tc>
      </w:tr>
    </w:tbl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已实现 UI 组件（9 个）：CaseInputPanel、FusionViewer、RoiCanvas、CandidateRegionList、ReviewStateControls、QuantificationPanel、QualityFlagPanel、ExportPanel、MedicalDisclaimer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设计语言：医学蓝主色调（#1A5276 / #2980B9 / #1E6FA6），浅蓝灰底色（#F3F6FA），白色卡片，清晰信息层级，临床级软件质感。</w:t>
      </w:r>
    </w:p>
    <w:p>
      <w:pPr>
        <w:pStyle w:val="Heading2"/>
        <w:spacing w:after="160" w:before="280"/>
      </w:pPr>
      <w:r>
        <w:rPr>
          <w:rFonts w:ascii="Calibri" w:cs="Calibri" w:eastAsia="Microsoft YaHei" w:hAnsi="Calibri"/>
          <w:b/>
          <w:bCs/>
          <w:i w:val="false"/>
          <w:iCs w:val="false"/>
          <w:color w:val="1E6FA6"/>
          <w:sz w:val="28"/>
          <w:szCs w:val="28"/>
        </w:rPr>
        <w:t xml:space="preserve">3.4 后端服务（FastAPI） ✅ 已成型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API 路由（8 个端点）：GET /health、GET /ready、病例 CRUD、输入管理、分析执行、复核记录、证据包导出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后端服务层（5 个 service）：AnalysisService、InputService、ReviewService、ExportService、RoiService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数据流：前端 ↔ REST API ↔ Service 层 ↔ 荧光融合引擎 ↔ JSON 文件持久化</w:t>
      </w:r>
    </w:p>
    <w:p>
      <w:pPr>
        <w:pStyle w:val="Heading2"/>
        <w:spacing w:after="160" w:before="280"/>
      </w:pPr>
      <w:r>
        <w:rPr>
          <w:rFonts w:ascii="Calibri" w:cs="Calibri" w:eastAsia="Microsoft YaHei" w:hAnsi="Calibri"/>
          <w:b/>
          <w:bCs/>
          <w:i w:val="false"/>
          <w:iCs w:val="false"/>
          <w:color w:val="1E6FA6"/>
          <w:sz w:val="28"/>
          <w:szCs w:val="28"/>
        </w:rPr>
        <w:t xml:space="preserve">3.5 标准化输出（赛点三） 🟡 基础完成 / 待扩展</w:t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2"/>
          <w:szCs w:val="22"/>
        </w:rPr>
        <w:t xml:space="preserve">已实现输出格式：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overlay.png — 白光/荧光融合图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heatmap.png — 荧光热图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normalized_fluorescence.png — 归一化荧光灰度图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report.json — 结构化 JSON（含融合参数、量化指标、免责声明）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report.md — Markdown 单病例报告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ZIP 证据包导出（含所有图和报告）</w:t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2"/>
          <w:szCs w:val="22"/>
        </w:rPr>
        <w:t xml:space="preserve">待实现：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DICOM Secondary Capture（从 PNG 封装）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DICOM Structured Report（结构化病灶描述）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PDF 正式报告</w:t>
      </w:r>
    </w:p>
    <w:p>
      <w:pPr>
        <w:pStyle w:val="Heading2"/>
        <w:spacing w:after="160" w:before="280"/>
      </w:pPr>
      <w:r>
        <w:rPr>
          <w:rFonts w:ascii="Calibri" w:cs="Calibri" w:eastAsia="Microsoft YaHei" w:hAnsi="Calibri"/>
          <w:b/>
          <w:bCs/>
          <w:i w:val="false"/>
          <w:iCs w:val="false"/>
          <w:color w:val="1E6FA6"/>
          <w:sz w:val="28"/>
          <w:szCs w:val="28"/>
        </w:rPr>
        <w:t xml:space="preserve">3.6 研究文档 📚 已完成 32 份报告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类别</w:t>
            </w:r>
          </w:p>
        </w:tc>
        <w:tc>
          <w:tcPr>
            <w:tcW w:type="dxa" w:w="16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数量</w:t>
            </w:r>
          </w:p>
        </w:tc>
        <w:tc>
          <w:tcPr>
            <w:tcW w:type="dxa" w:w="5626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举例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预处理报告</w:t>
            </w:r>
          </w:p>
        </w:tc>
        <w:tc>
          <w:tcPr>
            <w:tcW w:type="dxa" w:w="16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6 份中英双语</w:t>
            </w:r>
          </w:p>
        </w:tc>
        <w:tc>
          <w:tcPr>
            <w:tcW w:type="dxa" w:w="56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D024 DentVoxel、D025 DolChID、D036 ToothFairy2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建模报告</w:t>
            </w:r>
          </w:p>
        </w:tc>
        <w:tc>
          <w:tcPr>
            <w:tcW w:type="dxa" w:w="16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8 份中英双语</w:t>
            </w:r>
          </w:p>
        </w:tc>
        <w:tc>
          <w:tcPr>
            <w:tcW w:type="dxa" w:w="56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10 模型基准、前沿基准、nnU-Net smoke、选型报告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规划文档</w:t>
            </w:r>
          </w:p>
        </w:tc>
        <w:tc>
          <w:tcPr>
            <w:tcW w:type="dxa" w:w="16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8 份中英双语</w:t>
            </w:r>
          </w:p>
        </w:tc>
        <w:tc>
          <w:tcPr>
            <w:tcW w:type="dxa" w:w="56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平台目标母稿、V1 闭环计划、技术栈、任务定义</w:t>
            </w:r>
          </w:p>
        </w:tc>
      </w:tr>
    </w:tbl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Microsoft YaHei" w:hAnsi="Calibri"/>
          <w:b/>
          <w:bCs/>
          <w:i w:val="false"/>
          <w:iCs w:val="false"/>
          <w:color w:val="1E6FA6"/>
          <w:sz w:val="28"/>
          <w:szCs w:val="28"/>
        </w:rPr>
        <w:t xml:space="preserve">3.7 工程体系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维度</w:t>
            </w:r>
          </w:p>
        </w:tc>
        <w:tc>
          <w:tcPr>
            <w:tcW w:type="dxa" w:w="7226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Python 源码</w:t>
            </w:r>
          </w:p>
        </w:tc>
        <w:tc>
          <w:tcPr>
            <w:tcW w:type="dxa" w:w="72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72 个 .py 文件（core/datasets/engine/models/pipelines/preprocess/reports）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后端源码</w:t>
            </w:r>
          </w:p>
        </w:tc>
        <w:tc>
          <w:tcPr>
            <w:tcW w:type="dxa" w:w="72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32 个 .py 文件（api/core/domains/services/reports）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测试体系</w:t>
            </w:r>
          </w:p>
        </w:tc>
        <w:tc>
          <w:tcPr>
            <w:tcW w:type="dxa" w:w="72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29 个测试文件（unit + smoke + integration）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72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black + isort + flake8 + mypy 就绪，pre-commit 已配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配置驱动</w:t>
            </w:r>
          </w:p>
        </w:tc>
        <w:tc>
          <w:tcPr>
            <w:tcW w:type="dxa" w:w="72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configs/tasks/osteo_vision.yml + configs/inference/osteo_vision.yml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前端测试</w:t>
            </w:r>
          </w:p>
        </w:tc>
        <w:tc>
          <w:tcPr>
            <w:tcW w:type="dxa" w:w="72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Vitest，4 个组件测试全部通过</w:t>
            </w:r>
          </w:p>
        </w:tc>
      </w:tr>
      <w:tr>
        <w:tc>
          <w:tcPr>
            <w:tcW w:type="dxa" w:w="1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一键启动</w:t>
            </w:r>
          </w:p>
        </w:tc>
        <w:tc>
          <w:tcPr>
            <w:tcW w:type="dxa" w:w="72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make platform（同时启动前后端），make demo（Gradio 备用）</w:t>
            </w:r>
          </w:p>
        </w:tc>
      </w:tr>
    </w:tbl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Microsoft YaHei" w:hAnsi="Calibri"/>
          <w:b/>
          <w:bCs/>
          <w:i w:val="false"/>
          <w:iCs w:val="false"/>
          <w:color w:val="1A5276"/>
          <w:sz w:val="32"/>
          <w:szCs w:val="32"/>
        </w:rPr>
        <w:t xml:space="preserve">四、版本路线图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26"/>
        <w:gridCol w:w="2200"/>
      </w:tblGrid>
      <w:tr>
        <w:trPr>
          <w:tblHeader/>
        </w:trPr>
        <w:tc>
          <w:tcPr>
            <w:tcW w:type="dxa" w:w="8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版本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目标</w:t>
            </w:r>
          </w:p>
        </w:tc>
        <w:tc>
          <w:tcPr>
            <w:tcW w:type="dxa" w:w="22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V1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Gradio / 最小原型跑通双通道融合 + 报告闭环</w:t>
            </w:r>
          </w:p>
        </w:tc>
        <w:tc>
          <w:tcPr>
            <w:tcW w:type="dxa" w:w="2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V2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前后端分离 (Vue + FastAPI) + 完整病例工作台</w:t>
            </w:r>
          </w:p>
        </w:tc>
        <w:tc>
          <w:tcPr>
            <w:tcW w:type="dxa" w:w="2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✅ 已成型（代码就绪）</w:t>
            </w:r>
          </w:p>
        </w:tc>
      </w:tr>
      <w:tr>
        <w:tc>
          <w:tcPr>
            <w:tcW w:type="dxa" w:w="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V3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AI 基线接入 + 真实模型推理</w:t>
            </w:r>
          </w:p>
        </w:tc>
        <w:tc>
          <w:tcPr>
            <w:tcW w:type="dxa" w:w="2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🔄 框架就绪，训练进行中</w:t>
            </w:r>
          </w:p>
        </w:tc>
      </w:tr>
      <w:tr>
        <w:tc>
          <w:tcPr>
            <w:tcW w:type="dxa" w:w="8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V4</w:t>
            </w:r>
          </w:p>
        </w:tc>
        <w:tc>
          <w:tcPr>
            <w:tcW w:type="dxa" w:w="60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真实术中样本闭环 + DICOM 标准化</w:t>
            </w:r>
          </w:p>
        </w:tc>
        <w:tc>
          <w:tcPr>
            <w:tcW w:type="dxa" w:w="2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⏳ 待开始</w:t>
            </w:r>
          </w:p>
        </w:tc>
      </w:tr>
    </w:tbl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Microsoft YaHei" w:hAnsi="Calibri"/>
          <w:b/>
          <w:bCs/>
          <w:i w:val="false"/>
          <w:iCs w:val="false"/>
          <w:color w:val="1A5276"/>
          <w:sz w:val="32"/>
          <w:szCs w:val="32"/>
        </w:rPr>
        <w:t xml:space="preserve">五、当前阻塞与风险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426"/>
      </w:tblGrid>
      <w:tr>
        <w:trPr>
          <w:tblHeader/>
        </w:trPr>
        <w:tc>
          <w:tcPr>
            <w:tcW w:type="dxa" w:w="26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风险项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等级</w:t>
            </w:r>
          </w:p>
        </w:tc>
        <w:tc>
          <w:tcPr>
            <w:tcW w:type="dxa" w:w="5426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缺少真实术中白光/ICG 样本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🔴 高</w:t>
            </w:r>
          </w:p>
        </w:tc>
        <w:tc>
          <w:tcPr>
            <w:tcW w:type="dxa" w:w="54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AI 模块只能用公开 CBCT 数据做间接验证，赛点二只能作为原型演示</w:t>
            </w:r>
          </w:p>
        </w:tc>
      </w:tr>
      <w:tr>
        <w:tc>
          <w:tcPr>
            <w:tcW w:type="dxa" w:w="26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缺少医生标注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🔴 高</w:t>
            </w:r>
          </w:p>
        </w:tc>
        <w:tc>
          <w:tcPr>
            <w:tcW w:type="dxa" w:w="54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下颌骨/坏死骨/灌注异常缺乏金标准标注，模型评估受限</w:t>
            </w:r>
          </w:p>
        </w:tc>
      </w:tr>
      <w:tr>
        <w:tc>
          <w:tcPr>
            <w:tcW w:type="dxa" w:w="26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DICOM 输出未启动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🟡 中</w:t>
            </w:r>
          </w:p>
        </w:tc>
        <w:tc>
          <w:tcPr>
            <w:tcW w:type="dxa" w:w="54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赛点三的 DICOM SC/SR 扩展需要进一步调研和开发</w:t>
            </w:r>
          </w:p>
        </w:tc>
      </w:tr>
      <w:tr>
        <w:tc>
          <w:tcPr>
            <w:tcW w:type="dxa" w:w="26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虚函数对接</w:t>
            </w:r>
          </w:p>
        </w:tc>
        <w:tc>
          <w:tcPr>
            <w:tcW w:type="dxa" w:w="10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🟡 中</w:t>
            </w:r>
          </w:p>
        </w:tc>
        <w:tc>
          <w:tcPr>
            <w:tcW w:type="dxa" w:w="54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后端 AI 推理目前通过 Fixture 返回模拟结果，真实模型尚未上线</w:t>
            </w:r>
          </w:p>
        </w:tc>
      </w:tr>
    </w:tbl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Microsoft YaHei" w:hAnsi="Calibri"/>
          <w:b/>
          <w:bCs/>
          <w:i w:val="false"/>
          <w:iCs w:val="false"/>
          <w:color w:val="1A5276"/>
          <w:sz w:val="32"/>
          <w:szCs w:val="32"/>
        </w:rPr>
        <w:t xml:space="preserve">六、下周可演示内容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如明后天需要给领导看，建议聚焦以下可演示路径：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Microsoft YaHei" w:hAnsi="Calibri"/>
          <w:b/>
          <w:bCs/>
          <w:i w:val="false"/>
          <w:iCs w:val="false"/>
          <w:color w:val="162020"/>
          <w:sz w:val="22"/>
          <w:szCs w:val="22"/>
        </w:rPr>
        <w:t xml:space="preserve">1. 启动平台（2 分钟）：make platform 一键启动，浏览器打开 http://127.0.0.1:5174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2. 演示双通道融合工作流（5 分钟）：新建病例 → 输入测试图片 → 运行分析 → 三联图像视图 → 候选区域 → 导出 ZIP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3. 展示 AI 辅助复核流程（3 分钟）：切换到医生复核页 → ROI 画布 + 候选区 + 接受/修改/驳回操作</w:t>
      </w:r>
    </w:p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>4. 展示研究文档体系（5 分钟）：32 份中英双语报告的完整性 → 30+ 篇论文、11 个数据集、5 个外部模型快照</w:t>
      </w:r>
    </w:p>
    <w:p>
      <w:pPr>
        <w:pStyle w:val="Heading1"/>
        <w:spacing w:after="200" w:before="360"/>
      </w:pPr>
      <w:r>
        <w:rPr>
          <w:rFonts w:ascii="Calibri" w:cs="Calibri" w:eastAsia="Microsoft YaHei" w:hAnsi="Calibri"/>
          <w:b/>
          <w:bCs/>
          <w:i w:val="false"/>
          <w:iCs w:val="false"/>
          <w:color w:val="1A5276"/>
          <w:sz w:val="32"/>
          <w:szCs w:val="32"/>
        </w:rPr>
        <w:t xml:space="preserve">七、核心文件索引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用途</w:t>
            </w:r>
          </w:p>
        </w:tc>
        <w:tc>
          <w:tcPr>
            <w:tcW w:type="dxa" w:w="5826"/>
            <w:tcBorders>
              <w:top w:val="single" w:color="B0C0D0" w:sz="1"/>
              <w:left w:val="single" w:color="B0C0D0" w:sz="1"/>
              <w:bottom w:val="single" w:color="1A5276" w:sz="2"/>
              <w:right w:val="single" w:color="B0C0D0" w:sz="1"/>
            </w:tcBorders>
            <w:shd w:fill="E8F0F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ind w:left="0" w:firstLine="0"/>
            </w:pPr>
            <w:r>
              <w:rPr>
                <w:rFonts w:ascii="Calibri" w:cs="Calibri" w:eastAsia="Microsoft YaHei" w:hAnsi="Calibri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W w:type="dxa" w:w="3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项目目标母稿</w:t>
            </w:r>
          </w:p>
        </w:tc>
        <w:tc>
          <w:tcPr>
            <w:tcW w:type="dxa" w:w="58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research/reports/planning/osteo_vision_platform_target_zh.md</w:t>
            </w:r>
          </w:p>
        </w:tc>
      </w:tr>
      <w:tr>
        <w:tc>
          <w:tcPr>
            <w:tcW w:type="dxa" w:w="3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V1 闭环计划</w:t>
            </w:r>
          </w:p>
        </w:tc>
        <w:tc>
          <w:tcPr>
            <w:tcW w:type="dxa" w:w="58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research/reports/planning/v1_demo_closure_zh.md</w:t>
            </w:r>
          </w:p>
        </w:tc>
      </w:tr>
      <w:tr>
        <w:tc>
          <w:tcPr>
            <w:tcW w:type="dxa" w:w="3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荧光融合引擎</w:t>
            </w:r>
          </w:p>
        </w:tc>
        <w:tc>
          <w:tcPr>
            <w:tcW w:type="dxa" w:w="58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src/preprocess/fluorescence.py</w:t>
            </w:r>
          </w:p>
        </w:tc>
      </w:tr>
      <w:tr>
        <w:tc>
          <w:tcPr>
            <w:tcW w:type="dxa" w:w="3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后端分析服务</w:t>
            </w:r>
          </w:p>
        </w:tc>
        <w:tc>
          <w:tcPr>
            <w:tcW w:type="dxa" w:w="58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backend/src/services/analysis_service.py</w:t>
            </w:r>
          </w:p>
        </w:tc>
      </w:tr>
      <w:tr>
        <w:tc>
          <w:tcPr>
            <w:tcW w:type="dxa" w:w="3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前端主页</w:t>
            </w:r>
          </w:p>
        </w:tc>
        <w:tc>
          <w:tcPr>
            <w:tcW w:type="dxa" w:w="58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frontend/src/pages/CaseWorkspacePage.vue</w:t>
            </w:r>
          </w:p>
        </w:tc>
      </w:tr>
      <w:tr>
        <w:tc>
          <w:tcPr>
            <w:tcW w:type="dxa" w:w="3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任务配置</w:t>
            </w:r>
          </w:p>
        </w:tc>
        <w:tc>
          <w:tcPr>
            <w:tcW w:type="dxa" w:w="58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configs/tasks/osteo_vision.yml</w:t>
            </w:r>
          </w:p>
        </w:tc>
      </w:tr>
      <w:tr>
        <w:tc>
          <w:tcPr>
            <w:tcW w:type="dxa" w:w="3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推理配置</w:t>
            </w:r>
          </w:p>
        </w:tc>
        <w:tc>
          <w:tcPr>
            <w:tcW w:type="dxa" w:w="58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configs/inference/osteo_vision.yml</w:t>
            </w:r>
          </w:p>
        </w:tc>
      </w:tr>
      <w:tr>
        <w:tc>
          <w:tcPr>
            <w:tcW w:type="dxa" w:w="3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10 模型基准报告</w:t>
            </w:r>
          </w:p>
        </w:tc>
        <w:tc>
          <w:tcPr>
            <w:tcW w:type="dxa" w:w="58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research/reports/modeling/d024_10_model_baseline_benchmark_zh.md</w:t>
            </w:r>
          </w:p>
        </w:tc>
      </w:tr>
      <w:tr>
        <w:tc>
          <w:tcPr>
            <w:tcW w:type="dxa" w:w="3200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颌骨分割模型设计</w:t>
            </w:r>
          </w:p>
        </w:tc>
        <w:tc>
          <w:tcPr>
            <w:tcW w:type="dxa" w:w="5826"/>
            <w:tcBorders>
              <w:top w:val="single" w:color="B0C0D0" w:sz="1"/>
              <w:left w:val="single" w:color="B0C0D0" w:sz="1"/>
              <w:bottom w:val="single" w:color="B0C0D0" w:sz="1"/>
              <w:right w:val="single" w:color="B0C0D0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ind w:left="0" w:firstLine="0"/>
            </w:pPr>
            <w:r>
              <w:rPr>
                <w:rFonts w:ascii="Calibri" w:cs="Calibri" w:eastAsia="Microsoft YaHei" w:hAnsi="Calibri"/>
                <w:b w:val="false"/>
                <w:bCs w:val="false"/>
                <w:i w:val="false"/>
                <w:iCs w:val="false"/>
                <w:color w:val="162020"/>
                <w:sz w:val="20"/>
                <w:szCs w:val="20"/>
              </w:rPr>
              <w:t xml:space="preserve">research/reports/modeling/osteo_vision_foundation_segmentation_model_design_zh.md</w:t>
            </w:r>
          </w:p>
        </w:tc>
      </w:tr>
    </w:tbl>
    <w:p>
      <w:pPr>
        <w:spacing w:after="160"/>
      </w:pP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162020"/>
          <w:sz w:val="22"/>
          <w:szCs w:val="22"/>
        </w:rPr>
        <w:t xml:space="preserve"/>
      </w:r>
    </w:p>
    <w:p>
      <w:pPr>
        <w:pBdr>
          <w:top w:val="single" w:color="C1812A" w:sz="2" w:space="8"/>
          <w:left w:val="single" w:color="C1812A" w:sz="8" w:space="8"/>
        </w:pBdr>
        <w:spacing w:after="120" w:before="200"/>
        <w:ind w:left="120"/>
      </w:pPr>
      <w:r>
        <w:rPr>
          <w:rFonts w:ascii="Calibri" w:cs="Calibri" w:eastAsia="Microsoft YaHei" w:hAnsi="Calibri"/>
          <w:b/>
          <w:bCs/>
          <w:i w:val="false"/>
          <w:iCs w:val="false"/>
          <w:color w:val="8A5C11"/>
          <w:sz w:val="18"/>
          <w:szCs w:val="18"/>
        </w:rPr>
        <w:t xml:space="preserve">研究原型免责声明：</w:t>
      </w:r>
      <w:r>
        <w:rPr>
          <w:rFonts w:ascii="Calibri" w:cs="Calibri" w:eastAsia="Microsoft YaHei" w:hAnsi="Calibri"/>
          <w:b w:val="false"/>
          <w:bCs w:val="false"/>
          <w:i w:val="false"/>
          <w:iCs w:val="false"/>
          <w:color w:val="6B5018"/>
          <w:sz w:val="18"/>
          <w:szCs w:val="18"/>
        </w:rPr>
        <w:t xml:space="preserve">本报告所有内容均定位为科研原型和竞赛演示，不构成临床诊断结论。AI 模型评估受限于公开数据集和模拟样本，真实临床性能需经脱敏术中数据闭环验证。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b w:val="false"/>
        <w:bCs w:val="false"/>
        <w:i w:val="false"/>
        <w:iCs w:val="false"/>
        <w:color w:val="8A9AAA"/>
        <w:sz w:val="16"/>
        <w:szCs w:val="16"/>
      </w:rPr>
      <w:t xml:space="preserve">— </w:t>
    </w:r>
    <w:r>
      <w:rPr>
        <w:rFonts w:ascii="Calibri" w:cs="Calibri" w:eastAsia="Microsoft YaHei" w:hAnsi="Calibri"/>
        <w:b w:val="false"/>
        <w:bCs w:val="false"/>
        <w:i w:val="false"/>
        <w:iCs w:val="false"/>
        <w:color w:val="1A5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b w:val="false"/>
        <w:bCs w:val="false"/>
        <w:i w:val="false"/>
        <w:iCs w:val="false"/>
        <w:color w:val="8A9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YaHei" w:hAnsi="Calibri"/>
        <w:b w:val="false"/>
        <w:bCs w:val="false"/>
        <w:i/>
        <w:iCs/>
        <w:color w:val="8A9AAA"/>
        <w:sz w:val="16"/>
        <w:szCs w:val="16"/>
      </w:rPr>
      <w:t xml:space="preserve">颌骨骨髓炎智能化荧光诊疗平台 — 项目进度汇报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>
      <w:pPr>
        <w:spacing w:after="160" w:line="276"/>
        <w:ind w:left="0" w:firstLine="0"/>
      </w:pPr>
    </w:pPrDefault>
  </w:docDefaults>
  <w:style w:type="paragraph" w:styleId="Normal" w:default="1">
    <w:name w:val="Normal"/>
    <w:primaryStyle/>
    <w:pPr>
      <w:spacing w:after="160" w:line="276" w:lineRule="auto"/>
      <w:ind w:left="0" w:firstLine="0"/>
      <w:jc w:val="left"/>
    </w:pPr>
    <w:rPr>
      <w:rFonts w:ascii="Calibri" w:cs="Calibri" w:eastAsia="Microsoft YaHei" w:hAnsi="Calibri"/>
      <w:sz w:val="22"/>
      <w:szCs w:val="22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Microsoft YaHei" w:hAnsi="Calibri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Microsoft YaHei" w:hAnsi="Calibri"/>
      <w:b/>
      <w:bCs/>
      <w:color w:val="1E6F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2026-06-21T16:12:26.474Z</dcterms:created>
  <dcterms:modified xsi:type="dcterms:W3CDTF">2026-06-21T16:12:26.477Z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