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icrosoft YaHei" w:hAnsi="Calibri"/>
          <w:b/>
          <w:bCs/>
          <w:i w:val="false"/>
          <w:iCs w:val="false"/>
          <w:color w:val="1A5276"/>
          <w:sz w:val="44"/>
          <w:szCs w:val="44"/>
        </w:rPr>
        <w:t xml:space="preserve">颌骨骨髓炎智能化荧光诊疗平台</w:t>
      </w:r>
    </w:p>
    <w:p>
      <w:pPr>
        <w:spacing w:after="40"/>
      </w:pPr>
      <w:r>
        <w:rPr>
          <w:rFonts w:ascii="Calibri" w:cs="Calibri" w:eastAsia="Microsoft YaHei" w:hAnsi="Calibri"/>
          <w:b/>
          <w:bCs/>
          <w:i w:val="false"/>
          <w:iCs w:val="false"/>
          <w:color w:val="1A5276"/>
          <w:sz w:val="36"/>
          <w:szCs w:val="36"/>
        </w:rPr>
        <w:t xml:space="preserve">团队进展报告（2026年6月）</w:t>
      </w:r>
    </w:p>
    <w:p>
      <w:pPr>
        <w:pBdr>
          <w:bottom w:val="single" w:color="1A5276" w:sz="6" w:space="8"/>
        </w:pBdr>
        <w:spacing w:after="40"/>
      </w:pPr>
      <w:r>
        <w:rPr>
          <w:rFonts w:ascii="Calibri" w:cs="Calibri" w:eastAsia="Microsoft YaHei" w:hAnsi="Calibri"/>
          <w:b w:val="false"/>
          <w:bCs w:val="false"/>
          <w:i w:val="false"/>
          <w:iCs w:val="false"/>
          <w:color w:val="5A6A7A"/>
          <w:sz w:val="20"/>
          <w:szCs w:val="20"/>
        </w:rPr>
        <w:t xml:space="preserve">版本 0.2.0   |   阶段 V1 已完成 → V2 已成型   |   目标：竞赛可演示闭环</w:t>
      </w:r>
    </w:p>
    <w:p>
      <w:pPr>
        <w:spacing w:after="160"/>
      </w:pPr>
      <w:r>
        <w:rPr>
          <w:rFonts w:ascii="Calibri" w:cs="Calibri" w:eastAsia="Microsoft YaHei" w:hAnsi="Calibri"/>
          <w:b w:val="false"/>
          <w:bCs w:val="false"/>
          <w:i w:val="false"/>
          <w:iCs w:val="false"/>
          <w:color w:val="162020"/>
          <w:sz w:val="22"/>
          <w:szCs w:val="22"/>
        </w:rPr>
        <w:t xml:space="preserve"/>
      </w:r>
    </w:p>
    <w:p>
      <w:pPr>
        <w:pStyle w:val="Heading1"/>
        <w:spacing w:after="200" w:before="360"/>
      </w:pPr>
      <w:r>
        <w:rPr>
          <w:rFonts w:ascii="Calibri" w:cs="Calibri" w:eastAsia="Microsoft YaHei" w:hAnsi="Calibri"/>
          <w:b/>
          <w:bCs/>
          <w:i w:val="false"/>
          <w:iCs w:val="false"/>
          <w:color w:val="1A5276"/>
          <w:sz w:val="32"/>
          <w:szCs w:val="32"/>
        </w:rPr>
        <w:t xml:space="preserve">一、我们是干什么的</w:t>
      </w:r>
    </w:p>
    <w:p>
      <w:pPr>
        <w:pBdr>
          <w:left w:val="single" w:color="2980B9" w:sz="6" w:space="8"/>
        </w:pBdr>
        <w:spacing w:after="120" w:before="120"/>
        <w:ind w:left="80"/>
      </w:pPr>
      <w:r>
        <w:rPr>
          <w:rFonts w:ascii="Calibri" w:cs="Calibri" w:eastAsia="Microsoft YaHei" w:hAnsi="Calibri"/>
          <w:b w:val="false"/>
          <w:bCs w:val="false"/>
          <w:i/>
          <w:iCs/>
          <w:color w:val="2980B9"/>
          <w:sz w:val="20"/>
          <w:szCs w:val="20"/>
        </w:rPr>
        <w:t xml:space="preserve">一句话：做一款软件，帮口腔科医生在手术中看清楚哪里骨头坏了、坏到什么程度——用荧光相机拍照 + AI 自动标出来 + 生成报告。</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val="false"/>
          <w:bCs w:val="false"/>
          <w:i w:val="false"/>
          <w:iCs w:val="false"/>
          <w:color w:val="162020"/>
          <w:sz w:val="22"/>
          <w:szCs w:val="22"/>
        </w:rPr>
        <w:t xml:space="preserve">颌骨骨髓炎是下巴骨头里的一种严重感染，手术时医生需要把坏死的骨头切掉。但肉眼很难判断切到哪里算干净——ICG 荧光造影剂可以帮上忙：它在血流正常的地方亮、坏死的地方暗。问题是荧光信号很弱，肉眼直接看容易漏掉，也不方便记录。</w:t>
      </w:r>
    </w:p>
    <w:p>
      <w:pPr>
        <w:spacing w:after="160"/>
      </w:pPr>
      <w:r>
        <w:rPr>
          <w:rFonts w:ascii="Calibri" w:cs="Calibri" w:eastAsia="Microsoft YaHei" w:hAnsi="Calibri"/>
          <w:b w:val="false"/>
          <w:bCs w:val="false"/>
          <w:i w:val="false"/>
          <w:iCs w:val="false"/>
          <w:color w:val="162020"/>
          <w:sz w:val="22"/>
          <w:szCs w:val="22"/>
        </w:rPr>
        <w:t xml:space="preserve">我们做的事情，就是把荧光信号增强、用颜色标出来、让 AI 辅助判读哪里风险高、最后生成可存档的结构化报告。全部跑在普通电脑上，不需要额外硬件。</w:t>
      </w:r>
    </w:p>
    <w:p>
      <w:pPr>
        <w:spacing w:after="160"/>
      </w:pPr>
      <w:r>
        <w:rPr>
          <w:rFonts w:ascii="Calibri" w:cs="Calibri" w:eastAsia="Microsoft YaHei" w:hAnsi="Calibri"/>
          <w:b/>
          <w:bCs/>
          <w:i w:val="false"/>
          <w:iCs w:val="false"/>
          <w:color w:val="162020"/>
          <w:sz w:val="22"/>
          <w:szCs w:val="22"/>
        </w:rPr>
        <w:t xml:space="preserve">这个项目同时参加三个赛道的竞赛评比：</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赛点一：荧光图像伪彩色增强——把两张图（白光 + 荧光）叠在一起，用颜色突出异常区域</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赛点二：AI 辅助诊断——自动标注疑似病灶位置，提示医生需要重点复核的区域</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赛点三：标准化输出——把结果导出成结构化报告，预留 DICOM 医院标准格式</w:t>
      </w:r>
    </w:p>
    <w:p>
      <w:pPr>
        <w:pStyle w:val="Heading1"/>
        <w:spacing w:after="200" w:before="360"/>
      </w:pPr>
      <w:r>
        <w:rPr>
          <w:rFonts w:ascii="Calibri" w:cs="Calibri" w:eastAsia="Microsoft YaHei" w:hAnsi="Calibri"/>
          <w:b/>
          <w:bCs/>
          <w:i w:val="false"/>
          <w:iCs w:val="false"/>
          <w:color w:val="1A5276"/>
          <w:sz w:val="32"/>
          <w:szCs w:val="32"/>
        </w:rPr>
        <w:t xml:space="preserve">二、整体做到哪了（一表概览）</w:t>
      </w:r>
    </w:p>
    <w:p>
      <w:pPr>
        <w:pBdr>
          <w:left w:val="single" w:color="2980B9" w:sz="6" w:space="8"/>
        </w:pBdr>
        <w:spacing w:after="120" w:before="120"/>
        <w:ind w:left="80"/>
      </w:pPr>
      <w:r>
        <w:rPr>
          <w:rFonts w:ascii="Calibri" w:cs="Calibri" w:eastAsia="Microsoft YaHei" w:hAnsi="Calibri"/>
          <w:b w:val="false"/>
          <w:bCs w:val="false"/>
          <w:i/>
          <w:iCs/>
          <w:color w:val="2980B9"/>
          <w:sz w:val="20"/>
          <w:szCs w:val="20"/>
        </w:rPr>
        <w:t xml:space="preserve">一句话：软件前后端已经连起来了，荧光融合跑通了，AI 框架搭好了，现在缺真实手术样本做最后的临床验证。</w:t>
      </w:r>
    </w:p>
    <w:p>
      <w:pPr>
        <w:spacing w:after="160"/>
      </w:pPr>
      <w:r>
        <w:rPr>
          <w:rFonts w:ascii="Calibri" w:cs="Calibri" w:eastAsia="Microsoft YaHei" w:hAnsi="Calibri"/>
          <w:b w:val="false"/>
          <w:bCs w:val="false"/>
          <w:i w:val="false"/>
          <w:iCs w:val="false"/>
          <w:color w:val="16202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4000"/>
        <w:gridCol w:w="2200"/>
      </w:tblGrid>
      <w:tr>
        <w:trPr>
          <w:tblHeader/>
        </w:trPr>
        <w:tc>
          <w:tcPr>
            <w:tcW w:type="dxa" w:w="18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模块</w:t>
            </w:r>
          </w:p>
        </w:tc>
        <w:tc>
          <w:tcPr>
            <w:tcW w:type="dxa" w:w="10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完成度</w:t>
            </w:r>
          </w:p>
        </w:tc>
        <w:tc>
          <w:tcPr>
            <w:tcW w:type="dxa" w:w="40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做到了什么</w:t>
            </w:r>
          </w:p>
        </w:tc>
        <w:tc>
          <w:tcPr>
            <w:tcW w:type="dxa" w:w="22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下周能演示吗</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荧光融合（赛点一）</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完成</w:t>
            </w:r>
          </w:p>
        </w:tc>
        <w:tc>
          <w:tcPr>
            <w:tcW w:type="dxa" w:w="4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白光+ICG 双图输入，一键输出融合图、热图、归一化图、JSON 和 Markdown 报告</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能演示</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前端软件界面</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完成</w:t>
            </w:r>
          </w:p>
        </w:tc>
        <w:tc>
          <w:tcPr>
            <w:tcW w:type="dxa" w:w="4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3 个页面（病例工作台 + 医生复核 + 报告导出），医学蓝主题</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能演示</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后端 API 服务</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完成</w:t>
            </w:r>
          </w:p>
        </w:tc>
        <w:tc>
          <w:tcPr>
            <w:tcW w:type="dxa" w:w="4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8 个接口，病例管理、分析、导出全链路通畅</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能演示</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AI 模型框架</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就绪</w:t>
            </w:r>
          </w:p>
        </w:tc>
        <w:tc>
          <w:tcPr>
            <w:tcW w:type="dxa" w:w="4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4 个模型已注册（nnU-Net / MedSAM2 / BiomedCLIP / Fixture），可切换</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能演示（Fixture 模拟）</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AI 模型训练</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进行中</w:t>
            </w:r>
          </w:p>
        </w:tc>
        <w:tc>
          <w:tcPr>
            <w:tcW w:type="dxa" w:w="4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10 种 3D 模型在公开数据上完成对比测试，nnU-Net 训练链路跑通</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可演示训练报告</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公开数据预处理</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完成</w:t>
            </w:r>
          </w:p>
        </w:tc>
        <w:tc>
          <w:tcPr>
            <w:tcW w:type="dxa" w:w="4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3 个公开 CBCT 数据集已预处理，33 份中英双语研究报告已归档</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能展示</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真实手术样本</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缺</w:t>
            </w:r>
          </w:p>
        </w:tc>
        <w:tc>
          <w:tcPr>
            <w:tcW w:type="dxa" w:w="4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目前只有公开 CBCT 数据，没有术中白光/ICG 样本</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不能</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DICOM 标准输出</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待做</w:t>
            </w:r>
          </w:p>
        </w:tc>
        <w:tc>
          <w:tcPr>
            <w:tcW w:type="dxa" w:w="4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架构已预留接口，具体的 DICOM SC/SR 封装待开发</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不能</w:t>
            </w:r>
          </w:p>
        </w:tc>
      </w:tr>
    </w:tbl>
    <w:p>
      <w:pPr>
        <w:pStyle w:val="Heading1"/>
        <w:spacing w:after="200" w:before="360"/>
      </w:pPr>
      <w:r>
        <w:rPr>
          <w:rFonts w:ascii="Calibri" w:cs="Calibri" w:eastAsia="Microsoft YaHei" w:hAnsi="Calibri"/>
          <w:b/>
          <w:bCs/>
          <w:i w:val="false"/>
          <w:iCs w:val="false"/>
          <w:color w:val="1A5276"/>
          <w:sz w:val="32"/>
          <w:szCs w:val="32"/>
        </w:rPr>
        <w:t xml:space="preserve">三、三个赛点分别做了什么</w:t>
      </w:r>
    </w:p>
    <w:p>
      <w:pPr>
        <w:pStyle w:val="Heading2"/>
        <w:spacing w:after="160" w:before="280"/>
      </w:pPr>
      <w:r>
        <w:rPr>
          <w:rFonts w:ascii="Calibri" w:cs="Calibri" w:eastAsia="Microsoft YaHei" w:hAnsi="Calibri"/>
          <w:b/>
          <w:bCs/>
          <w:i w:val="false"/>
          <w:iCs w:val="false"/>
          <w:color w:val="1E6FA6"/>
          <w:sz w:val="28"/>
          <w:szCs w:val="28"/>
        </w:rPr>
        <w:t xml:space="preserve">赛点一：荧光图像伪彩色增强 —— 把不可见的荧光信号变成可见的彩色图</w:t>
      </w:r>
    </w:p>
    <w:p>
      <w:pPr>
        <w:pBdr>
          <w:left w:val="single" w:color="2980B9" w:sz="6" w:space="8"/>
        </w:pBdr>
        <w:spacing w:after="120" w:before="120"/>
        <w:ind w:left="80"/>
      </w:pPr>
      <w:r>
        <w:rPr>
          <w:rFonts w:ascii="Calibri" w:cs="Calibri" w:eastAsia="Microsoft YaHei" w:hAnsi="Calibri"/>
          <w:b w:val="false"/>
          <w:bCs w:val="false"/>
          <w:i/>
          <w:iCs/>
          <w:color w:val="2980B9"/>
          <w:sz w:val="20"/>
          <w:szCs w:val="20"/>
        </w:rPr>
        <w:t xml:space="preserve">通俗理解：拍一张白光照片（看得见牙齿和骨头），再拍一张荧光照片（只有荧光信号），软件自动把两张图对齐、叠在一起，用绿色/琥珀色/品红色标出荧光的强弱。强的地方可能血流好，弱的地方可能坏死了。</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已经做出来的功能：</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拖入两张图（白光 + 荧光），软件自动对齐尺寸</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荧光信号归一化处理——消除不同曝光条件下的强度差异</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三种伪彩方案可选：绿色（默认）、琥珀色（暖色调）、品红色</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一个滑块调透明度，一个滑块调阈值，实时调节看得见的融合效果</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自动算出一个区域的平均荧光强度、最大值、P95、阳性面积占比</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一键导出 6 个文件：融合图、热图、归一化灰度图、JSON 结构化报告、Markdown 报告、ZIP 证据包</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技术实现：</w:t>
      </w:r>
    </w:p>
    <w:p>
      <w:pPr>
        <w:spacing w:after="160"/>
      </w:pPr>
      <w:r>
        <w:rPr>
          <w:rFonts w:ascii="Calibri" w:cs="Calibri" w:eastAsia="Microsoft YaHei" w:hAnsi="Calibri"/>
          <w:b w:val="false"/>
          <w:bCs w:val="false"/>
          <w:i w:val="false"/>
          <w:iCs w:val="false"/>
          <w:color w:val="162020"/>
          <w:sz w:val="22"/>
          <w:szCs w:val="22"/>
        </w:rPr>
        <w:t xml:space="preserve">核心代码在一个 240 行的 Python 文件里（src/preprocess/fluorescence.py）。用的是 Alpha 融合算法——简单说就是把白光图的每个像素和荧光伪彩图的对应像素按比例混合。目前用简单的 resize 做对齐（标注为演示版本），后续可以换成精确的医学图像配准算法。</w:t>
      </w:r>
    </w:p>
    <w:p>
      <w:pPr>
        <w:pStyle w:val="Heading2"/>
        <w:spacing w:after="160" w:before="280"/>
      </w:pPr>
      <w:r>
        <w:rPr>
          <w:rFonts w:ascii="Calibri" w:cs="Calibri" w:eastAsia="Microsoft YaHei" w:hAnsi="Calibri"/>
          <w:b/>
          <w:bCs/>
          <w:i w:val="false"/>
          <w:iCs w:val="false"/>
          <w:color w:val="1E6FA6"/>
          <w:sz w:val="28"/>
          <w:szCs w:val="28"/>
        </w:rPr>
        <w:t xml:space="preserve">赛点二：AI 辅助诊断 —— 让 AI 帮医生标出可疑区域</w:t>
      </w:r>
    </w:p>
    <w:p>
      <w:pPr>
        <w:pBdr>
          <w:left w:val="single" w:color="2980B9" w:sz="6" w:space="8"/>
        </w:pBdr>
        <w:spacing w:after="120" w:before="120"/>
        <w:ind w:left="80"/>
      </w:pPr>
      <w:r>
        <w:rPr>
          <w:rFonts w:ascii="Calibri" w:cs="Calibri" w:eastAsia="Microsoft YaHei" w:hAnsi="Calibri"/>
          <w:b w:val="false"/>
          <w:bCs w:val="false"/>
          <w:i/>
          <w:iCs/>
          <w:color w:val="2980B9"/>
          <w:sz w:val="20"/>
          <w:szCs w:val="20"/>
        </w:rPr>
        <w:t xml:space="preserve">通俗理解：AI 看完荧光融合图后，会圈出几个它觉得异常的区域，告诉医生“这里是高荧光区，可能血流异常”或者“这里是低荧光区，可能坏死了”。但最终决定权在医生手里——医生可以接受、修改或驳回 AI 的建议。</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AI 模型储备：</w:t>
      </w:r>
    </w:p>
    <w:p>
      <w:pPr>
        <w:spacing w:after="160"/>
      </w:pPr>
      <w:r>
        <w:rPr>
          <w:rFonts w:ascii="Calibri" w:cs="Calibri" w:eastAsia="Microsoft YaHei" w:hAnsi="Calibri"/>
          <w:b w:val="false"/>
          <w:bCs w:val="false"/>
          <w:i w:val="false"/>
          <w:iCs w:val="false"/>
          <w:color w:val="162020"/>
          <w:sz w:val="22"/>
          <w:szCs w:val="22"/>
        </w:rPr>
        <w:t xml:space="preserve">我们在系统里注册了 4 个可切换的模型（像换显卡一样可以换不同模型）：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200"/>
      </w:tblGrid>
      <w:tr>
        <w:trPr>
          <w:tblHeader/>
        </w:trPr>
        <w:tc>
          <w:tcPr>
            <w:tcW w:type="dxa" w:w="16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模型</w:t>
            </w:r>
          </w:p>
        </w:tc>
        <w:tc>
          <w:tcPr>
            <w:tcW w:type="dxa" w:w="32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做什么</w:t>
            </w:r>
          </w:p>
        </w:tc>
        <w:tc>
          <w:tcPr>
            <w:tcW w:type="dxa" w:w="20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来源</w:t>
            </w:r>
          </w:p>
        </w:tc>
        <w:tc>
          <w:tcPr>
            <w:tcW w:type="dxa" w:w="22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状态</w:t>
            </w:r>
          </w:p>
        </w:tc>
      </w:tr>
      <w:tr>
        <w:tc>
          <w:tcPr>
            <w:tcW w:type="dxa" w:w="16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nnU-Net v2</w:t>
            </w:r>
          </w:p>
        </w:tc>
        <w:tc>
          <w:tcPr>
            <w:tcW w:type="dxa" w:w="3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颌骨/病灶区域分割（圈出哪里是骨头、哪里是病变）</w:t>
            </w:r>
          </w:p>
        </w:tc>
        <w:tc>
          <w:tcPr>
            <w:tcW w:type="dxa" w:w="2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德国海德堡大学开源</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基线模型，训练链路已跑通</w:t>
            </w:r>
          </w:p>
        </w:tc>
      </w:tr>
      <w:tr>
        <w:tc>
          <w:tcPr>
            <w:tcW w:type="dxa" w:w="16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MedSAM2</w:t>
            </w:r>
          </w:p>
        </w:tc>
        <w:tc>
          <w:tcPr>
            <w:tcW w:type="dxa" w:w="3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可交互式分割——医生点一下，AI 圈出周围异常组织</w:t>
            </w:r>
          </w:p>
        </w:tc>
        <w:tc>
          <w:tcPr>
            <w:tcW w:type="dxa" w:w="2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学术前沿，2025 年论文</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已注册，待完整训练</w:t>
            </w:r>
          </w:p>
        </w:tc>
      </w:tr>
      <w:tr>
        <w:tc>
          <w:tcPr>
            <w:tcW w:type="dxa" w:w="16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BiomedCLIP</w:t>
            </w:r>
          </w:p>
        </w:tc>
        <w:tc>
          <w:tcPr>
            <w:tcW w:type="dxa" w:w="3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图像分类——判断整张图是正常还是异常</w:t>
            </w:r>
          </w:p>
        </w:tc>
        <w:tc>
          <w:tcPr>
            <w:tcW w:type="dxa" w:w="2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微软研究院开源</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已注册，辅助筛查用</w:t>
            </w:r>
          </w:p>
        </w:tc>
      </w:tr>
      <w:tr>
        <w:tc>
          <w:tcPr>
            <w:tcW w:type="dxa" w:w="16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Fixture（兜底）</w:t>
            </w:r>
          </w:p>
        </w:tc>
        <w:tc>
          <w:tcPr>
            <w:tcW w:type="dxa" w:w="3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确定性模拟模型——没有真实模型时也能跑完整流程</w:t>
            </w:r>
          </w:p>
        </w:tc>
        <w:tc>
          <w:tcPr>
            <w:tcW w:type="dxa" w:w="2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团队自建</w:t>
            </w:r>
          </w:p>
        </w:tc>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Demo/测试用</w:t>
            </w:r>
          </w:p>
        </w:tc>
      </w:tr>
    </w:tbl>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训练进展：</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在公开的牙科 CBCT 数据集（D024 DentVoxel，100 例）上，完成了 10 种 3D 医学分割模型的对比测试</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nnU-Net v2 完成完整训练/预测/评估闭环验证（1-epoch smoke test 通过）</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另外 2 个公开牙科数据集（D025 DolChID、D036 ToothFairy2）已完成预处理</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颌骨分割模型设计报告已完成（定义了 5-fold 交叉验证、Dice/HD95/NSD 评估指标）</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安全边界（重要）：</w:t>
      </w:r>
    </w:p>
    <w:p>
      <w:pPr>
        <w:spacing w:after="160"/>
      </w:pPr>
      <w:r>
        <w:rPr>
          <w:rFonts w:ascii="Calibri" w:cs="Calibri" w:eastAsia="Microsoft YaHei" w:hAnsi="Calibri"/>
          <w:b w:val="false"/>
          <w:bCs w:val="false"/>
          <w:i w:val="false"/>
          <w:iCs w:val="false"/>
          <w:color w:val="162020"/>
          <w:sz w:val="22"/>
          <w:szCs w:val="22"/>
        </w:rPr>
        <w:t xml:space="preserve">所有 AI 模型在系统配置里都标记了 clinical_claim_allowed = false ——即 AI 输出只是“参照信号”，不是诊断结论。系统设计为辅助医生判读，不是替代医生。AI 圈出来的每个候选区域都固定有四个状态：待复核 / 已接受 / 已修改 / 已驳回。</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 当前瓶颈：</w:t>
      </w:r>
    </w:p>
    <w:p>
      <w:pPr>
        <w:spacing w:after="160"/>
      </w:pPr>
      <w:r>
        <w:rPr>
          <w:rFonts w:ascii="Calibri" w:cs="Calibri" w:eastAsia="Microsoft YaHei" w:hAnsi="Calibri"/>
          <w:b w:val="false"/>
          <w:bCs w:val="false"/>
          <w:i w:val="false"/>
          <w:iCs w:val="false"/>
          <w:color w:val="162020"/>
          <w:sz w:val="22"/>
          <w:szCs w:val="22"/>
        </w:rPr>
        <w:t xml:space="preserve">AI 模型目前在公开牙科 CT 数据上训练（可以看到骨头结构），但颌骨骨髓炎的真实术中荧光图像——也就是赛题核心的应用场景——我们还没有拿到。所以 AI 现在只能作为“框架能力演示”，不能承诺真实临床场景下的准确率。一旦拿到脱敏的术中样本和医生标注，可以快速启动训练。</w:t>
      </w:r>
    </w:p>
    <w:p>
      <w:pPr>
        <w:pStyle w:val="Heading2"/>
        <w:spacing w:after="160" w:before="280"/>
      </w:pPr>
      <w:r>
        <w:rPr>
          <w:rFonts w:ascii="Calibri" w:cs="Calibri" w:eastAsia="Microsoft YaHei" w:hAnsi="Calibri"/>
          <w:b/>
          <w:bCs/>
          <w:i w:val="false"/>
          <w:iCs w:val="false"/>
          <w:color w:val="1E6FA6"/>
          <w:sz w:val="28"/>
          <w:szCs w:val="28"/>
        </w:rPr>
        <w:t xml:space="preserve">赛点三：标准化输出 —— 让结果可以存档、复用、对接医院系统</w:t>
      </w:r>
    </w:p>
    <w:p>
      <w:pPr>
        <w:pBdr>
          <w:left w:val="single" w:color="2980B9" w:sz="6" w:space="8"/>
        </w:pBdr>
        <w:spacing w:after="120" w:before="120"/>
        <w:ind w:left="80"/>
      </w:pPr>
      <w:r>
        <w:rPr>
          <w:rFonts w:ascii="Calibri" w:cs="Calibri" w:eastAsia="Microsoft YaHei" w:hAnsi="Calibri"/>
          <w:b w:val="false"/>
          <w:bCs w:val="false"/>
          <w:i/>
          <w:iCs/>
          <w:color w:val="2980B9"/>
          <w:sz w:val="20"/>
          <w:szCs w:val="20"/>
        </w:rPr>
        <w:t xml:space="preserve">通俗理解：做完分析后，软件自动生成一份“病历证据包”——包含关键截图、量化数据、AI 标注结果和医生复核记录，全部打包成 ZIP。后续可以扩展成医院通用的 DICOM 格式。</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已经能输出的格式：</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200"/>
      </w:tblGrid>
      <w:tr>
        <w:trPr>
          <w:tblHeader/>
        </w:trPr>
        <w:tc>
          <w:tcPr>
            <w:tcW w:type="dxa" w:w="18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输出物</w:t>
            </w:r>
          </w:p>
        </w:tc>
        <w:tc>
          <w:tcPr>
            <w:tcW w:type="dxa" w:w="10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格式</w:t>
            </w:r>
          </w:p>
        </w:tc>
        <w:tc>
          <w:tcPr>
            <w:tcW w:type="dxa" w:w="62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包含什么</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融合图</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PNG</w:t>
            </w:r>
          </w:p>
        </w:tc>
        <w:tc>
          <w:tcPr>
            <w:tcW w:type="dxa" w:w="6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白光照片上叠加荧光伪彩</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热力图</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PNG</w:t>
            </w:r>
          </w:p>
        </w:tc>
        <w:tc>
          <w:tcPr>
            <w:tcW w:type="dxa" w:w="6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荧光强度从蓝（低）到红（高）的彩色分布</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归一化荧光图</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PNG</w:t>
            </w:r>
          </w:p>
        </w:tc>
        <w:tc>
          <w:tcPr>
            <w:tcW w:type="dxa" w:w="6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消除曝光差异后的标准灰度图</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结构化报告</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JSON</w:t>
            </w:r>
          </w:p>
        </w:tc>
        <w:tc>
          <w:tcPr>
            <w:tcW w:type="dxa" w:w="6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所有参数、量化指标、输出路径、免责声明的结构化数据</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单病例报告</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Markdown</w:t>
            </w:r>
          </w:p>
        </w:tc>
        <w:tc>
          <w:tcPr>
            <w:tcW w:type="dxa" w:w="6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人类可读的病例总结，可直接打开查看或转 Word</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证据包</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ZIP</w:t>
            </w:r>
          </w:p>
        </w:tc>
        <w:tc>
          <w:tcPr>
            <w:tcW w:type="dxa" w:w="6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以上所有文件 + 输入的原始图的打包导出</w:t>
            </w:r>
          </w:p>
        </w:tc>
      </w:tr>
    </w:tbl>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还没做的：</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DICOM Secondary Capture（把 PNG 图封装成医院影像系统能读的 DICOM 格式）</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DICOM Structured Report（用 DICOM 标准结构化描述病灶信息）</w:t>
      </w:r>
    </w:p>
    <w:p>
      <w:pPr>
        <w:pStyle w:val="ListParagraph"/>
        <w:numPr>
          <w:ilvl w:val="0"/>
          <w:numId w:val="2"/>
        </w:numPr>
      </w:pPr>
      <w:r>
        <w:rPr>
          <w:rFonts w:ascii="Calibri" w:cs="Calibri" w:eastAsia="Microsoft YaHei" w:hAnsi="Calibri"/>
          <w:b w:val="false"/>
          <w:bCs w:val="false"/>
          <w:i w:val="false"/>
          <w:iCs w:val="false"/>
          <w:color w:val="162020"/>
          <w:sz w:val="22"/>
          <w:szCs w:val="22"/>
        </w:rPr>
        <w:t xml:space="preserve">PDF 正式报告（目前是 Markdown，需要加排版模板转 PDF）</w:t>
      </w:r>
    </w:p>
    <w:p>
      <w:pPr>
        <w:pStyle w:val="Heading1"/>
        <w:spacing w:after="200" w:before="360"/>
      </w:pPr>
      <w:r>
        <w:rPr>
          <w:rFonts w:ascii="Calibri" w:cs="Calibri" w:eastAsia="Microsoft YaHei" w:hAnsi="Calibri"/>
          <w:b/>
          <w:bCs/>
          <w:i w:val="false"/>
          <w:iCs w:val="false"/>
          <w:color w:val="1A5276"/>
          <w:sz w:val="32"/>
          <w:szCs w:val="32"/>
        </w:rPr>
        <w:t xml:space="preserve">四、工程成熟度</w:t>
      </w:r>
    </w:p>
    <w:p>
      <w:pPr>
        <w:pBdr>
          <w:left w:val="single" w:color="2980B9" w:sz="6" w:space="8"/>
        </w:pBdr>
        <w:spacing w:after="120" w:before="120"/>
        <w:ind w:left="80"/>
      </w:pPr>
      <w:r>
        <w:rPr>
          <w:rFonts w:ascii="Calibri" w:cs="Calibri" w:eastAsia="Microsoft YaHei" w:hAnsi="Calibri"/>
          <w:b w:val="false"/>
          <w:bCs w:val="false"/>
          <w:i/>
          <w:iCs/>
          <w:color w:val="2980B9"/>
          <w:sz w:val="20"/>
          <w:szCs w:val="20"/>
        </w:rPr>
        <w:t xml:space="preserve">一句话：代码量相当于一个中型科研项目，测试覆盖到位，文档齐备，可以一键启动演示。</w:t>
      </w:r>
    </w:p>
    <w:p>
      <w:pPr>
        <w:spacing w:after="160"/>
      </w:pPr>
      <w:r>
        <w:rPr>
          <w:rFonts w:ascii="Calibri" w:cs="Calibri" w:eastAsia="Microsoft YaHei" w:hAnsi="Calibri"/>
          <w:b w:val="false"/>
          <w:bCs w:val="false"/>
          <w:i w:val="false"/>
          <w:iCs w:val="false"/>
          <w:color w:val="162020"/>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00"/>
      </w:tblGrid>
      <w:tr>
        <w:trPr>
          <w:tblHeader/>
        </w:trPr>
        <w:tc>
          <w:tcPr>
            <w:tcW w:type="dxa" w:w="18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指标</w:t>
            </w:r>
          </w:p>
        </w:tc>
        <w:tc>
          <w:tcPr>
            <w:tcW w:type="dxa" w:w="28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数字</w:t>
            </w:r>
          </w:p>
        </w:tc>
        <w:tc>
          <w:tcPr>
            <w:tcW w:type="dxa" w:w="44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说明</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Python 源码</w:t>
            </w:r>
          </w:p>
        </w:tc>
        <w:tc>
          <w:tcPr>
            <w:tcW w:type="dxa" w:w="2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102 个文件（72+30）</w:t>
            </w:r>
          </w:p>
        </w:tc>
        <w:tc>
          <w:tcPr>
            <w:tcW w:type="dxa" w:w="4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核心框架 72 个 + 后端服务 30 个，模块化清晰</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前端组件</w:t>
            </w:r>
          </w:p>
        </w:tc>
        <w:tc>
          <w:tcPr>
            <w:tcW w:type="dxa" w:w="2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14 个 Vue 组件 + 3 个页面</w:t>
            </w:r>
          </w:p>
        </w:tc>
        <w:tc>
          <w:tcPr>
            <w:tcW w:type="dxa" w:w="4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Vue 3 + TypeScript + Vite 6，医学蓝主题</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API 接口</w:t>
            </w:r>
          </w:p>
        </w:tc>
        <w:tc>
          <w:tcPr>
            <w:tcW w:type="dxa" w:w="2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8 个 REST 端点</w:t>
            </w:r>
          </w:p>
        </w:tc>
        <w:tc>
          <w:tcPr>
            <w:tcW w:type="dxa" w:w="4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FastAPI，覆盖病例 CRUD → 分析 → 复核 → 导出全流程</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测试文件</w:t>
            </w:r>
          </w:p>
        </w:tc>
        <w:tc>
          <w:tcPr>
            <w:tcW w:type="dxa" w:w="2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29 个 Python + 4 个前端</w:t>
            </w:r>
          </w:p>
        </w:tc>
        <w:tc>
          <w:tcPr>
            <w:tcW w:type="dxa" w:w="4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单元测试 + 冒烟测试 + 集成测试三层体系</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研究文档</w:t>
            </w:r>
          </w:p>
        </w:tc>
        <w:tc>
          <w:tcPr>
            <w:tcW w:type="dxa" w:w="2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33 份中英双语报告</w:t>
            </w:r>
          </w:p>
        </w:tc>
        <w:tc>
          <w:tcPr>
            <w:tcW w:type="dxa" w:w="4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预处理 6 份 + 建模 8 份 + 规划 8 份，全部归档</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代码规范</w:t>
            </w:r>
          </w:p>
        </w:tc>
        <w:tc>
          <w:tcPr>
            <w:tcW w:type="dxa" w:w="2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black + isort + flake8 + mypy</w:t>
            </w:r>
          </w:p>
        </w:tc>
        <w:tc>
          <w:tcPr>
            <w:tcW w:type="dxa" w:w="4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格式化/排序/检查/类型四件套全部配置</w:t>
            </w:r>
          </w:p>
        </w:tc>
      </w:tr>
      <w:tr>
        <w:tc>
          <w:tcPr>
            <w:tcW w:type="dxa" w:w="1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一键启动</w:t>
            </w:r>
          </w:p>
        </w:tc>
        <w:tc>
          <w:tcPr>
            <w:tcW w:type="dxa" w:w="28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make platform</w:t>
            </w:r>
          </w:p>
        </w:tc>
        <w:tc>
          <w:tcPr>
            <w:tcW w:type="dxa" w:w="4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一行命令同时拉起前后端，浏览器直接打开</w:t>
            </w:r>
          </w:p>
        </w:tc>
      </w:tr>
    </w:tbl>
    <w:p>
      <w:pPr>
        <w:spacing w:after="160"/>
      </w:pPr>
      <w:r>
        <w:rPr>
          <w:rFonts w:ascii="Calibri" w:cs="Calibri" w:eastAsia="Microsoft YaHei" w:hAnsi="Calibri"/>
          <w:b w:val="false"/>
          <w:bCs w:val="false"/>
          <w:i w:val="false"/>
          <w:iCs w:val="false"/>
          <w:color w:val="162020"/>
          <w:sz w:val="22"/>
          <w:szCs w:val="22"/>
        </w:rPr>
        <w:t xml:space="preserve"/>
      </w:r>
    </w:p>
    <w:p>
      <w:pPr>
        <w:pStyle w:val="Heading1"/>
        <w:spacing w:after="200" w:before="360"/>
      </w:pPr>
      <w:r>
        <w:rPr>
          <w:rFonts w:ascii="Calibri" w:cs="Calibri" w:eastAsia="Microsoft YaHei" w:hAnsi="Calibri"/>
          <w:b/>
          <w:bCs/>
          <w:i w:val="false"/>
          <w:iCs w:val="false"/>
          <w:color w:val="1A5276"/>
          <w:sz w:val="32"/>
          <w:szCs w:val="32"/>
        </w:rPr>
        <w:t xml:space="preserve">五、当前最大的风险和边界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400"/>
        <w:gridCol w:w="3400"/>
      </w:tblGrid>
      <w:tr>
        <w:trPr>
          <w:tblHeader/>
        </w:trPr>
        <w:tc>
          <w:tcPr>
            <w:tcW w:type="dxa" w:w="22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风险</w:t>
            </w:r>
          </w:p>
        </w:tc>
        <w:tc>
          <w:tcPr>
            <w:tcW w:type="dxa" w:w="10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严重程度</w:t>
            </w:r>
          </w:p>
        </w:tc>
        <w:tc>
          <w:tcPr>
            <w:tcW w:type="dxa" w:w="24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影响什么</w:t>
            </w:r>
          </w:p>
        </w:tc>
        <w:tc>
          <w:tcPr>
            <w:tcW w:type="dxa" w:w="3400"/>
            <w:tcBorders>
              <w:top w:val="single" w:color="B0C0D0" w:sz="1"/>
              <w:left w:val="single" w:color="B0C0D0" w:sz="1"/>
              <w:bottom w:val="single" w:color="1A5276" w:sz="2"/>
              <w:right w:val="single" w:color="B0C0D0" w:sz="1"/>
            </w:tcBorders>
            <w:shd w:fill="E8F0FE" w:val="clear"/>
            <w:tcMar>
              <w:top w:type="dxa" w:w="40"/>
              <w:left w:type="dxa" w:w="120"/>
              <w:bottom w:type="dxa" w:w="40"/>
              <w:right w:type="dxa" w:w="120"/>
            </w:tcMar>
          </w:tcPr>
          <w:p>
            <w:pPr>
              <w:ind w:left="0" w:firstLine="0"/>
            </w:pPr>
            <w:r>
              <w:rPr>
                <w:rFonts w:ascii="Calibri" w:cs="Calibri" w:eastAsia="Microsoft YaHei" w:hAnsi="Calibri"/>
                <w:b/>
                <w:bCs/>
                <w:i w:val="false"/>
                <w:iCs w:val="false"/>
                <w:color w:val="1A5276"/>
                <w:sz w:val="20"/>
                <w:szCs w:val="20"/>
              </w:rPr>
              <w:t xml:space="preserve">我们怎么应对</w:t>
            </w:r>
          </w:p>
        </w:tc>
      </w:tr>
      <w:tr>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没有真实术中白光/ICG 样本</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高</w:t>
            </w:r>
          </w:p>
        </w:tc>
        <w:tc>
          <w:tcPr>
            <w:tcW w:type="dxa" w:w="2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赛点二的 AI 只能做原型演示，不能在真实场景验证</w:t>
            </w:r>
          </w:p>
        </w:tc>
        <w:tc>
          <w:tcPr>
            <w:tcW w:type="dxa" w:w="3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1) 公开 CT 数据做间接训练 2) 框架预留真实数据接口 3) 明确标注“演示用”</w:t>
            </w:r>
          </w:p>
        </w:tc>
      </w:tr>
      <w:tr>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没有医生标注（金标准）</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高</w:t>
            </w:r>
          </w:p>
        </w:tc>
        <w:tc>
          <w:tcPr>
            <w:tcW w:type="dxa" w:w="2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AI 模型无法评估真实诊断准确率</w:t>
            </w:r>
          </w:p>
        </w:tc>
        <w:tc>
          <w:tcPr>
            <w:tcW w:type="dxa" w:w="3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1) 先用图像强度统计做启发式标注 2) 报告里写清楚局限</w:t>
            </w:r>
          </w:p>
        </w:tc>
      </w:tr>
      <w:tr>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DICOM 封装未启动</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中</w:t>
            </w:r>
          </w:p>
        </w:tc>
        <w:tc>
          <w:tcPr>
            <w:tcW w:type="dxa" w:w="2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赛点三的医院标准格式还没做</w:t>
            </w:r>
          </w:p>
        </w:tc>
        <w:tc>
          <w:tcPr>
            <w:tcW w:type="dxa" w:w="3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已有 PNG/JSON 输出，DICOM 只需二次封装——开发量预估 3-5 天</w:t>
            </w:r>
          </w:p>
        </w:tc>
      </w:tr>
      <w:tr>
        <w:tc>
          <w:tcPr>
            <w:tcW w:type="dxa" w:w="22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AI 真实模型未上线</w:t>
            </w:r>
          </w:p>
        </w:tc>
        <w:tc>
          <w:tcPr>
            <w:tcW w:type="dxa" w:w="10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 中</w:t>
            </w:r>
          </w:p>
        </w:tc>
        <w:tc>
          <w:tcPr>
            <w:tcW w:type="dxa" w:w="2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后端目前用 Fixture 返回模拟结果</w:t>
            </w:r>
          </w:p>
        </w:tc>
        <w:tc>
          <w:tcPr>
            <w:tcW w:type="dxa" w:w="3400"/>
            <w:tcBorders>
              <w:top w:val="single" w:color="B0C0D0" w:sz="1"/>
              <w:left w:val="single" w:color="B0C0D0" w:sz="1"/>
              <w:bottom w:val="single" w:color="B0C0D0" w:sz="1"/>
              <w:right w:val="single" w:color="B0C0D0" w:sz="1"/>
            </w:tcBorders>
            <w:tcMar>
              <w:top w:type="dxa" w:w="40"/>
              <w:left w:type="dxa" w:w="120"/>
              <w:bottom w:type="dxa" w:w="40"/>
              <w:right w:type="dxa" w:w="120"/>
            </w:tcMar>
          </w:tcPr>
          <w:p>
            <w:pPr>
              <w:spacing w:after="0"/>
              <w:ind w:left="0" w:firstLine="0"/>
            </w:pPr>
            <w:r>
              <w:rPr>
                <w:rFonts w:ascii="Calibri" w:cs="Calibri" w:eastAsia="Microsoft YaHei" w:hAnsi="Calibri"/>
                <w:b w:val="false"/>
                <w:bCs w:val="false"/>
                <w:i w:val="false"/>
                <w:iCs w:val="false"/>
                <w:color w:val="162020"/>
                <w:sz w:val="20"/>
                <w:szCs w:val="20"/>
              </w:rPr>
              <w:t xml:space="preserve">nnU-Net 训练链路已通，权重到位后一小时内可切换</w:t>
            </w:r>
          </w:p>
        </w:tc>
      </w:tr>
    </w:tbl>
    <w:p>
      <w:pPr>
        <w:spacing w:after="160"/>
      </w:pPr>
      <w:r>
        <w:rPr>
          <w:rFonts w:ascii="Calibri" w:cs="Calibri" w:eastAsia="Microsoft YaHei" w:hAnsi="Calibri"/>
          <w:b w:val="false"/>
          <w:bCs w:val="false"/>
          <w:i w:val="false"/>
          <w:iCs w:val="false"/>
          <w:color w:val="162020"/>
          <w:sz w:val="22"/>
          <w:szCs w:val="22"/>
        </w:rPr>
        <w:t xml:space="preserve"/>
      </w:r>
    </w:p>
    <w:p>
      <w:pPr>
        <w:pStyle w:val="Heading1"/>
        <w:spacing w:after="200" w:before="360"/>
      </w:pPr>
      <w:r>
        <w:rPr>
          <w:rFonts w:ascii="Calibri" w:cs="Calibri" w:eastAsia="Microsoft YaHei" w:hAnsi="Calibri"/>
          <w:b/>
          <w:bCs/>
          <w:i w:val="false"/>
          <w:iCs w:val="false"/>
          <w:color w:val="1A5276"/>
          <w:sz w:val="32"/>
          <w:szCs w:val="32"/>
        </w:rPr>
        <w:t xml:space="preserve">六、可以给领导看什么（15 分钟演示路线）</w:t>
      </w:r>
    </w:p>
    <w:p>
      <w:pPr>
        <w:pBdr>
          <w:left w:val="single" w:color="2980B9" w:sz="6" w:space="8"/>
        </w:pBdr>
        <w:spacing w:after="120" w:before="120"/>
        <w:ind w:left="80"/>
      </w:pPr>
      <w:r>
        <w:rPr>
          <w:rFonts w:ascii="Calibri" w:cs="Calibri" w:eastAsia="Microsoft YaHei" w:hAnsi="Calibri"/>
          <w:b w:val="false"/>
          <w:bCs w:val="false"/>
          <w:i/>
          <w:iCs/>
          <w:color w:val="2980B9"/>
          <w:sz w:val="20"/>
          <w:szCs w:val="20"/>
        </w:rPr>
        <w:t xml:space="preserve">一句话：从打开电脑到生成证据包，全程 15 分钟。不需要 GPU，在一台普通笔记本上就能跑。</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第一步：启动（1 分钟）</w:t>
      </w:r>
    </w:p>
    <w:p>
      <w:pPr>
        <w:spacing w:after="160"/>
      </w:pPr>
      <w:r>
        <w:rPr>
          <w:rFonts w:ascii="Calibri" w:cs="Calibri" w:eastAsia="Microsoft YaHei" w:hAnsi="Calibri"/>
          <w:b w:val="false"/>
          <w:bCs w:val="false"/>
          <w:i w:val="false"/>
          <w:iCs w:val="false"/>
          <w:color w:val="162020"/>
          <w:sz w:val="22"/>
          <w:szCs w:val="22"/>
        </w:rPr>
        <w:t xml:space="preserve">打开终端，输入一行命令 make platform。浏览器自动打开软件界面。</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第二步：跑一个完整病例（5 分钟）</w:t>
      </w:r>
    </w:p>
    <w:p>
      <w:pPr>
        <w:spacing w:after="160"/>
      </w:pPr>
      <w:r>
        <w:rPr>
          <w:rFonts w:ascii="Calibri" w:cs="Calibri" w:eastAsia="Microsoft YaHei" w:hAnsi="Calibri"/>
          <w:b w:val="false"/>
          <w:bCs w:val="false"/>
          <w:i w:val="false"/>
          <w:iCs w:val="false"/>
          <w:color w:val="162020"/>
          <w:sz w:val="22"/>
          <w:szCs w:val="22"/>
        </w:rPr>
        <w:t xml:space="preserve">点击新建病例 → 拖入两张测试图片（一张白光、一张荧光）→ 调一下透明度和阈值 → 点击运行分析。软件自动生成三张对比图（融合/热图/灰度），并列出 AI 发现的异常区域和荧光强度数据。</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第三步：医生复核演示（3 分钟）</w:t>
      </w:r>
    </w:p>
    <w:p>
      <w:pPr>
        <w:spacing w:after="160"/>
      </w:pPr>
      <w:r>
        <w:rPr>
          <w:rFonts w:ascii="Calibri" w:cs="Calibri" w:eastAsia="Microsoft YaHei" w:hAnsi="Calibri"/>
          <w:b w:val="false"/>
          <w:bCs w:val="false"/>
          <w:i w:val="false"/>
          <w:iCs w:val="false"/>
          <w:color w:val="162020"/>
          <w:sz w:val="22"/>
          <w:szCs w:val="22"/>
        </w:rPr>
        <w:t xml:space="preserve">切换到医生复核页面。左边是 ROI 标注画布，右边是 AI 候选区列表。点击接受/修改/驳回，系统记录复核历史。</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第四步：导出证据包（1 分钟）</w:t>
      </w:r>
    </w:p>
    <w:p>
      <w:pPr>
        <w:spacing w:after="160"/>
      </w:pPr>
      <w:r>
        <w:rPr>
          <w:rFonts w:ascii="Calibri" w:cs="Calibri" w:eastAsia="Microsoft YaHei" w:hAnsi="Calibri"/>
          <w:b w:val="false"/>
          <w:bCs w:val="false"/>
          <w:i w:val="false"/>
          <w:iCs w:val="false"/>
          <w:color w:val="162020"/>
          <w:sz w:val="22"/>
          <w:szCs w:val="22"/>
        </w:rPr>
        <w:t xml:space="preserve">点击导出，得到一个 ZIP 文件。里面包含所有图、JSON 数据、Markdown 报告，可以直接发给同事或存档。</w:t>
      </w:r>
    </w:p>
    <w:p>
      <w:pPr>
        <w:spacing w:after="160"/>
      </w:pPr>
      <w:r>
        <w:rPr>
          <w:rFonts w:ascii="Calibri" w:cs="Calibri" w:eastAsia="Microsoft YaHei" w:hAnsi="Calibri"/>
          <w:b w:val="false"/>
          <w:bCs w:val="false"/>
          <w:i w:val="false"/>
          <w:iCs w:val="false"/>
          <w:color w:val="162020"/>
          <w:sz w:val="22"/>
          <w:szCs w:val="22"/>
        </w:rPr>
        <w:t xml:space="preserve"/>
      </w:r>
    </w:p>
    <w:p>
      <w:pPr>
        <w:spacing w:after="160"/>
      </w:pPr>
      <w:r>
        <w:rPr>
          <w:rFonts w:ascii="Calibri" w:cs="Calibri" w:eastAsia="Microsoft YaHei" w:hAnsi="Calibri"/>
          <w:b/>
          <w:bCs/>
          <w:i w:val="false"/>
          <w:iCs w:val="false"/>
          <w:color w:val="162020"/>
          <w:sz w:val="22"/>
          <w:szCs w:val="22"/>
        </w:rPr>
        <w:t xml:space="preserve">第五步：展示研究文档体系（5 分钟）</w:t>
      </w:r>
    </w:p>
    <w:p>
      <w:pPr>
        <w:spacing w:after="160"/>
      </w:pPr>
      <w:r>
        <w:rPr>
          <w:rFonts w:ascii="Calibri" w:cs="Calibri" w:eastAsia="Microsoft YaHei" w:hAnsi="Calibri"/>
          <w:b w:val="false"/>
          <w:bCs w:val="false"/>
          <w:i w:val="false"/>
          <w:iCs w:val="false"/>
          <w:color w:val="162020"/>
          <w:sz w:val="22"/>
          <w:szCs w:val="22"/>
        </w:rPr>
        <w:t xml:space="preserve">打开 research/reports/ 目录，展示 33 份中英双语的预处理/建模/规划报告。外加 30+ 篇论文、11 个数据集、5 个外部模型快照的文献归档。</w:t>
      </w:r>
    </w:p>
    <w:p>
      <w:pPr>
        <w:spacing w:after="160"/>
      </w:pPr>
      <w:r>
        <w:rPr>
          <w:rFonts w:ascii="Calibri" w:cs="Calibri" w:eastAsia="Microsoft YaHei" w:hAnsi="Calibri"/>
          <w:b w:val="false"/>
          <w:bCs w:val="false"/>
          <w:i w:val="false"/>
          <w:iCs w:val="false"/>
          <w:color w:val="162020"/>
          <w:sz w:val="22"/>
          <w:szCs w:val="22"/>
        </w:rPr>
        <w:t xml:space="preserve"/>
      </w:r>
    </w:p>
    <w:p>
      <w:pPr>
        <w:pBdr>
          <w:top w:val="single" w:color="C1812A" w:sz="2" w:space="8"/>
          <w:left w:val="single" w:color="C1812A" w:sz="8" w:space="8"/>
        </w:pBdr>
        <w:spacing w:after="120" w:before="200"/>
        <w:ind w:left="120"/>
      </w:pPr>
      <w:r>
        <w:rPr>
          <w:rFonts w:ascii="Calibri" w:cs="Calibri" w:eastAsia="Microsoft YaHei" w:hAnsi="Calibri"/>
          <w:b/>
          <w:bCs/>
          <w:i w:val="false"/>
          <w:iCs w:val="false"/>
          <w:color w:val="8A5C11"/>
          <w:sz w:val="18"/>
          <w:szCs w:val="18"/>
        </w:rPr>
        <w:t xml:space="preserve">研究原型免责声明：</w:t>
      </w:r>
      <w:r>
        <w:rPr>
          <w:rFonts w:ascii="Calibri" w:cs="Calibri" w:eastAsia="Microsoft YaHei" w:hAnsi="Calibri"/>
          <w:b w:val="false"/>
          <w:bCs w:val="false"/>
          <w:i w:val="false"/>
          <w:iCs w:val="false"/>
          <w:color w:val="6B5018"/>
          <w:sz w:val="18"/>
          <w:szCs w:val="18"/>
        </w:rPr>
        <w:t xml:space="preserve">本报告所有内容均定位为科研原型和竞赛演示，不构成临床诊断结论。AI 模型评估受限于公开数据集和模拟样本，真实临床性能需经脱敏术中数据闭环验证。</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Microsoft YaHei" w:hAnsi="Calibri"/>
        <w:b w:val="false"/>
        <w:bCs w:val="false"/>
        <w:i w:val="false"/>
        <w:iCs w:val="false"/>
        <w:color w:val="8A9AAA"/>
        <w:sz w:val="16"/>
        <w:szCs w:val="16"/>
      </w:rPr>
      <w:t xml:space="preserve">— </w:t>
    </w:r>
    <w:r>
      <w:rPr>
        <w:rFonts w:ascii="Calibri" w:cs="Calibri" w:eastAsia="Microsoft YaHei" w:hAnsi="Calibri"/>
        <w:b w:val="false"/>
        <w:bCs w:val="false"/>
        <w:i w:val="false"/>
        <w:iCs w:val="false"/>
        <w:color w:val="1A5276"/>
        <w:sz w:val="16"/>
        <w:szCs w:val="16"/>
      </w:rPr>
      <w:fldChar w:fldCharType="begin"/>
      <w:instrText xml:space="preserve">PAGE</w:instrText>
      <w:fldChar w:fldCharType="separate"/>
      <w:fldChar w:fldCharType="end"/>
    </w:r>
    <w:r>
      <w:rPr>
        <w:rFonts w:ascii="Calibri" w:cs="Calibri" w:eastAsia="Microsoft YaHei" w:hAnsi="Calibri"/>
        <w:b w:val="false"/>
        <w:bCs w:val="false"/>
        <w:i w:val="false"/>
        <w:iCs w:val="false"/>
        <w:color w:val="8A9AAA"/>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Microsoft YaHei" w:hAnsi="Calibri"/>
        <w:b w:val="false"/>
        <w:bCs w:val="false"/>
        <w:i/>
        <w:iCs/>
        <w:color w:val="8A9AAA"/>
        <w:sz w:val="16"/>
        <w:szCs w:val="16"/>
      </w:rPr>
      <w:t xml:space="preserve">颌骨骨髓炎智能化荧光诊疗平台 — 团队进展报告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pPr>
        <w:spacing w:after="160" w:line="276"/>
        <w:ind w:left="0" w:firstLine="0"/>
      </w:pPr>
    </w:pPrDefault>
  </w:docDefaults>
  <w:style w:type="paragraph" w:styleId="Normal" w:default="1">
    <w:name w:val="Normal"/>
    <w:primaryStyle/>
    <w:pPr>
      <w:spacing w:after="160" w:line="276" w:lineRule="auto"/>
      <w:ind w:left="0" w:firstLine="0"/>
      <w:jc w:val="left"/>
    </w:pPr>
    <w:rPr>
      <w:rFonts w:ascii="Calibri" w:cs="Calibri" w:eastAsia="Microsoft YaHei" w:hAnsi="Calibri"/>
      <w:sz w:val="22"/>
      <w:szCs w:val="22"/>
    </w:r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Microsoft YaHei" w:hAnsi="Calibri"/>
      <w:b/>
      <w:bCs/>
      <w:color w:val="1A5276"/>
      <w:sz w:val="32"/>
      <w:szCs w:val="32"/>
    </w:rPr>
  </w:style>
  <w:style w:type="paragraph" w:styleId="Heading2">
    <w:name w:val="Heading 2"/>
    <w:basedOn w:val="Normal"/>
    <w:next w:val="Normal"/>
    <w:qFormat/>
    <w:pPr>
      <w:spacing w:after="160" w:before="280"/>
      <w:outlineLvl w:val="1"/>
    </w:pPr>
    <w:rPr>
      <w:rFonts w:ascii="Calibri" w:cs="Calibri" w:eastAsia="Microsoft YaHei" w:hAnsi="Calibri"/>
      <w:b/>
      <w:bCs/>
      <w:color w:val="1E6FA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2026-06-21T16:21:33.494Z</dcterms:created>
  <dcterms:modified xsi:type="dcterms:W3CDTF">2026-06-21T16:21:33.494Z</dcterms:modified>
</cp:coreProperties>
</file>

<file path=docProps/custom.xml><?xml version="1.0" encoding="utf-8"?>
<Properties xmlns="http://schemas.openxmlformats.org/officeDocument/2006/custom-properties" xmlns:vt="http://schemas.openxmlformats.org/officeDocument/2006/docPropsVTypes"/>
</file>