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CB857">
      <w:pPr>
        <w:spacing w:before="1000" w:after="220"/>
        <w:jc w:val="center"/>
      </w:pPr>
      <w:bookmarkStart w:id="20" w:name="_GoBack"/>
      <w:bookmarkEnd w:id="20"/>
      <w:r>
        <w:rPr>
          <w:b/>
          <w:bCs/>
          <w:color w:val="0B6B68"/>
          <w:sz w:val="30"/>
          <w:szCs w:val="30"/>
        </w:rPr>
        <w:t>OSTEO VISION</w:t>
      </w:r>
    </w:p>
    <w:p w14:paraId="79D3103C">
      <w:pPr>
        <w:pBdr>
          <w:bottom w:val="single" w:color="0B6B68" w:sz="18" w:space="12"/>
        </w:pBdr>
        <w:spacing w:before="260" w:after="480"/>
        <w:jc w:val="center"/>
      </w:pPr>
      <w:r>
        <w:rPr>
          <w:b/>
          <w:bCs/>
          <w:color w:val="18323A"/>
          <w:sz w:val="48"/>
          <w:szCs w:val="48"/>
        </w:rPr>
        <w:t>颌骨骨髓炎智能化荧光诊疗技术方案</w:t>
      </w:r>
    </w:p>
    <w:p w14:paraId="64978EC4">
      <w:pPr>
        <w:spacing w:after="560" w:line="420" w:lineRule="auto"/>
        <w:jc w:val="center"/>
      </w:pPr>
      <w:r>
        <w:rPr>
          <w:color w:val="5A6870"/>
          <w:sz w:val="25"/>
          <w:szCs w:val="25"/>
        </w:rPr>
        <w:t>面向荧光手术显微镜的多模态融合、AI 辅助判读与三维工程验证</w:t>
      </w:r>
    </w:p>
    <w:p w14:paraId="6A5F75B6">
      <w:pPr>
        <w:spacing w:before="300" w:after="420" w:line="460" w:lineRule="auto"/>
        <w:jc w:val="center"/>
      </w:pPr>
      <w:r>
        <w:rPr>
          <w:color w:val="18323A"/>
          <w:sz w:val="22"/>
          <w:szCs w:val="22"/>
        </w:rPr>
        <w:t>版本：</w:t>
      </w:r>
      <w:r>
        <w:rPr>
          <w:rFonts w:ascii="Consolas" w:hAnsi="Consolas" w:eastAsia="微软雅黑" w:cs="Consolas"/>
          <w:color w:val="294850"/>
          <w:sz w:val="19"/>
          <w:szCs w:val="19"/>
          <w:shd w:val="clear" w:fill="EEF3F4"/>
        </w:rPr>
        <w:t>0.3.0-rc.2</w:t>
      </w:r>
      <w:r>
        <w:br w:type="textWrapping"/>
      </w:r>
      <w:r>
        <w:rPr>
          <w:color w:val="18323A"/>
          <w:sz w:val="22"/>
          <w:szCs w:val="22"/>
        </w:rPr>
        <w:t>日期：2026-07-19</w:t>
      </w:r>
      <w:r>
        <w:br w:type="textWrapping"/>
      </w:r>
      <w:r>
        <w:rPr>
          <w:color w:val="18323A"/>
          <w:sz w:val="22"/>
          <w:szCs w:val="22"/>
        </w:rPr>
        <w:t>定位：比赛技术方案与研发验证版平台证据</w:t>
      </w:r>
    </w:p>
    <w:p w14:paraId="35E33A53">
      <w:pPr>
        <w:pBdr>
          <w:top w:val="single" w:color="B9C9CC" w:sz="4" w:space="8"/>
          <w:bottom w:val="single" w:color="B9C9CC" w:sz="4" w:space="8"/>
        </w:pBdr>
        <w:shd w:val="clear" w:fill="F3F7F6"/>
        <w:spacing w:before="900" w:after="0" w:line="360" w:lineRule="auto"/>
        <w:ind w:left="360" w:right="360"/>
        <w:jc w:val="center"/>
      </w:pPr>
      <w:r>
        <w:rPr>
          <w:b/>
          <w:bCs/>
          <w:color w:val="0B6B68"/>
          <w:sz w:val="20"/>
          <w:szCs w:val="20"/>
        </w:rPr>
        <w:t>患者安全边界：所有输出均为术中参考信号与研发验证证据，须由医生复核，不用于自动确诊或替代临床判断。</w:t>
      </w:r>
    </w:p>
    <w:p w14:paraId="13FF9B7F">
      <w:pPr>
        <w:sectPr>
          <w:headerReference r:id="rId7" w:type="first"/>
          <w:footerReference r:id="rId10" w:type="first"/>
          <w:headerReference r:id="rId5" w:type="default"/>
          <w:footerReference r:id="rId8" w:type="default"/>
          <w:headerReference r:id="rId6" w:type="even"/>
          <w:footerReference r:id="rId9" w:type="even"/>
          <w:pgSz w:w="11906" w:h="16838"/>
          <w:pgMar w:top="1360" w:right="1440" w:bottom="1300" w:left="1587" w:header="650" w:footer="650" w:gutter="0"/>
          <w:cols w:space="720" w:num="1"/>
          <w:vAlign w:val="top"/>
          <w:docGrid w:linePitch="360" w:charSpace="0"/>
        </w:sectPr>
      </w:pPr>
    </w:p>
    <w:p w14:paraId="106437EC">
      <w:pPr>
        <w:spacing w:before="120" w:after="220"/>
      </w:pPr>
      <w:r>
        <w:rPr>
          <w:b/>
          <w:bCs/>
          <w:color w:val="0B6B68"/>
          <w:sz w:val="18"/>
          <w:szCs w:val="18"/>
        </w:rPr>
        <w:t>文档导航</w:t>
      </w:r>
    </w:p>
    <w:sdt>
      <w:sdtPr>
        <w:alias w:val="目录"/>
        <w:id w:val="147456561"/>
      </w:sdtPr>
      <w:sdtContent>
        <w:p w14:paraId="27025843">
          <w:pPr>
            <w:rPr>
              <w:rFonts w:hint="eastAsia" w:ascii="微软雅黑" w:hAnsi="微软雅黑" w:eastAsia="微软雅黑" w:cs="微软雅黑"/>
              <w:color w:val="18323A"/>
              <w:sz w:val="21"/>
              <w:szCs w:val="21"/>
            </w:rPr>
          </w:pPr>
          <w:r>
            <w:fldChar w:fldCharType="begin"/>
          </w:r>
          <w:r>
            <w:instrText xml:space="preserve">TOC \h \o "1-3"</w:instrText>
          </w:r>
          <w:r>
            <w:fldChar w:fldCharType="separate"/>
          </w:r>
        </w:p>
        <w:p w14:paraId="7F796BC5">
          <w:pPr>
            <w:pStyle w:val="11"/>
            <w:tabs>
              <w:tab w:val="right" w:pos="8879"/>
            </w:tabs>
          </w:pPr>
          <w:r>
            <w:fldChar w:fldCharType="begin"/>
          </w:r>
          <w:r>
            <w:instrText xml:space="preserve"> HYPERLINK \l _Toc18882 </w:instrText>
          </w:r>
          <w:r>
            <w:fldChar w:fldCharType="separate"/>
          </w:r>
          <w:r>
            <w:t>1. 总体方案</w:t>
          </w:r>
          <w:r>
            <w:tab/>
          </w:r>
          <w:r>
            <w:fldChar w:fldCharType="begin"/>
          </w:r>
          <w:r>
            <w:instrText xml:space="preserve"> PAGEREF _Toc18882 \h </w:instrText>
          </w:r>
          <w:r>
            <w:fldChar w:fldCharType="separate"/>
          </w:r>
          <w:r>
            <w:t>1</w:t>
          </w:r>
          <w:r>
            <w:fldChar w:fldCharType="end"/>
          </w:r>
          <w:r>
            <w:fldChar w:fldCharType="end"/>
          </w:r>
        </w:p>
        <w:p w14:paraId="1D3E796A">
          <w:pPr>
            <w:pStyle w:val="11"/>
            <w:tabs>
              <w:tab w:val="right" w:pos="8879"/>
            </w:tabs>
          </w:pPr>
          <w:r>
            <w:fldChar w:fldCharType="begin"/>
          </w:r>
          <w:r>
            <w:instrText xml:space="preserve"> HYPERLINK \l _Toc542 </w:instrText>
          </w:r>
          <w:r>
            <w:fldChar w:fldCharType="separate"/>
          </w:r>
          <w:r>
            <w:t>2. 患者安全策略</w:t>
          </w:r>
          <w:r>
            <w:tab/>
          </w:r>
          <w:r>
            <w:fldChar w:fldCharType="begin"/>
          </w:r>
          <w:r>
            <w:instrText xml:space="preserve"> PAGEREF _Toc542 \h </w:instrText>
          </w:r>
          <w:r>
            <w:fldChar w:fldCharType="separate"/>
          </w:r>
          <w:r>
            <w:t>1</w:t>
          </w:r>
          <w:r>
            <w:fldChar w:fldCharType="end"/>
          </w:r>
          <w:r>
            <w:fldChar w:fldCharType="end"/>
          </w:r>
        </w:p>
        <w:p w14:paraId="71790BC0">
          <w:pPr>
            <w:pStyle w:val="11"/>
            <w:tabs>
              <w:tab w:val="right" w:pos="8879"/>
            </w:tabs>
          </w:pPr>
          <w:r>
            <w:fldChar w:fldCharType="begin"/>
          </w:r>
          <w:r>
            <w:instrText xml:space="preserve"> HYPERLINK \l _Toc9280 </w:instrText>
          </w:r>
          <w:r>
            <w:fldChar w:fldCharType="separate"/>
          </w:r>
          <w:r>
            <w:t>3. 荧光造影剂设计</w:t>
          </w:r>
          <w:r>
            <w:tab/>
          </w:r>
          <w:r>
            <w:fldChar w:fldCharType="begin"/>
          </w:r>
          <w:r>
            <w:instrText xml:space="preserve"> PAGEREF _Toc9280 \h </w:instrText>
          </w:r>
          <w:r>
            <w:fldChar w:fldCharType="separate"/>
          </w:r>
          <w:r>
            <w:t>2</w:t>
          </w:r>
          <w:r>
            <w:fldChar w:fldCharType="end"/>
          </w:r>
          <w:r>
            <w:fldChar w:fldCharType="end"/>
          </w:r>
        </w:p>
        <w:p w14:paraId="338F901B">
          <w:pPr>
            <w:pStyle w:val="13"/>
            <w:tabs>
              <w:tab w:val="right" w:pos="8879"/>
            </w:tabs>
          </w:pPr>
          <w:r>
            <w:fldChar w:fldCharType="begin"/>
          </w:r>
          <w:r>
            <w:instrText xml:space="preserve"> HYPERLINK \l _Toc8038 </w:instrText>
          </w:r>
          <w:r>
            <w:fldChar w:fldCharType="separate"/>
          </w:r>
          <w:r>
            <w:t>3.1 基线与候选</w:t>
          </w:r>
          <w:r>
            <w:tab/>
          </w:r>
          <w:r>
            <w:fldChar w:fldCharType="begin"/>
          </w:r>
          <w:r>
            <w:instrText xml:space="preserve"> PAGEREF _Toc8038 \h </w:instrText>
          </w:r>
          <w:r>
            <w:fldChar w:fldCharType="separate"/>
          </w:r>
          <w:r>
            <w:t>2</w:t>
          </w:r>
          <w:r>
            <w:fldChar w:fldCharType="end"/>
          </w:r>
          <w:r>
            <w:fldChar w:fldCharType="end"/>
          </w:r>
        </w:p>
        <w:p w14:paraId="18EEC8F9">
          <w:pPr>
            <w:pStyle w:val="13"/>
            <w:tabs>
              <w:tab w:val="right" w:pos="8879"/>
            </w:tabs>
          </w:pPr>
          <w:r>
            <w:fldChar w:fldCharType="begin"/>
          </w:r>
          <w:r>
            <w:instrText xml:space="preserve"> HYPERLINK \l _Toc32709 </w:instrText>
          </w:r>
          <w:r>
            <w:fldChar w:fldCharType="separate"/>
          </w:r>
          <w:r>
            <w:t>3.2 四环素与骨自体荧光</w:t>
          </w:r>
          <w:r>
            <w:tab/>
          </w:r>
          <w:r>
            <w:fldChar w:fldCharType="begin"/>
          </w:r>
          <w:r>
            <w:instrText xml:space="preserve"> PAGEREF _Toc32709 \h </w:instrText>
          </w:r>
          <w:r>
            <w:fldChar w:fldCharType="separate"/>
          </w:r>
          <w:r>
            <w:t>2</w:t>
          </w:r>
          <w:r>
            <w:fldChar w:fldCharType="end"/>
          </w:r>
          <w:r>
            <w:fldChar w:fldCharType="end"/>
          </w:r>
        </w:p>
        <w:p w14:paraId="47F2F2CD">
          <w:pPr>
            <w:pStyle w:val="13"/>
            <w:tabs>
              <w:tab w:val="right" w:pos="8879"/>
            </w:tabs>
          </w:pPr>
          <w:r>
            <w:fldChar w:fldCharType="begin"/>
          </w:r>
          <w:r>
            <w:instrText xml:space="preserve"> HYPERLINK \l _Toc17897 </w:instrText>
          </w:r>
          <w:r>
            <w:fldChar w:fldCharType="separate"/>
          </w:r>
          <w:r>
            <w:t>3.3 Evans blue</w:t>
          </w:r>
          <w:r>
            <w:tab/>
          </w:r>
          <w:r>
            <w:fldChar w:fldCharType="begin"/>
          </w:r>
          <w:r>
            <w:instrText xml:space="preserve"> PAGEREF _Toc17897 \h </w:instrText>
          </w:r>
          <w:r>
            <w:fldChar w:fldCharType="separate"/>
          </w:r>
          <w:r>
            <w:t>3</w:t>
          </w:r>
          <w:r>
            <w:fldChar w:fldCharType="end"/>
          </w:r>
          <w:r>
            <w:fldChar w:fldCharType="end"/>
          </w:r>
        </w:p>
        <w:p w14:paraId="7759002C">
          <w:pPr>
            <w:pStyle w:val="13"/>
            <w:tabs>
              <w:tab w:val="right" w:pos="8879"/>
            </w:tabs>
          </w:pPr>
          <w:r>
            <w:fldChar w:fldCharType="begin"/>
          </w:r>
          <w:r>
            <w:instrText xml:space="preserve"> HYPERLINK \l _Toc26534 </w:instrText>
          </w:r>
          <w:r>
            <w:fldChar w:fldCharType="separate"/>
          </w:r>
          <w:r>
            <w:t>3.4 分级实验矩阵</w:t>
          </w:r>
          <w:r>
            <w:tab/>
          </w:r>
          <w:r>
            <w:fldChar w:fldCharType="begin"/>
          </w:r>
          <w:r>
            <w:instrText xml:space="preserve"> PAGEREF _Toc26534 \h </w:instrText>
          </w:r>
          <w:r>
            <w:fldChar w:fldCharType="separate"/>
          </w:r>
          <w:r>
            <w:t>3</w:t>
          </w:r>
          <w:r>
            <w:fldChar w:fldCharType="end"/>
          </w:r>
          <w:r>
            <w:fldChar w:fldCharType="end"/>
          </w:r>
        </w:p>
        <w:p w14:paraId="466136DE">
          <w:pPr>
            <w:pStyle w:val="11"/>
            <w:tabs>
              <w:tab w:val="right" w:pos="8879"/>
            </w:tabs>
          </w:pPr>
          <w:r>
            <w:fldChar w:fldCharType="begin"/>
          </w:r>
          <w:r>
            <w:instrText xml:space="preserve"> HYPERLINK \l _Toc26655 </w:instrText>
          </w:r>
          <w:r>
            <w:fldChar w:fldCharType="separate"/>
          </w:r>
          <w:r>
            <w:t>4. 多模态图像融合与处理</w:t>
          </w:r>
          <w:r>
            <w:tab/>
          </w:r>
          <w:r>
            <w:fldChar w:fldCharType="begin"/>
          </w:r>
          <w:r>
            <w:instrText xml:space="preserve"> PAGEREF _Toc26655 \h </w:instrText>
          </w:r>
          <w:r>
            <w:fldChar w:fldCharType="separate"/>
          </w:r>
          <w:r>
            <w:t>4</w:t>
          </w:r>
          <w:r>
            <w:fldChar w:fldCharType="end"/>
          </w:r>
          <w:r>
            <w:fldChar w:fldCharType="end"/>
          </w:r>
        </w:p>
        <w:p w14:paraId="326FAC30">
          <w:pPr>
            <w:pStyle w:val="13"/>
            <w:tabs>
              <w:tab w:val="right" w:pos="8879"/>
            </w:tabs>
          </w:pPr>
          <w:r>
            <w:fldChar w:fldCharType="begin"/>
          </w:r>
          <w:r>
            <w:instrText xml:space="preserve"> HYPERLINK \l _Toc12055 </w:instrText>
          </w:r>
          <w:r>
            <w:fldChar w:fldCharType="separate"/>
          </w:r>
          <w:r>
            <w:t>4.1 输入模式</w:t>
          </w:r>
          <w:r>
            <w:tab/>
          </w:r>
          <w:r>
            <w:fldChar w:fldCharType="begin"/>
          </w:r>
          <w:r>
            <w:instrText xml:space="preserve"> PAGEREF _Toc12055 \h </w:instrText>
          </w:r>
          <w:r>
            <w:fldChar w:fldCharType="separate"/>
          </w:r>
          <w:r>
            <w:t>4</w:t>
          </w:r>
          <w:r>
            <w:fldChar w:fldCharType="end"/>
          </w:r>
          <w:r>
            <w:fldChar w:fldCharType="end"/>
          </w:r>
        </w:p>
        <w:p w14:paraId="69675CED">
          <w:pPr>
            <w:pStyle w:val="13"/>
            <w:tabs>
              <w:tab w:val="right" w:pos="8879"/>
            </w:tabs>
          </w:pPr>
          <w:r>
            <w:fldChar w:fldCharType="begin"/>
          </w:r>
          <w:r>
            <w:instrText xml:space="preserve"> HYPERLINK \l _Toc21691 </w:instrText>
          </w:r>
          <w:r>
            <w:fldChar w:fldCharType="separate"/>
          </w:r>
          <w:r>
            <w:t>4.2 处理链</w:t>
          </w:r>
          <w:r>
            <w:tab/>
          </w:r>
          <w:r>
            <w:fldChar w:fldCharType="begin"/>
          </w:r>
          <w:r>
            <w:instrText xml:space="preserve"> PAGEREF _Toc21691 \h </w:instrText>
          </w:r>
          <w:r>
            <w:fldChar w:fldCharType="separate"/>
          </w:r>
          <w:r>
            <w:t>4</w:t>
          </w:r>
          <w:r>
            <w:fldChar w:fldCharType="end"/>
          </w:r>
          <w:r>
            <w:fldChar w:fldCharType="end"/>
          </w:r>
        </w:p>
        <w:p w14:paraId="437E377F">
          <w:pPr>
            <w:pStyle w:val="11"/>
            <w:tabs>
              <w:tab w:val="right" w:pos="8879"/>
            </w:tabs>
          </w:pPr>
          <w:r>
            <w:fldChar w:fldCharType="begin"/>
          </w:r>
          <w:r>
            <w:instrText xml:space="preserve"> HYPERLINK \l _Toc14615 </w:instrText>
          </w:r>
          <w:r>
            <w:fldChar w:fldCharType="separate"/>
          </w:r>
          <w:r>
            <w:t>5. AI 辅助判读</w:t>
          </w:r>
          <w:r>
            <w:tab/>
          </w:r>
          <w:r>
            <w:fldChar w:fldCharType="begin"/>
          </w:r>
          <w:r>
            <w:instrText xml:space="preserve"> PAGEREF _Toc14615 \h </w:instrText>
          </w:r>
          <w:r>
            <w:fldChar w:fldCharType="separate"/>
          </w:r>
          <w:r>
            <w:t>5</w:t>
          </w:r>
          <w:r>
            <w:fldChar w:fldCharType="end"/>
          </w:r>
          <w:r>
            <w:fldChar w:fldCharType="end"/>
          </w:r>
        </w:p>
        <w:p w14:paraId="652D9337">
          <w:pPr>
            <w:pStyle w:val="13"/>
            <w:tabs>
              <w:tab w:val="right" w:pos="8879"/>
            </w:tabs>
          </w:pPr>
          <w:r>
            <w:fldChar w:fldCharType="begin"/>
          </w:r>
          <w:r>
            <w:instrText xml:space="preserve"> HYPERLINK \l _Toc32084 </w:instrText>
          </w:r>
          <w:r>
            <w:fldChar w:fldCharType="separate"/>
          </w:r>
          <w:r>
            <w:t>5.1 当前主线</w:t>
          </w:r>
          <w:r>
            <w:tab/>
          </w:r>
          <w:r>
            <w:fldChar w:fldCharType="begin"/>
          </w:r>
          <w:r>
            <w:instrText xml:space="preserve"> PAGEREF _Toc32084 \h </w:instrText>
          </w:r>
          <w:r>
            <w:fldChar w:fldCharType="separate"/>
          </w:r>
          <w:r>
            <w:t>5</w:t>
          </w:r>
          <w:r>
            <w:fldChar w:fldCharType="end"/>
          </w:r>
          <w:r>
            <w:fldChar w:fldCharType="end"/>
          </w:r>
        </w:p>
        <w:p w14:paraId="18DB4308">
          <w:pPr>
            <w:pStyle w:val="13"/>
            <w:tabs>
              <w:tab w:val="right" w:pos="8879"/>
            </w:tabs>
          </w:pPr>
          <w:r>
            <w:fldChar w:fldCharType="begin"/>
          </w:r>
          <w:r>
            <w:instrText xml:space="preserve"> HYPERLINK \l _Toc18718 </w:instrText>
          </w:r>
          <w:r>
            <w:fldChar w:fldCharType="separate"/>
          </w:r>
          <w:r>
            <w:t>5.2 空间输出</w:t>
          </w:r>
          <w:r>
            <w:tab/>
          </w:r>
          <w:r>
            <w:fldChar w:fldCharType="begin"/>
          </w:r>
          <w:r>
            <w:instrText xml:space="preserve"> PAGEREF _Toc18718 \h </w:instrText>
          </w:r>
          <w:r>
            <w:fldChar w:fldCharType="separate"/>
          </w:r>
          <w:r>
            <w:t>5</w:t>
          </w:r>
          <w:r>
            <w:fldChar w:fldCharType="end"/>
          </w:r>
          <w:r>
            <w:fldChar w:fldCharType="end"/>
          </w:r>
        </w:p>
        <w:p w14:paraId="35913590">
          <w:pPr>
            <w:pStyle w:val="13"/>
            <w:tabs>
              <w:tab w:val="right" w:pos="8879"/>
            </w:tabs>
          </w:pPr>
          <w:r>
            <w:fldChar w:fldCharType="begin"/>
          </w:r>
          <w:r>
            <w:instrText xml:space="preserve"> HYPERLINK \l _Toc5875 </w:instrText>
          </w:r>
          <w:r>
            <w:fldChar w:fldCharType="separate"/>
          </w:r>
          <w:r>
            <w:t>5.3 患者条件分割</w:t>
          </w:r>
          <w:r>
            <w:tab/>
          </w:r>
          <w:r>
            <w:fldChar w:fldCharType="begin"/>
          </w:r>
          <w:r>
            <w:instrText xml:space="preserve"> PAGEREF _Toc5875 \h </w:instrText>
          </w:r>
          <w:r>
            <w:fldChar w:fldCharType="separate"/>
          </w:r>
          <w:r>
            <w:t>5</w:t>
          </w:r>
          <w:r>
            <w:fldChar w:fldCharType="end"/>
          </w:r>
          <w:r>
            <w:fldChar w:fldCharType="end"/>
          </w:r>
        </w:p>
        <w:p w14:paraId="4630F297">
          <w:pPr>
            <w:pStyle w:val="13"/>
            <w:tabs>
              <w:tab w:val="right" w:pos="8879"/>
            </w:tabs>
          </w:pPr>
          <w:r>
            <w:fldChar w:fldCharType="begin"/>
          </w:r>
          <w:r>
            <w:instrText xml:space="preserve"> HYPERLINK \l _Toc27081 </w:instrText>
          </w:r>
          <w:r>
            <w:fldChar w:fldCharType="separate"/>
          </w:r>
          <w:r>
            <w:t>5.4 医生回灌</w:t>
          </w:r>
          <w:r>
            <w:tab/>
          </w:r>
          <w:r>
            <w:fldChar w:fldCharType="begin"/>
          </w:r>
          <w:r>
            <w:instrText xml:space="preserve"> PAGEREF _Toc27081 \h </w:instrText>
          </w:r>
          <w:r>
            <w:fldChar w:fldCharType="separate"/>
          </w:r>
          <w:r>
            <w:t>6</w:t>
          </w:r>
          <w:r>
            <w:fldChar w:fldCharType="end"/>
          </w:r>
          <w:r>
            <w:fldChar w:fldCharType="end"/>
          </w:r>
        </w:p>
        <w:p w14:paraId="590D62F7">
          <w:pPr>
            <w:pStyle w:val="11"/>
            <w:tabs>
              <w:tab w:val="right" w:pos="8879"/>
            </w:tabs>
          </w:pPr>
          <w:r>
            <w:fldChar w:fldCharType="begin"/>
          </w:r>
          <w:r>
            <w:instrText xml:space="preserve"> HYPERLINK \l _Toc3190 </w:instrText>
          </w:r>
          <w:r>
            <w:fldChar w:fldCharType="separate"/>
          </w:r>
          <w:r>
            <w:t>6. 三维配准与导航验证</w:t>
          </w:r>
          <w:r>
            <w:tab/>
          </w:r>
          <w:r>
            <w:fldChar w:fldCharType="begin"/>
          </w:r>
          <w:r>
            <w:instrText xml:space="preserve"> PAGEREF _Toc3190 \h </w:instrText>
          </w:r>
          <w:r>
            <w:fldChar w:fldCharType="separate"/>
          </w:r>
          <w:r>
            <w:t>6</w:t>
          </w:r>
          <w:r>
            <w:fldChar w:fldCharType="end"/>
          </w:r>
          <w:r>
            <w:fldChar w:fldCharType="end"/>
          </w:r>
        </w:p>
        <w:p w14:paraId="1DF4AD77">
          <w:pPr>
            <w:pStyle w:val="11"/>
            <w:tabs>
              <w:tab w:val="right" w:pos="8879"/>
            </w:tabs>
          </w:pPr>
          <w:r>
            <w:fldChar w:fldCharType="begin"/>
          </w:r>
          <w:r>
            <w:instrText xml:space="preserve"> HYPERLINK \l _Toc8791 </w:instrText>
          </w:r>
          <w:r>
            <w:fldChar w:fldCharType="separate"/>
          </w:r>
          <w:r>
            <w:t>7. 数据与验证现状</w:t>
          </w:r>
          <w:r>
            <w:tab/>
          </w:r>
          <w:r>
            <w:fldChar w:fldCharType="begin"/>
          </w:r>
          <w:r>
            <w:instrText xml:space="preserve"> PAGEREF _Toc8791 \h </w:instrText>
          </w:r>
          <w:r>
            <w:fldChar w:fldCharType="separate"/>
          </w:r>
          <w:r>
            <w:t>7</w:t>
          </w:r>
          <w:r>
            <w:fldChar w:fldCharType="end"/>
          </w:r>
          <w:r>
            <w:fldChar w:fldCharType="end"/>
          </w:r>
        </w:p>
        <w:p w14:paraId="34EE8CC6">
          <w:pPr>
            <w:pStyle w:val="11"/>
            <w:tabs>
              <w:tab w:val="right" w:pos="8879"/>
            </w:tabs>
          </w:pPr>
          <w:r>
            <w:fldChar w:fldCharType="begin"/>
          </w:r>
          <w:r>
            <w:instrText xml:space="preserve"> HYPERLINK \l _Toc14505 </w:instrText>
          </w:r>
          <w:r>
            <w:fldChar w:fldCharType="separate"/>
          </w:r>
          <w:r>
            <w:t>8. 创新点</w:t>
          </w:r>
          <w:r>
            <w:tab/>
          </w:r>
          <w:r>
            <w:fldChar w:fldCharType="begin"/>
          </w:r>
          <w:r>
            <w:instrText xml:space="preserve"> PAGEREF _Toc14505 \h </w:instrText>
          </w:r>
          <w:r>
            <w:fldChar w:fldCharType="separate"/>
          </w:r>
          <w:r>
            <w:t>7</w:t>
          </w:r>
          <w:r>
            <w:fldChar w:fldCharType="end"/>
          </w:r>
          <w:r>
            <w:fldChar w:fldCharType="end"/>
          </w:r>
        </w:p>
        <w:p w14:paraId="6F4CAB66">
          <w:pPr>
            <w:pStyle w:val="11"/>
            <w:tabs>
              <w:tab w:val="right" w:pos="8879"/>
            </w:tabs>
          </w:pPr>
          <w:r>
            <w:fldChar w:fldCharType="begin"/>
          </w:r>
          <w:r>
            <w:instrText xml:space="preserve"> HYPERLINK \l _Toc14528 </w:instrText>
          </w:r>
          <w:r>
            <w:fldChar w:fldCharType="separate"/>
          </w:r>
          <w:r>
            <w:t>9. 交付物</w:t>
          </w:r>
          <w:r>
            <w:tab/>
          </w:r>
          <w:r>
            <w:fldChar w:fldCharType="begin"/>
          </w:r>
          <w:r>
            <w:instrText xml:space="preserve"> PAGEREF _Toc14528 \h </w:instrText>
          </w:r>
          <w:r>
            <w:fldChar w:fldCharType="separate"/>
          </w:r>
          <w:r>
            <w:t>7</w:t>
          </w:r>
          <w:r>
            <w:fldChar w:fldCharType="end"/>
          </w:r>
          <w:r>
            <w:fldChar w:fldCharType="end"/>
          </w:r>
        </w:p>
        <w:p w14:paraId="20009B49">
          <w:pPr>
            <w:pStyle w:val="11"/>
            <w:tabs>
              <w:tab w:val="right" w:pos="8879"/>
            </w:tabs>
          </w:pPr>
          <w:r>
            <w:fldChar w:fldCharType="begin"/>
          </w:r>
          <w:r>
            <w:instrText xml:space="preserve"> HYPERLINK \l _Toc20098 </w:instrText>
          </w:r>
          <w:r>
            <w:fldChar w:fldCharType="separate"/>
          </w:r>
          <w:r>
            <w:t>10. 不可声称范围</w:t>
          </w:r>
          <w:r>
            <w:tab/>
          </w:r>
          <w:r>
            <w:fldChar w:fldCharType="begin"/>
          </w:r>
          <w:r>
            <w:instrText xml:space="preserve"> PAGEREF _Toc20098 \h </w:instrText>
          </w:r>
          <w:r>
            <w:fldChar w:fldCharType="separate"/>
          </w:r>
          <w:r>
            <w:t>8</w:t>
          </w:r>
          <w:r>
            <w:fldChar w:fldCharType="end"/>
          </w:r>
          <w:r>
            <w:fldChar w:fldCharType="end"/>
          </w:r>
        </w:p>
        <w:p w14:paraId="22090CCD">
          <w:r>
            <w:fldChar w:fldCharType="end"/>
          </w:r>
        </w:p>
      </w:sdtContent>
    </w:sdt>
    <w:p w14:paraId="555C140F">
      <w:pPr>
        <w:pBdr>
          <w:left w:val="single" w:color="0B6B68" w:sz="14" w:space="8"/>
        </w:pBdr>
        <w:shd w:val="clear" w:fill="F3F7F6"/>
        <w:spacing w:before="360" w:after="0" w:line="340" w:lineRule="auto"/>
        <w:ind w:left="240" w:right="180"/>
      </w:pPr>
      <w:r>
        <w:rPr>
          <w:color w:val="5A6870"/>
          <w:sz w:val="19"/>
          <w:szCs w:val="19"/>
        </w:rPr>
        <w:t>阅读提示：造影剂方案、代理模型指标和 L1/L2 三维结果均按研发验证边界解释；临床决策由医生完成。</w:t>
      </w:r>
    </w:p>
    <w:p w14:paraId="70D2937C">
      <w:pPr>
        <w:sectPr>
          <w:headerReference r:id="rId11" w:type="default"/>
          <w:pgSz w:w="11906" w:h="16838"/>
          <w:pgMar w:top="1360" w:right="1440" w:bottom="1300" w:left="1587" w:header="650" w:footer="650" w:gutter="0"/>
          <w:cols w:space="720" w:num="1"/>
          <w:docGrid w:linePitch="360" w:charSpace="0"/>
        </w:sectPr>
      </w:pPr>
    </w:p>
    <w:p w14:paraId="4FA5C296">
      <w:pPr>
        <w:pStyle w:val="2"/>
        <w:keepNext/>
        <w:keepLines/>
      </w:pPr>
      <w:bookmarkStart w:id="0" w:name="_Toc18882"/>
      <w:r>
        <w:t>1. 总体方案</w:t>
      </w:r>
      <w:bookmarkEnd w:id="0"/>
    </w:p>
    <w:p w14:paraId="6AFC4BDA">
      <w:pPr>
        <w:widowControl/>
        <w:spacing w:after="160" w:line="390" w:lineRule="auto"/>
        <w:jc w:val="both"/>
      </w:pPr>
      <w:r>
        <w:t>方案围绕荧光手术显微镜形成三条相互约束的技术链：</w:t>
      </w:r>
    </w:p>
    <w:p w14:paraId="26B64B26">
      <w:pPr>
        <w:pStyle w:val="20"/>
        <w:keepNext w:val="0"/>
        <w:widowControl/>
        <w:numPr>
          <w:ilvl w:val="0"/>
          <w:numId w:val="1"/>
        </w:numPr>
        <w:spacing w:after="90" w:line="360" w:lineRule="auto"/>
        <w:jc w:val="both"/>
      </w:pPr>
      <w:r>
        <w:t>新型荧光造影剂的机理设计、光谱适配和分级验证。</w:t>
      </w:r>
    </w:p>
    <w:p w14:paraId="3A203F5D">
      <w:pPr>
        <w:pStyle w:val="20"/>
        <w:keepNext w:val="0"/>
        <w:widowControl/>
        <w:numPr>
          <w:ilvl w:val="0"/>
          <w:numId w:val="1"/>
        </w:numPr>
        <w:spacing w:after="90" w:line="360" w:lineRule="auto"/>
        <w:jc w:val="both"/>
      </w:pPr>
      <w:r>
        <w:t>白光、荧光、设备叠加图与 MP4 视频的配准、融合、增强、定量和质量控制。</w:t>
      </w:r>
    </w:p>
    <w:p w14:paraId="0B322A2E">
      <w:pPr>
        <w:pStyle w:val="20"/>
        <w:keepNext w:val="0"/>
        <w:widowControl/>
        <w:numPr>
          <w:ilvl w:val="0"/>
          <w:numId w:val="1"/>
        </w:numPr>
        <w:spacing w:after="90" w:line="360" w:lineRule="auto"/>
        <w:jc w:val="both"/>
      </w:pPr>
      <w:r>
        <w:t>AI 候选区、边界风险、不确定性、骨活性分层、患者条件证据和医生复核。</w:t>
      </w:r>
    </w:p>
    <w:p w14:paraId="7F54C5FB">
      <w:pPr>
        <w:widowControl/>
        <w:spacing w:after="160" w:line="390" w:lineRule="auto"/>
        <w:jc w:val="both"/>
      </w:pPr>
      <w:r>
        <w:t xml:space="preserve">平台严格支持官方 </w:t>
      </w:r>
      <w:r>
        <w:rPr>
          <w:rFonts w:ascii="Consolas" w:hAnsi="Consolas" w:eastAsia="微软雅黑" w:cs="Consolas"/>
          <w:color w:val="294850"/>
          <w:sz w:val="19"/>
          <w:szCs w:val="19"/>
          <w:shd w:val="clear" w:fill="EEF3F4"/>
        </w:rPr>
        <w:t>3840x2160</w:t>
      </w:r>
      <w:r>
        <w:t xml:space="preserve"> JPEG 与 MP4 文件输入。设备驱动、SDK 和采集接口由设备方负责；倍率、工作距离、标定和位姿可通过文件元数据、人工录入或离线 manifest 进入软件。</w:t>
      </w:r>
    </w:p>
    <w:p w14:paraId="7287CF6F">
      <w:pPr>
        <w:widowControl/>
        <w:spacing w:after="160" w:line="390" w:lineRule="auto"/>
        <w:jc w:val="both"/>
      </w:pPr>
      <w:r>
        <w:t>所有输出属于术中参考信号与研发验证证据。医生保留最终判断，平台不提供自动确诊、切除成功率或已验证术中导航结论。</w:t>
      </w:r>
    </w:p>
    <w:p w14:paraId="2D0B1482">
      <w:pPr>
        <w:pStyle w:val="2"/>
        <w:keepNext/>
        <w:keepLines/>
      </w:pPr>
      <w:bookmarkStart w:id="1" w:name="_Toc542"/>
      <w:r>
        <w:t>2. 患者安全策略</w:t>
      </w:r>
      <w:bookmarkEnd w:id="1"/>
    </w:p>
    <w:p w14:paraId="656E2B5F">
      <w:pPr>
        <w:pStyle w:val="20"/>
        <w:keepNext w:val="0"/>
        <w:widowControl/>
        <w:numPr>
          <w:ilvl w:val="0"/>
          <w:numId w:val="2"/>
        </w:numPr>
        <w:spacing w:after="90" w:line="360" w:lineRule="auto"/>
        <w:jc w:val="both"/>
      </w:pPr>
      <w:r>
        <w:t>原始影像结果始终保留，患者条件模型只能生成受限差异证据。</w:t>
      </w:r>
    </w:p>
    <w:p w14:paraId="4A58FC55">
      <w:pPr>
        <w:pStyle w:val="20"/>
        <w:keepNext w:val="0"/>
        <w:widowControl/>
        <w:numPr>
          <w:ilvl w:val="0"/>
          <w:numId w:val="2"/>
        </w:numPr>
        <w:spacing w:after="90" w:line="360" w:lineRule="auto"/>
        <w:jc w:val="both"/>
      </w:pPr>
      <w:r>
        <w:t>患者条件模型需通过目标域 no-harm、校准、边界位移、亚组和独立复核门后才能申请空间替换。</w:t>
      </w:r>
    </w:p>
    <w:p w14:paraId="6D83C2C5">
      <w:pPr>
        <w:pStyle w:val="20"/>
        <w:keepNext w:val="0"/>
        <w:widowControl/>
        <w:numPr>
          <w:ilvl w:val="0"/>
          <w:numId w:val="2"/>
        </w:numPr>
        <w:spacing w:after="90" w:line="360" w:lineRule="auto"/>
        <w:jc w:val="both"/>
      </w:pPr>
      <w:r>
        <w:t>骨活性空间候选只允许在医生复核骨面内生成。</w:t>
      </w:r>
    </w:p>
    <w:p w14:paraId="0B0096DF">
      <w:pPr>
        <w:pStyle w:val="20"/>
        <w:keepNext w:val="0"/>
        <w:widowControl/>
        <w:numPr>
          <w:ilvl w:val="0"/>
          <w:numId w:val="2"/>
        </w:numPr>
        <w:spacing w:after="90" w:line="360" w:lineRule="auto"/>
        <w:jc w:val="both"/>
      </w:pPr>
      <w:r>
        <w:t>低活性、过渡区、高活性和无法判断区均为复核标签，缺少真值时保持关闭。</w:t>
      </w:r>
    </w:p>
    <w:p w14:paraId="336381F2">
      <w:pPr>
        <w:pStyle w:val="20"/>
        <w:keepNext w:val="0"/>
        <w:widowControl/>
        <w:numPr>
          <w:ilvl w:val="0"/>
          <w:numId w:val="2"/>
        </w:numPr>
        <w:spacing w:after="90" w:line="360" w:lineRule="auto"/>
        <w:jc w:val="both"/>
      </w:pPr>
      <w:r>
        <w:t>三维任务核验来源、单位、坐标 frame、手性、轴方向、标定、同步、TRE、漂移和复核。</w:t>
      </w:r>
    </w:p>
    <w:p w14:paraId="675FE2BB">
      <w:pPr>
        <w:pStyle w:val="20"/>
        <w:keepNext w:val="0"/>
        <w:widowControl/>
        <w:numPr>
          <w:ilvl w:val="0"/>
          <w:numId w:val="2"/>
        </w:numPr>
        <w:spacing w:after="90" w:line="360" w:lineRule="auto"/>
        <w:jc w:val="both"/>
      </w:pPr>
      <w:r>
        <w:t xml:space="preserve">任一导航门失败时降级为 </w:t>
      </w:r>
      <w:r>
        <w:rPr>
          <w:rFonts w:ascii="Consolas" w:hAnsi="Consolas" w:eastAsia="微软雅黑" w:cs="Consolas"/>
          <w:color w:val="294850"/>
          <w:sz w:val="19"/>
          <w:szCs w:val="19"/>
          <w:shd w:val="clear" w:fill="EEF3F4"/>
        </w:rPr>
        <w:t>L0/unregistered_3d_reference</w:t>
      </w:r>
      <w:r>
        <w:t>。</w:t>
      </w:r>
    </w:p>
    <w:p w14:paraId="4E1F3CDA">
      <w:pPr>
        <w:pStyle w:val="20"/>
        <w:keepNext w:val="0"/>
        <w:widowControl/>
        <w:numPr>
          <w:ilvl w:val="0"/>
          <w:numId w:val="2"/>
        </w:numPr>
        <w:spacing w:after="90" w:line="360" w:lineRule="auto"/>
        <w:jc w:val="both"/>
      </w:pPr>
      <w:r>
        <w:t>医院文件先执行授权、脱敏、签名、解码、SHA256、重复和通道关系准入。</w:t>
      </w:r>
    </w:p>
    <w:p w14:paraId="7AA4030F">
      <w:pPr>
        <w:pStyle w:val="20"/>
        <w:keepNext w:val="0"/>
        <w:widowControl/>
        <w:numPr>
          <w:ilvl w:val="0"/>
          <w:numId w:val="2"/>
        </w:numPr>
        <w:spacing w:after="90" w:line="360" w:lineRule="auto"/>
        <w:jc w:val="both"/>
      </w:pPr>
      <w:r>
        <w:t>所有病例证据保留模型、配置、阈值、输入、时间、身份和复核状态。</w:t>
      </w:r>
    </w:p>
    <w:p w14:paraId="6631C3CB">
      <w:pPr>
        <w:pStyle w:val="2"/>
        <w:keepNext/>
        <w:keepLines/>
      </w:pPr>
      <w:bookmarkStart w:id="2" w:name="_Toc9280"/>
      <w:r>
        <w:t>3. 荧光造影剂设计</w:t>
      </w:r>
      <w:bookmarkEnd w:id="2"/>
    </w:p>
    <w:p w14:paraId="3A5DD556">
      <w:pPr>
        <w:pStyle w:val="3"/>
        <w:keepNext/>
        <w:keepLines/>
      </w:pPr>
      <w:bookmarkStart w:id="3" w:name="_Toc8038"/>
      <w:r>
        <w:t>3.1 基线与候选</w:t>
      </w:r>
      <w:bookmarkEnd w:id="3"/>
    </w:p>
    <w:p w14:paraId="595BAB0B">
      <w:pPr>
        <w:widowControl/>
        <w:spacing w:after="160" w:line="390" w:lineRule="auto"/>
        <w:jc w:val="both"/>
      </w:pPr>
      <w:r>
        <w:t>ICG 作为设备适配和灌注基线。其信号受灌注、通透性、炎症、出血、曝光、工作距离和时间影响，缺少颌骨骨髓炎特异性。</w:t>
      </w:r>
    </w:p>
    <w:p w14:paraId="3EA1F479">
      <w:pPr>
        <w:widowControl/>
        <w:spacing w:after="160" w:line="390" w:lineRule="auto"/>
        <w:jc w:val="both"/>
      </w:pPr>
      <w:r>
        <w:t>新型探针候选采用模块化思路：</w:t>
      </w:r>
    </w:p>
    <w:p w14:paraId="23985276">
      <w:pPr>
        <w:pStyle w:val="20"/>
        <w:keepNext w:val="0"/>
        <w:widowControl/>
        <w:numPr>
          <w:ilvl w:val="0"/>
          <w:numId w:val="3"/>
        </w:numPr>
        <w:spacing w:after="90" w:line="360" w:lineRule="auto"/>
        <w:jc w:val="both"/>
      </w:pPr>
      <w:r>
        <w:t>骨亲和端：双膦酸或膦酸基团，面向羟基磷灰石结合。</w:t>
      </w:r>
    </w:p>
    <w:p w14:paraId="2A4A4411">
      <w:pPr>
        <w:pStyle w:val="20"/>
        <w:keepNext w:val="0"/>
        <w:widowControl/>
        <w:numPr>
          <w:ilvl w:val="0"/>
          <w:numId w:val="3"/>
        </w:numPr>
        <w:spacing w:after="90" w:line="360" w:lineRule="auto"/>
        <w:jc w:val="both"/>
      </w:pPr>
      <w:r>
        <w:t>感染识别端：以革兰阳性菌细胞壁/生物膜结合分子为起点，同时设置革兰阴性菌、厌氧菌和无菌坏死对照。</w:t>
      </w:r>
    </w:p>
    <w:p w14:paraId="217AFC8C">
      <w:pPr>
        <w:pStyle w:val="20"/>
        <w:keepNext w:val="0"/>
        <w:widowControl/>
        <w:numPr>
          <w:ilvl w:val="0"/>
          <w:numId w:val="3"/>
        </w:numPr>
        <w:spacing w:after="90" w:line="360" w:lineRule="auto"/>
        <w:jc w:val="both"/>
      </w:pPr>
      <w:r>
        <w:t>近红外发光端：选择可向设备约 750-810 nm 激发与约 830 nm 检测窗口适配的染料。</w:t>
      </w:r>
    </w:p>
    <w:p w14:paraId="66B2BFCB">
      <w:pPr>
        <w:pStyle w:val="20"/>
        <w:keepNext w:val="0"/>
        <w:widowControl/>
        <w:numPr>
          <w:ilvl w:val="0"/>
          <w:numId w:val="3"/>
        </w:numPr>
        <w:spacing w:after="90" w:line="360" w:lineRule="auto"/>
        <w:jc w:val="both"/>
      </w:pPr>
      <w:r>
        <w:t>连接臂：控制亲水性、空间位阻、药代和非特异吸附。</w:t>
      </w:r>
    </w:p>
    <w:p w14:paraId="0AC69B44">
      <w:pPr>
        <w:widowControl/>
        <w:spacing w:after="160" w:line="390" w:lineRule="auto"/>
        <w:jc w:val="both"/>
      </w:pPr>
      <w:r>
        <w:t>候选结构当前停留在文献支持和实验设计阶段。人体使用需要完成结构确认、纯度、光谱、稳定性、结合、细胞、组织、药代、毒理、伦理与监管验证。</w:t>
      </w:r>
    </w:p>
    <w:p w14:paraId="69706BCE">
      <w:pPr>
        <w:pStyle w:val="3"/>
        <w:keepNext/>
        <w:keepLines/>
      </w:pPr>
      <w:bookmarkStart w:id="4" w:name="_Toc32709"/>
      <w:r>
        <w:t>3.2 四环素与骨自体荧光</w:t>
      </w:r>
      <w:bookmarkEnd w:id="4"/>
    </w:p>
    <w:p w14:paraId="68B36817">
      <w:pPr>
        <w:widowControl/>
        <w:spacing w:after="160" w:line="390" w:lineRule="auto"/>
        <w:jc w:val="both"/>
      </w:pPr>
      <w:r>
        <w:t>四环素类具有钙结合和骨沉积机制。既有颌骨坏死研究提示活骨可表现较强绿色荧光，坏死骨可表现弱荧光或无荧光。其典型紫蓝光激发和约 500-560 nm 发射与当前 ICG 光路存在波段差异。</w:t>
      </w:r>
    </w:p>
    <w:p w14:paraId="0975A90A">
      <w:pPr>
        <w:widowControl/>
        <w:spacing w:after="160" w:line="390" w:lineRule="auto"/>
        <w:jc w:val="both"/>
      </w:pPr>
      <w:r>
        <w:t>比赛阶段将其用于：</w:t>
      </w:r>
    </w:p>
    <w:p w14:paraId="328EFBCE">
      <w:pPr>
        <w:pStyle w:val="20"/>
        <w:keepNext w:val="0"/>
        <w:widowControl/>
        <w:numPr>
          <w:ilvl w:val="0"/>
          <w:numId w:val="4"/>
        </w:numPr>
        <w:spacing w:after="90" w:line="360" w:lineRule="auto"/>
        <w:jc w:val="both"/>
      </w:pPr>
      <w:r>
        <w:t>骨活性与坏死边界机理基准。</w:t>
      </w:r>
    </w:p>
    <w:p w14:paraId="4ADAE018">
      <w:pPr>
        <w:pStyle w:val="20"/>
        <w:keepNext w:val="0"/>
        <w:widowControl/>
        <w:numPr>
          <w:ilvl w:val="0"/>
          <w:numId w:val="4"/>
        </w:numPr>
        <w:spacing w:after="90" w:line="360" w:lineRule="auto"/>
        <w:jc w:val="both"/>
      </w:pPr>
      <w:r>
        <w:t>骨自体荧光和四环素荧光的离体、仿体或前临床对照设计。</w:t>
      </w:r>
    </w:p>
    <w:p w14:paraId="19E665B8">
      <w:pPr>
        <w:pStyle w:val="20"/>
        <w:keepNext w:val="0"/>
        <w:widowControl/>
        <w:numPr>
          <w:ilvl w:val="0"/>
          <w:numId w:val="4"/>
        </w:numPr>
        <w:spacing w:after="90" w:line="360" w:lineRule="auto"/>
        <w:jc w:val="both"/>
      </w:pPr>
      <w:r>
        <w:t>未来多光谱显微镜扩展的需求定义。</w:t>
      </w:r>
    </w:p>
    <w:p w14:paraId="1319F089">
      <w:pPr>
        <w:pStyle w:val="20"/>
        <w:keepNext w:val="0"/>
        <w:widowControl/>
        <w:numPr>
          <w:ilvl w:val="0"/>
          <w:numId w:val="4"/>
        </w:numPr>
        <w:spacing w:after="90" w:line="360" w:lineRule="auto"/>
        <w:jc w:val="both"/>
      </w:pPr>
      <w:r>
        <w:t>新型骨亲和探针的设计参照。</w:t>
      </w:r>
    </w:p>
    <w:p w14:paraId="70946EB9">
      <w:pPr>
        <w:widowControl/>
        <w:spacing w:after="160" w:line="390" w:lineRule="auto"/>
        <w:jc w:val="both"/>
      </w:pPr>
      <w:r>
        <w:t>比赛阶段不开展患者研究性给药。涉及用药时需单独评估过敏、妊娠/哺乳、肝肾功能、相互作用、光毒性和伦理条件。</w:t>
      </w:r>
    </w:p>
    <w:p w14:paraId="624AACB1">
      <w:pPr>
        <w:pStyle w:val="3"/>
        <w:keepNext/>
        <w:keepLines/>
      </w:pPr>
      <w:bookmarkStart w:id="5" w:name="_Toc17897"/>
      <w:r>
        <w:t>3.3 Evans blue</w:t>
      </w:r>
      <w:bookmarkEnd w:id="5"/>
    </w:p>
    <w:p w14:paraId="56508E0B">
      <w:pPr>
        <w:widowControl/>
        <w:spacing w:after="160" w:line="390" w:lineRule="auto"/>
        <w:jc w:val="both"/>
      </w:pPr>
      <w:r>
        <w:t>Evans blue 的已知价值集中在白蛋白结合、血管通透性、蛋白渗漏和淋巴示踪。当前证据不足以支持颌骨死骨选择性、现成临床可得性或直接患者使用。</w:t>
      </w:r>
    </w:p>
    <w:p w14:paraId="2E6856E1">
      <w:pPr>
        <w:widowControl/>
        <w:spacing w:after="160" w:line="390" w:lineRule="auto"/>
        <w:jc w:val="both"/>
      </w:pPr>
      <w:r>
        <w:t>本方案只保留两类用途：</w:t>
      </w:r>
    </w:p>
    <w:p w14:paraId="20B30D9C">
      <w:pPr>
        <w:pStyle w:val="20"/>
        <w:keepNext w:val="0"/>
        <w:widowControl/>
        <w:numPr>
          <w:ilvl w:val="0"/>
          <w:numId w:val="5"/>
        </w:numPr>
        <w:spacing w:after="90" w:line="360" w:lineRule="auto"/>
        <w:jc w:val="both"/>
      </w:pPr>
      <w:r>
        <w:t>白蛋白结合和通透性探针设计启发。</w:t>
      </w:r>
    </w:p>
    <w:p w14:paraId="171FC122">
      <w:pPr>
        <w:pStyle w:val="20"/>
        <w:keepNext w:val="0"/>
        <w:widowControl/>
        <w:numPr>
          <w:ilvl w:val="0"/>
          <w:numId w:val="5"/>
        </w:numPr>
        <w:spacing w:after="90" w:line="360" w:lineRule="auto"/>
        <w:jc w:val="both"/>
      </w:pPr>
      <w:r>
        <w:t>非骨前临床数据中的机理对照。</w:t>
      </w:r>
    </w:p>
    <w:p w14:paraId="28B66E52">
      <w:pPr>
        <w:widowControl/>
        <w:spacing w:after="160" w:line="390" w:lineRule="auto"/>
        <w:jc w:val="both"/>
      </w:pPr>
      <w:r>
        <w:t>原始 Evans blue 不进入患者应用主线。任何衍生物都需独立完成化学、光谱、药代、毒理和监管验证。</w:t>
      </w:r>
    </w:p>
    <w:p w14:paraId="1A684055">
      <w:pPr>
        <w:pStyle w:val="3"/>
        <w:keepNext/>
        <w:keepLines/>
      </w:pPr>
      <w:bookmarkStart w:id="6" w:name="_Toc26534"/>
      <w:r>
        <w:t>3.4 分级实验矩阵</w:t>
      </w:r>
      <w:bookmarkEnd w:id="6"/>
    </w:p>
    <w:tbl>
      <w:tblPr>
        <w:tblStyle w:val="15"/>
        <w:tblW w:w="88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219"/>
        <w:gridCol w:w="2219"/>
        <w:gridCol w:w="2219"/>
        <w:gridCol w:w="2222"/>
      </w:tblGrid>
      <w:tr w14:paraId="4E9DD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blHeader/>
        </w:trPr>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0A435481">
            <w:pPr>
              <w:spacing w:after="0" w:line="320" w:lineRule="auto"/>
              <w:jc w:val="center"/>
            </w:pPr>
            <w:r>
              <w:rPr>
                <w:b/>
                <w:bCs/>
                <w:color w:val="FFFFFF"/>
                <w:sz w:val="19"/>
                <w:szCs w:val="19"/>
              </w:rPr>
              <w:t>阶段</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6EE679C2">
            <w:pPr>
              <w:spacing w:after="0" w:line="320" w:lineRule="auto"/>
              <w:jc w:val="center"/>
            </w:pPr>
            <w:r>
              <w:rPr>
                <w:b/>
                <w:bCs/>
                <w:color w:val="FFFFFF"/>
                <w:sz w:val="19"/>
                <w:szCs w:val="19"/>
              </w:rPr>
              <w:t>输入</w:t>
            </w:r>
          </w:p>
        </w:tc>
        <w:tc>
          <w:tcPr>
            <w:tcW w:w="2219"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10B9A7D3">
            <w:pPr>
              <w:spacing w:after="0" w:line="320" w:lineRule="auto"/>
              <w:jc w:val="center"/>
            </w:pPr>
            <w:r>
              <w:rPr>
                <w:b/>
                <w:bCs/>
                <w:color w:val="FFFFFF"/>
                <w:sz w:val="19"/>
                <w:szCs w:val="19"/>
              </w:rPr>
              <w:t>主要终点</w:t>
            </w:r>
          </w:p>
        </w:tc>
        <w:tc>
          <w:tcPr>
            <w:tcW w:w="2222" w:type="dxa"/>
            <w:tcBorders>
              <w:top w:val="single" w:color="B9C9CC" w:sz="2" w:space="0"/>
              <w:left w:val="single" w:color="B9C9CC" w:sz="2" w:space="0"/>
              <w:bottom w:val="single" w:color="B9C9CC" w:sz="2" w:space="0"/>
              <w:right w:val="single" w:color="B9C9CC" w:sz="2" w:space="0"/>
            </w:tcBorders>
            <w:shd w:val="clear" w:color="auto" w:fill="0B6B68"/>
            <w:tcMar>
              <w:top w:w="100" w:type="dxa"/>
              <w:left w:w="130" w:type="dxa"/>
              <w:bottom w:w="100" w:type="dxa"/>
              <w:right w:w="130" w:type="dxa"/>
            </w:tcMar>
            <w:vAlign w:val="center"/>
          </w:tcPr>
          <w:p w14:paraId="71285ABC">
            <w:pPr>
              <w:spacing w:after="0" w:line="320" w:lineRule="auto"/>
              <w:jc w:val="center"/>
            </w:pPr>
            <w:r>
              <w:rPr>
                <w:b/>
                <w:bCs/>
                <w:color w:val="FFFFFF"/>
                <w:sz w:val="19"/>
                <w:szCs w:val="19"/>
              </w:rPr>
              <w:t>停止条件</w:t>
            </w:r>
          </w:p>
        </w:tc>
      </w:tr>
      <w:tr w14:paraId="1E5E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A877553">
            <w:pPr>
              <w:spacing w:after="0" w:line="320" w:lineRule="auto"/>
              <w:jc w:val="left"/>
            </w:pPr>
            <w:r>
              <w:rPr>
                <w:b w:val="0"/>
                <w:bCs w:val="0"/>
                <w:color w:val="18323A"/>
                <w:sz w:val="18"/>
                <w:szCs w:val="18"/>
              </w:rPr>
              <w:t>A0 光谱</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C0FEBD0">
            <w:pPr>
              <w:spacing w:after="0" w:line="320" w:lineRule="auto"/>
              <w:jc w:val="left"/>
            </w:pPr>
            <w:r>
              <w:rPr>
                <w:b w:val="0"/>
                <w:bCs w:val="0"/>
                <w:color w:val="18323A"/>
                <w:sz w:val="18"/>
                <w:szCs w:val="18"/>
              </w:rPr>
              <w:t>候选、ICG、单功能对照</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30F51A7">
            <w:pPr>
              <w:spacing w:after="0" w:line="320" w:lineRule="auto"/>
              <w:jc w:val="left"/>
            </w:pPr>
            <w:r>
              <w:rPr>
                <w:b w:val="0"/>
                <w:bCs w:val="0"/>
                <w:color w:val="18323A"/>
                <w:sz w:val="18"/>
                <w:szCs w:val="18"/>
              </w:rPr>
              <w:t>激发/发射、量子产率、光漂白、设备滤光片覆盖</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80B6C49">
            <w:pPr>
              <w:spacing w:after="0" w:line="320" w:lineRule="auto"/>
              <w:jc w:val="left"/>
            </w:pPr>
            <w:r>
              <w:rPr>
                <w:b w:val="0"/>
                <w:bCs w:val="0"/>
                <w:color w:val="18323A"/>
                <w:sz w:val="18"/>
                <w:szCs w:val="18"/>
              </w:rPr>
              <w:t>光谱不匹配或稳定性不足</w:t>
            </w:r>
          </w:p>
        </w:tc>
      </w:tr>
      <w:tr w14:paraId="66791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132F1E69">
            <w:pPr>
              <w:spacing w:after="0" w:line="320" w:lineRule="auto"/>
              <w:jc w:val="left"/>
            </w:pPr>
            <w:r>
              <w:rPr>
                <w:b w:val="0"/>
                <w:bCs w:val="0"/>
                <w:color w:val="18323A"/>
                <w:sz w:val="18"/>
                <w:szCs w:val="18"/>
              </w:rPr>
              <w:t>A1 材料</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8937048">
            <w:pPr>
              <w:spacing w:after="0" w:line="320" w:lineRule="auto"/>
              <w:jc w:val="left"/>
            </w:pPr>
            <w:r>
              <w:rPr>
                <w:b w:val="0"/>
                <w:bCs w:val="0"/>
                <w:color w:val="18323A"/>
                <w:sz w:val="18"/>
                <w:szCs w:val="18"/>
              </w:rPr>
              <w:t>HAp、蛋白、pH、血清</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5AC80CCA">
            <w:pPr>
              <w:spacing w:after="0" w:line="320" w:lineRule="auto"/>
              <w:jc w:val="left"/>
            </w:pPr>
            <w:r>
              <w:rPr>
                <w:b w:val="0"/>
                <w:bCs w:val="0"/>
                <w:color w:val="18323A"/>
                <w:sz w:val="18"/>
                <w:szCs w:val="18"/>
              </w:rPr>
              <w:t>骨亲和、非特异吸附、信噪比</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0DFF4D4E">
            <w:pPr>
              <w:spacing w:after="0" w:line="320" w:lineRule="auto"/>
              <w:jc w:val="left"/>
            </w:pPr>
            <w:r>
              <w:rPr>
                <w:b w:val="0"/>
                <w:bCs w:val="0"/>
                <w:color w:val="18323A"/>
                <w:sz w:val="18"/>
                <w:szCs w:val="18"/>
              </w:rPr>
              <w:t>选择性不足</w:t>
            </w:r>
          </w:p>
        </w:tc>
      </w:tr>
      <w:tr w14:paraId="367B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315CE81A">
            <w:pPr>
              <w:spacing w:after="0" w:line="320" w:lineRule="auto"/>
              <w:jc w:val="left"/>
            </w:pPr>
            <w:r>
              <w:rPr>
                <w:b w:val="0"/>
                <w:bCs w:val="0"/>
                <w:color w:val="18323A"/>
                <w:sz w:val="18"/>
                <w:szCs w:val="18"/>
              </w:rPr>
              <w:t>A2 细菌/细胞</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84D4D79">
            <w:pPr>
              <w:spacing w:after="0" w:line="320" w:lineRule="auto"/>
              <w:jc w:val="left"/>
            </w:pPr>
            <w:r>
              <w:rPr>
                <w:b w:val="0"/>
                <w:bCs w:val="0"/>
                <w:color w:val="18323A"/>
                <w:sz w:val="18"/>
                <w:szCs w:val="18"/>
              </w:rPr>
              <w:t>多菌种、生物膜、无菌对照</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73B41B03">
            <w:pPr>
              <w:spacing w:after="0" w:line="320" w:lineRule="auto"/>
              <w:jc w:val="left"/>
            </w:pPr>
            <w:r>
              <w:rPr>
                <w:b w:val="0"/>
                <w:bCs w:val="0"/>
                <w:color w:val="18323A"/>
                <w:sz w:val="18"/>
                <w:szCs w:val="18"/>
              </w:rPr>
              <w:t>结合、竞争抑制、细胞毒性</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29A0B565">
            <w:pPr>
              <w:spacing w:after="0" w:line="320" w:lineRule="auto"/>
              <w:jc w:val="left"/>
            </w:pPr>
            <w:r>
              <w:rPr>
                <w:b w:val="0"/>
                <w:bCs w:val="0"/>
                <w:color w:val="18323A"/>
                <w:sz w:val="18"/>
                <w:szCs w:val="18"/>
              </w:rPr>
              <w:t>毒性或菌种偏倚不可控</w:t>
            </w:r>
          </w:p>
        </w:tc>
      </w:tr>
      <w:tr w14:paraId="342F7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7EB6FD35">
            <w:pPr>
              <w:spacing w:after="0" w:line="320" w:lineRule="auto"/>
              <w:jc w:val="left"/>
            </w:pPr>
            <w:r>
              <w:rPr>
                <w:b w:val="0"/>
                <w:bCs w:val="0"/>
                <w:color w:val="18323A"/>
                <w:sz w:val="18"/>
                <w:szCs w:val="18"/>
              </w:rPr>
              <w:t>A3 组织/仿体</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30B5DC02">
            <w:pPr>
              <w:spacing w:after="0" w:line="320" w:lineRule="auto"/>
              <w:jc w:val="left"/>
            </w:pPr>
            <w:r>
              <w:rPr>
                <w:b w:val="0"/>
                <w:bCs w:val="0"/>
                <w:color w:val="18323A"/>
                <w:sz w:val="18"/>
                <w:szCs w:val="18"/>
              </w:rPr>
              <w:t>活骨、坏死骨、炎症软组织</w:t>
            </w:r>
          </w:p>
        </w:tc>
        <w:tc>
          <w:tcPr>
            <w:tcW w:w="2219"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2C07882">
            <w:pPr>
              <w:spacing w:after="0" w:line="320" w:lineRule="auto"/>
              <w:jc w:val="left"/>
            </w:pPr>
            <w:r>
              <w:rPr>
                <w:b w:val="0"/>
                <w:bCs w:val="0"/>
                <w:color w:val="18323A"/>
                <w:sz w:val="18"/>
                <w:szCs w:val="18"/>
              </w:rPr>
              <w:t>边界对比、深度、剂量与设备适配</w:t>
            </w:r>
          </w:p>
        </w:tc>
        <w:tc>
          <w:tcPr>
            <w:tcW w:w="2222" w:type="dxa"/>
            <w:tcBorders>
              <w:top w:val="single" w:color="B9C9CC" w:sz="2" w:space="0"/>
              <w:left w:val="single" w:color="B9C9CC" w:sz="2" w:space="0"/>
              <w:bottom w:val="single" w:color="B9C9CC" w:sz="2" w:space="0"/>
              <w:right w:val="single" w:color="B9C9CC" w:sz="2" w:space="0"/>
            </w:tcBorders>
            <w:shd w:val="clear" w:color="auto" w:fill="F4F8F8"/>
            <w:tcMar>
              <w:top w:w="100" w:type="dxa"/>
              <w:left w:w="130" w:type="dxa"/>
              <w:bottom w:w="100" w:type="dxa"/>
              <w:right w:w="130" w:type="dxa"/>
            </w:tcMar>
            <w:vAlign w:val="center"/>
          </w:tcPr>
          <w:p w14:paraId="4D4364E1">
            <w:pPr>
              <w:spacing w:after="0" w:line="320" w:lineRule="auto"/>
              <w:jc w:val="left"/>
            </w:pPr>
            <w:r>
              <w:rPr>
                <w:b w:val="0"/>
                <w:bCs w:val="0"/>
                <w:color w:val="18323A"/>
                <w:sz w:val="18"/>
                <w:szCs w:val="18"/>
              </w:rPr>
              <w:t>边界重复性不足</w:t>
            </w:r>
          </w:p>
        </w:tc>
      </w:tr>
      <w:tr w14:paraId="0BFF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Pr>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616DF72F">
            <w:pPr>
              <w:spacing w:after="0" w:line="320" w:lineRule="auto"/>
              <w:jc w:val="left"/>
            </w:pPr>
            <w:r>
              <w:rPr>
                <w:b w:val="0"/>
                <w:bCs w:val="0"/>
                <w:color w:val="18323A"/>
                <w:sz w:val="18"/>
                <w:szCs w:val="18"/>
              </w:rPr>
              <w:t>A4 前临床</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1D0A4731">
            <w:pPr>
              <w:spacing w:after="0" w:line="320" w:lineRule="auto"/>
              <w:jc w:val="left"/>
            </w:pPr>
            <w:r>
              <w:rPr>
                <w:b w:val="0"/>
                <w:bCs w:val="0"/>
                <w:color w:val="18323A"/>
                <w:sz w:val="18"/>
                <w:szCs w:val="18"/>
              </w:rPr>
              <w:t>经伦理批准模型</w:t>
            </w:r>
          </w:p>
        </w:tc>
        <w:tc>
          <w:tcPr>
            <w:tcW w:w="2219"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43AAB44">
            <w:pPr>
              <w:spacing w:after="0" w:line="320" w:lineRule="auto"/>
              <w:jc w:val="left"/>
            </w:pPr>
            <w:r>
              <w:rPr>
                <w:b w:val="0"/>
                <w:bCs w:val="0"/>
                <w:color w:val="18323A"/>
                <w:sz w:val="18"/>
                <w:szCs w:val="18"/>
              </w:rPr>
              <w:t>药代、安全性、病理与培养对照</w:t>
            </w:r>
          </w:p>
        </w:tc>
        <w:tc>
          <w:tcPr>
            <w:tcW w:w="2222" w:type="dxa"/>
            <w:tcBorders>
              <w:top w:val="single" w:color="B9C9CC" w:sz="2" w:space="0"/>
              <w:left w:val="single" w:color="B9C9CC" w:sz="2" w:space="0"/>
              <w:bottom w:val="single" w:color="B9C9CC" w:sz="2" w:space="0"/>
              <w:right w:val="single" w:color="B9C9CC" w:sz="2" w:space="0"/>
            </w:tcBorders>
            <w:shd w:val="clear" w:color="auto" w:fill="FFFFFF"/>
            <w:tcMar>
              <w:top w:w="100" w:type="dxa"/>
              <w:left w:w="130" w:type="dxa"/>
              <w:bottom w:w="100" w:type="dxa"/>
              <w:right w:w="130" w:type="dxa"/>
            </w:tcMar>
            <w:vAlign w:val="center"/>
          </w:tcPr>
          <w:p w14:paraId="476A6A94">
            <w:pPr>
              <w:spacing w:after="0" w:line="320" w:lineRule="auto"/>
              <w:jc w:val="left"/>
            </w:pPr>
            <w:r>
              <w:rPr>
                <w:b w:val="0"/>
                <w:bCs w:val="0"/>
                <w:color w:val="18323A"/>
                <w:sz w:val="18"/>
                <w:szCs w:val="18"/>
              </w:rPr>
              <w:t>安全门失败</w:t>
            </w:r>
          </w:p>
        </w:tc>
      </w:tr>
    </w:tbl>
    <w:p w14:paraId="164BA672">
      <w:pPr>
        <w:spacing w:after="100"/>
      </w:pPr>
    </w:p>
    <w:p w14:paraId="0A1EE906">
      <w:pPr>
        <w:pStyle w:val="2"/>
        <w:keepNext/>
        <w:keepLines/>
      </w:pPr>
      <w:bookmarkStart w:id="7" w:name="_Toc26655"/>
      <w:r>
        <w:t>4. 多模态图像融合与处理</w:t>
      </w:r>
      <w:bookmarkEnd w:id="7"/>
    </w:p>
    <w:p w14:paraId="5B461A24">
      <w:pPr>
        <w:pStyle w:val="3"/>
        <w:keepNext/>
        <w:keepLines/>
      </w:pPr>
      <w:bookmarkStart w:id="8" w:name="_Toc12055"/>
      <w:r>
        <w:t>4.1 输入模式</w:t>
      </w:r>
      <w:bookmarkEnd w:id="8"/>
    </w:p>
    <w:p w14:paraId="43C1BD02">
      <w:pPr>
        <w:pStyle w:val="20"/>
        <w:keepNext w:val="0"/>
        <w:widowControl/>
        <w:numPr>
          <w:ilvl w:val="0"/>
          <w:numId w:val="6"/>
        </w:numPr>
        <w:spacing w:after="90" w:line="360" w:lineRule="auto"/>
        <w:jc w:val="both"/>
      </w:pPr>
      <w:r>
        <w:t>JPEG：白光与 ICG 成对分析，可选设备叠加图用于质量核对。</w:t>
      </w:r>
    </w:p>
    <w:p w14:paraId="16F806B5">
      <w:pPr>
        <w:pStyle w:val="20"/>
        <w:keepNext w:val="0"/>
        <w:widowControl/>
        <w:numPr>
          <w:ilvl w:val="0"/>
          <w:numId w:val="6"/>
        </w:numPr>
        <w:spacing w:after="90" w:line="360" w:lineRule="auto"/>
        <w:jc w:val="both"/>
      </w:pPr>
      <w:r>
        <w:t>MP4：原视频播放、关键帧分析和视频流连续帧分析。</w:t>
      </w:r>
    </w:p>
    <w:p w14:paraId="1B9FB389">
      <w:pPr>
        <w:pStyle w:val="20"/>
        <w:keepNext w:val="0"/>
        <w:widowControl/>
        <w:numPr>
          <w:ilvl w:val="0"/>
          <w:numId w:val="6"/>
        </w:numPr>
        <w:spacing w:after="90" w:line="360" w:lineRule="auto"/>
        <w:jc w:val="both"/>
      </w:pPr>
      <w:r>
        <w:t>医院 AVI：保留原始文件、SHA256 和转码日志后转为受控 MP4。</w:t>
      </w:r>
    </w:p>
    <w:p w14:paraId="3ECC3239">
      <w:pPr>
        <w:pStyle w:val="20"/>
        <w:keepNext w:val="0"/>
        <w:widowControl/>
        <w:numPr>
          <w:ilvl w:val="0"/>
          <w:numId w:val="6"/>
        </w:numPr>
        <w:spacing w:after="90" w:line="360" w:lineRule="auto"/>
        <w:jc w:val="both"/>
      </w:pPr>
      <w:r>
        <w:t>元数据：设备来源、型号、固件、倍率、工作距离、曝光、增益、时间戳、标定和坐标约定。</w:t>
      </w:r>
    </w:p>
    <w:p w14:paraId="5FEB9932">
      <w:pPr>
        <w:pStyle w:val="3"/>
        <w:keepNext/>
        <w:keepLines/>
      </w:pPr>
      <w:bookmarkStart w:id="9" w:name="_Toc21691"/>
      <w:r>
        <w:t>4.2 处理链</w:t>
      </w:r>
      <w:bookmarkEnd w:id="9"/>
    </w:p>
    <w:p w14:paraId="50FDF9C9">
      <w:pPr>
        <w:pStyle w:val="20"/>
        <w:keepNext w:val="0"/>
        <w:widowControl/>
        <w:numPr>
          <w:ilvl w:val="0"/>
          <w:numId w:val="7"/>
        </w:numPr>
        <w:spacing w:after="90" w:line="360" w:lineRule="auto"/>
        <w:jc w:val="both"/>
      </w:pPr>
      <w:r>
        <w:t>文件签名、解码、尺寸、方向和通道检查。</w:t>
      </w:r>
    </w:p>
    <w:p w14:paraId="616C7ABB">
      <w:pPr>
        <w:pStyle w:val="20"/>
        <w:keepNext w:val="0"/>
        <w:widowControl/>
        <w:numPr>
          <w:ilvl w:val="0"/>
          <w:numId w:val="7"/>
        </w:numPr>
        <w:spacing w:after="90" w:line="360" w:lineRule="auto"/>
        <w:jc w:val="both"/>
      </w:pPr>
      <w:r>
        <w:t>白光/荧光几何配准与误差记录。</w:t>
      </w:r>
    </w:p>
    <w:p w14:paraId="1AE52A1C">
      <w:pPr>
        <w:pStyle w:val="20"/>
        <w:keepNext w:val="0"/>
        <w:widowControl/>
        <w:numPr>
          <w:ilvl w:val="0"/>
          <w:numId w:val="7"/>
        </w:numPr>
        <w:spacing w:after="90" w:line="360" w:lineRule="auto"/>
        <w:jc w:val="both"/>
      </w:pPr>
      <w:r>
        <w:t>背景扣除、百分位归一化、伪彩和色标。</w:t>
      </w:r>
    </w:p>
    <w:p w14:paraId="7A4FBAEA">
      <w:pPr>
        <w:pStyle w:val="20"/>
        <w:keepNext w:val="0"/>
        <w:widowControl/>
        <w:numPr>
          <w:ilvl w:val="0"/>
          <w:numId w:val="7"/>
        </w:numPr>
        <w:spacing w:after="90" w:line="360" w:lineRule="auto"/>
        <w:jc w:val="both"/>
      </w:pPr>
      <w:r>
        <w:t>融合显示、ROI 定量、时间强度和质量提示。</w:t>
      </w:r>
    </w:p>
    <w:p w14:paraId="593007DF">
      <w:pPr>
        <w:pStyle w:val="20"/>
        <w:keepNext w:val="0"/>
        <w:widowControl/>
        <w:numPr>
          <w:ilvl w:val="0"/>
          <w:numId w:val="7"/>
        </w:numPr>
        <w:spacing w:after="90" w:line="360" w:lineRule="auto"/>
        <w:jc w:val="both"/>
      </w:pPr>
      <w:r>
        <w:t>4K keyframe tiled 推理及输出尺寸回映射。</w:t>
      </w:r>
    </w:p>
    <w:p w14:paraId="17173AFB">
      <w:pPr>
        <w:pStyle w:val="20"/>
        <w:keepNext w:val="0"/>
        <w:widowControl/>
        <w:numPr>
          <w:ilvl w:val="0"/>
          <w:numId w:val="7"/>
        </w:numPr>
        <w:spacing w:after="90" w:line="360" w:lineRule="auto"/>
        <w:jc w:val="both"/>
      </w:pPr>
      <w:r>
        <w:t>MP4 关键帧时间线或 960 长边连续帧串行推理。</w:t>
      </w:r>
    </w:p>
    <w:p w14:paraId="53A2981B">
      <w:pPr>
        <w:pStyle w:val="20"/>
        <w:keepNext w:val="0"/>
        <w:widowControl/>
        <w:numPr>
          <w:ilvl w:val="0"/>
          <w:numId w:val="7"/>
        </w:numPr>
        <w:spacing w:after="90" w:line="360" w:lineRule="auto"/>
        <w:jc w:val="both"/>
      </w:pPr>
      <w:r>
        <w:t>唯一证据路径、延迟、模型、阈值和来源域记录。</w:t>
      </w:r>
    </w:p>
    <w:p w14:paraId="4E69E175">
      <w:pPr>
        <w:widowControl/>
        <w:spacing w:after="160" w:line="390" w:lineRule="auto"/>
        <w:jc w:val="both"/>
      </w:pPr>
      <w:r>
        <w:t>设备叠加图用于质量核对和显示证据。模型输入优先使用原始白光与原始荧光通道。</w:t>
      </w:r>
    </w:p>
    <w:p w14:paraId="0B56D983">
      <w:pPr>
        <w:pStyle w:val="2"/>
        <w:keepNext/>
        <w:keepLines/>
      </w:pPr>
      <w:bookmarkStart w:id="10" w:name="_Toc14615"/>
      <w:r>
        <w:t>5. AI 辅助判读</w:t>
      </w:r>
      <w:bookmarkEnd w:id="10"/>
    </w:p>
    <w:p w14:paraId="4C0F62D8">
      <w:pPr>
        <w:pStyle w:val="3"/>
        <w:keepNext/>
        <w:keepLines/>
      </w:pPr>
      <w:bookmarkStart w:id="11" w:name="_Toc32084"/>
      <w:r>
        <w:t>5.1 当前主线</w:t>
      </w:r>
      <w:bookmarkEnd w:id="11"/>
    </w:p>
    <w:p w14:paraId="453BC85D">
      <w:pPr>
        <w:widowControl/>
        <w:spacing w:after="160" w:line="390" w:lineRule="auto"/>
        <w:jc w:val="both"/>
      </w:pPr>
      <w:r>
        <w:t xml:space="preserve">比赛严格主线为 </w:t>
      </w:r>
      <w:r>
        <w:rPr>
          <w:rFonts w:ascii="Consolas" w:hAnsi="Consolas" w:eastAsia="微软雅黑" w:cs="Consolas"/>
          <w:color w:val="294850"/>
          <w:sz w:val="19"/>
          <w:szCs w:val="19"/>
          <w:shd w:val="clear" w:fill="EEF3F4"/>
        </w:rPr>
        <w:t>keyframe_residual_attention_unet_s20260715_20260715</w:t>
      </w:r>
      <w:r>
        <w:t xml:space="preserve">，运行阈值 </w:t>
      </w:r>
      <w:r>
        <w:rPr>
          <w:rFonts w:ascii="Consolas" w:hAnsi="Consolas" w:eastAsia="微软雅黑" w:cs="Consolas"/>
          <w:color w:val="294850"/>
          <w:sz w:val="19"/>
          <w:szCs w:val="19"/>
          <w:shd w:val="clear" w:fill="EEF3F4"/>
        </w:rPr>
        <w:t>0.4</w:t>
      </w:r>
      <w:r>
        <w:t xml:space="preserve">，4K tile </w:t>
      </w:r>
      <w:r>
        <w:rPr>
          <w:rFonts w:ascii="Consolas" w:hAnsi="Consolas" w:eastAsia="微软雅黑" w:cs="Consolas"/>
          <w:color w:val="294850"/>
          <w:sz w:val="19"/>
          <w:szCs w:val="19"/>
          <w:shd w:val="clear" w:fill="EEF3F4"/>
        </w:rPr>
        <w:t>512</w:t>
      </w:r>
      <w:r>
        <w:t xml:space="preserve">、overlap </w:t>
      </w:r>
      <w:r>
        <w:rPr>
          <w:rFonts w:ascii="Consolas" w:hAnsi="Consolas" w:eastAsia="微软雅黑" w:cs="Consolas"/>
          <w:color w:val="294850"/>
          <w:sz w:val="19"/>
          <w:szCs w:val="19"/>
          <w:shd w:val="clear" w:fill="EEF3F4"/>
        </w:rPr>
        <w:t>64</w:t>
      </w:r>
      <w:r>
        <w:t>。实时路径关闭 TTA、启用 AMP、输出 JPEG overlay，并保留 mask、风险图和不确定性图。</w:t>
      </w:r>
    </w:p>
    <w:p w14:paraId="54CC238C">
      <w:pPr>
        <w:widowControl/>
        <w:spacing w:after="160" w:line="390" w:lineRule="auto"/>
        <w:jc w:val="both"/>
      </w:pPr>
      <w:r>
        <w:t xml:space="preserve">代理测试 Dice </w:t>
      </w:r>
      <w:r>
        <w:rPr>
          <w:rFonts w:ascii="Consolas" w:hAnsi="Consolas" w:eastAsia="微软雅黑" w:cs="Consolas"/>
          <w:color w:val="294850"/>
          <w:sz w:val="19"/>
          <w:szCs w:val="19"/>
          <w:shd w:val="clear" w:fill="EEF3F4"/>
        </w:rPr>
        <w:t>0.9177</w:t>
      </w:r>
      <w:r>
        <w:t xml:space="preserve">、IoU </w:t>
      </w:r>
      <w:r>
        <w:rPr>
          <w:rFonts w:ascii="Consolas" w:hAnsi="Consolas" w:eastAsia="微软雅黑" w:cs="Consolas"/>
          <w:color w:val="294850"/>
          <w:sz w:val="19"/>
          <w:szCs w:val="19"/>
          <w:shd w:val="clear" w:fill="EEF3F4"/>
        </w:rPr>
        <w:t>0.8483</w:t>
      </w:r>
      <w:r>
        <w:t>。训练与评估数据属于公开异域、代理或伪标注数据，指标仅用于架构和工程比较。</w:t>
      </w:r>
    </w:p>
    <w:p w14:paraId="26339648">
      <w:pPr>
        <w:pStyle w:val="3"/>
        <w:keepNext/>
        <w:keepLines/>
      </w:pPr>
      <w:bookmarkStart w:id="12" w:name="_Toc18718"/>
      <w:r>
        <w:t>5.2 空间输出</w:t>
      </w:r>
      <w:bookmarkEnd w:id="12"/>
    </w:p>
    <w:p w14:paraId="3DCF1A99">
      <w:pPr>
        <w:pStyle w:val="20"/>
        <w:keepNext w:val="0"/>
        <w:widowControl/>
        <w:numPr>
          <w:ilvl w:val="0"/>
          <w:numId w:val="8"/>
        </w:numPr>
        <w:spacing w:after="90" w:line="360" w:lineRule="auto"/>
        <w:jc w:val="both"/>
      </w:pPr>
      <w:r>
        <w:rPr>
          <w:rFonts w:ascii="Consolas" w:hAnsi="Consolas" w:eastAsia="微软雅黑" w:cs="Consolas"/>
          <w:color w:val="294850"/>
          <w:sz w:val="19"/>
          <w:szCs w:val="19"/>
          <w:shd w:val="clear" w:fill="EEF3F4"/>
        </w:rPr>
        <w:t>fluorescence_signal_mask</w:t>
      </w:r>
      <w:r>
        <w:t>：荧光/灌注信号候选。</w:t>
      </w:r>
    </w:p>
    <w:p w14:paraId="6BAAFF9F">
      <w:pPr>
        <w:pStyle w:val="20"/>
        <w:keepNext w:val="0"/>
        <w:widowControl/>
        <w:numPr>
          <w:ilvl w:val="0"/>
          <w:numId w:val="8"/>
        </w:numPr>
        <w:spacing w:after="90" w:line="360" w:lineRule="auto"/>
        <w:jc w:val="both"/>
      </w:pPr>
      <w:r>
        <w:rPr>
          <w:rFonts w:ascii="Consolas" w:hAnsi="Consolas" w:eastAsia="微软雅黑" w:cs="Consolas"/>
          <w:color w:val="294850"/>
          <w:sz w:val="19"/>
          <w:szCs w:val="19"/>
          <w:shd w:val="clear" w:fill="EEF3F4"/>
        </w:rPr>
        <w:t>risk_mask</w:t>
      </w:r>
      <w:r>
        <w:t>：边界风险提示。</w:t>
      </w:r>
    </w:p>
    <w:p w14:paraId="6BA7514A">
      <w:pPr>
        <w:pStyle w:val="20"/>
        <w:keepNext w:val="0"/>
        <w:widowControl/>
        <w:numPr>
          <w:ilvl w:val="0"/>
          <w:numId w:val="8"/>
        </w:numPr>
        <w:spacing w:after="90" w:line="360" w:lineRule="auto"/>
        <w:jc w:val="both"/>
      </w:pPr>
      <w:r>
        <w:rPr>
          <w:rFonts w:ascii="Consolas" w:hAnsi="Consolas" w:eastAsia="微软雅黑" w:cs="Consolas"/>
          <w:color w:val="294850"/>
          <w:sz w:val="19"/>
          <w:szCs w:val="19"/>
          <w:shd w:val="clear" w:fill="EEF3F4"/>
        </w:rPr>
        <w:t>uncertain_mask</w:t>
      </w:r>
      <w:r>
        <w:t>：低置信或质量受限区域。</w:t>
      </w:r>
    </w:p>
    <w:p w14:paraId="22D07413">
      <w:pPr>
        <w:pStyle w:val="20"/>
        <w:keepNext w:val="0"/>
        <w:widowControl/>
        <w:numPr>
          <w:ilvl w:val="0"/>
          <w:numId w:val="8"/>
        </w:numPr>
        <w:spacing w:after="90" w:line="360" w:lineRule="auto"/>
        <w:jc w:val="both"/>
      </w:pPr>
      <w:r>
        <w:rPr>
          <w:rFonts w:ascii="Consolas" w:hAnsi="Consolas" w:eastAsia="微软雅黑" w:cs="Consolas"/>
          <w:color w:val="294850"/>
          <w:sz w:val="19"/>
          <w:szCs w:val="19"/>
          <w:shd w:val="clear" w:fill="EEF3F4"/>
        </w:rPr>
        <w:t>bone_gate_mask</w:t>
      </w:r>
      <w:r>
        <w:t>：医生或 prompt-assisted 复核骨面。</w:t>
      </w:r>
    </w:p>
    <w:p w14:paraId="6E72C60C">
      <w:pPr>
        <w:pStyle w:val="20"/>
        <w:keepNext w:val="0"/>
        <w:widowControl/>
        <w:numPr>
          <w:ilvl w:val="0"/>
          <w:numId w:val="8"/>
        </w:numPr>
        <w:spacing w:after="90" w:line="360" w:lineRule="auto"/>
        <w:jc w:val="both"/>
      </w:pPr>
      <w:r>
        <w:t>骨活性连续评分：0-1 的信号参考值。</w:t>
      </w:r>
    </w:p>
    <w:p w14:paraId="4C52BDA5">
      <w:pPr>
        <w:pStyle w:val="20"/>
        <w:keepNext w:val="0"/>
        <w:widowControl/>
        <w:numPr>
          <w:ilvl w:val="0"/>
          <w:numId w:val="8"/>
        </w:numPr>
        <w:spacing w:after="90" w:line="360" w:lineRule="auto"/>
        <w:jc w:val="both"/>
      </w:pPr>
      <w:r>
        <w:t>低活性、过渡区、高活性、无法判断区：骨面内复核候选。</w:t>
      </w:r>
    </w:p>
    <w:p w14:paraId="21CB3B5F">
      <w:pPr>
        <w:widowControl/>
        <w:spacing w:after="160" w:line="390" w:lineRule="auto"/>
        <w:jc w:val="both"/>
      </w:pPr>
      <w:r>
        <w:t>“0.80”只能表示候选置信度或目标覆盖率等经定义指标，不能解释为切除成功率。</w:t>
      </w:r>
    </w:p>
    <w:p w14:paraId="57A1F5DD">
      <w:pPr>
        <w:pStyle w:val="3"/>
        <w:keepNext/>
        <w:keepLines/>
      </w:pPr>
      <w:bookmarkStart w:id="13" w:name="_Toc5875"/>
      <w:r>
        <w:t>5.3 患者条件分割</w:t>
      </w:r>
      <w:bookmarkEnd w:id="13"/>
    </w:p>
    <w:p w14:paraId="1171DEED">
      <w:pPr>
        <w:widowControl/>
        <w:spacing w:after="160" w:line="390" w:lineRule="auto"/>
        <w:jc w:val="both"/>
      </w:pPr>
      <w:r>
        <w:t>年龄、性别、基础病、用药和血液指标进入结构化临床特征向量。平台保留影像基础概率、患者条件概率、差异图、缺失值、来源可信度和安全回退原因。</w:t>
      </w:r>
    </w:p>
    <w:p w14:paraId="3B9D8BC2">
      <w:pPr>
        <w:widowControl/>
        <w:spacing w:after="160" w:line="390" w:lineRule="auto"/>
        <w:jc w:val="both"/>
      </w:pPr>
      <w:r>
        <w:t>现有 KiTS23 代理模型 no-harm 门失败。严格运行时患者条件结果恢复为影像基础概率，空间差异清零。获得真实目标域患者级数据、独立测试、概率校准、亚组审计和医生复核后，模型才能申请晋级。</w:t>
      </w:r>
    </w:p>
    <w:p w14:paraId="770D08CB">
      <w:pPr>
        <w:pStyle w:val="3"/>
        <w:keepNext/>
        <w:keepLines/>
      </w:pPr>
      <w:bookmarkStart w:id="14" w:name="_Toc27081"/>
      <w:r>
        <w:t>5.4 医生回灌</w:t>
      </w:r>
      <w:bookmarkEnd w:id="14"/>
    </w:p>
    <w:p w14:paraId="2BD89393">
      <w:pPr>
        <w:widowControl/>
        <w:spacing w:after="160" w:line="390" w:lineRule="auto"/>
        <w:jc w:val="both"/>
      </w:pPr>
      <w:r>
        <w:t>人工标注支持画笔、橡皮擦、多边形、撤销/重做、缩放、标签、草稿、提交、复核和版本历史。只有授权机构、脱敏准入、可信医生提交、另一位可信医生独立复核且训练准入通过的标注可进入高权重训练评估。</w:t>
      </w:r>
    </w:p>
    <w:p w14:paraId="39E7BADD">
      <w:pPr>
        <w:pStyle w:val="2"/>
        <w:keepNext/>
        <w:keepLines/>
      </w:pPr>
      <w:bookmarkStart w:id="15" w:name="_Toc3190"/>
      <w:r>
        <w:t>6. 三维配准与导航验证</w:t>
      </w:r>
      <w:bookmarkEnd w:id="15"/>
    </w:p>
    <w:p w14:paraId="5304BFDF">
      <w:pPr>
        <w:widowControl/>
        <w:spacing w:after="160" w:line="390" w:lineRule="auto"/>
        <w:jc w:val="both"/>
      </w:pPr>
      <w:r>
        <w:t>显微镜倍率与工作距离可参与尺度估计和动态相机参数选择。完整导航还需患者-CBCT 配准、相机位姿、深度或已知几何、坐标变换、同步、TRE、漂移和失效回退。</w:t>
      </w:r>
    </w:p>
    <w:p w14:paraId="5416A1C9">
      <w:pPr>
        <w:widowControl/>
        <w:spacing w:after="160" w:line="390" w:lineRule="auto"/>
        <w:jc w:val="both"/>
      </w:pPr>
      <w:r>
        <w:t>比赛软件按三级表达：</w:t>
      </w:r>
    </w:p>
    <w:p w14:paraId="18D08E0F">
      <w:pPr>
        <w:pStyle w:val="20"/>
        <w:keepNext w:val="0"/>
        <w:widowControl/>
        <w:numPr>
          <w:ilvl w:val="0"/>
          <w:numId w:val="9"/>
        </w:numPr>
        <w:spacing w:after="90" w:line="360" w:lineRule="auto"/>
        <w:jc w:val="both"/>
      </w:pPr>
      <w:r>
        <w:t>L0：CBCT/STL 未配准参考和候选区证据。</w:t>
      </w:r>
    </w:p>
    <w:p w14:paraId="56B14246">
      <w:pPr>
        <w:pStyle w:val="20"/>
        <w:keepNext w:val="0"/>
        <w:widowControl/>
        <w:numPr>
          <w:ilvl w:val="0"/>
          <w:numId w:val="9"/>
        </w:numPr>
        <w:spacing w:after="90" w:line="360" w:lineRule="auto"/>
        <w:jc w:val="both"/>
      </w:pPr>
      <w:r>
        <w:t>L1：下颌仿体静态配准，记录 FRE、TRE、标定与坐标契约。</w:t>
      </w:r>
    </w:p>
    <w:p w14:paraId="5BFDBA92">
      <w:pPr>
        <w:pStyle w:val="20"/>
        <w:keepNext w:val="0"/>
        <w:widowControl/>
        <w:numPr>
          <w:ilvl w:val="0"/>
          <w:numId w:val="9"/>
        </w:numPr>
        <w:spacing w:after="90" w:line="360" w:lineRule="auto"/>
        <w:jc w:val="both"/>
      </w:pPr>
      <w:r>
        <w:t>L2：离线位姿回放，记录重投影、同步、漂移和失效注入。</w:t>
      </w:r>
    </w:p>
    <w:p w14:paraId="05A78A0B">
      <w:pPr>
        <w:widowControl/>
        <w:spacing w:after="160" w:line="390" w:lineRule="auto"/>
        <w:jc w:val="both"/>
      </w:pPr>
      <w:r>
        <w:t>当前 L1/L2 软件链可运行，真实物理精度和术中验证尚未完成。界面与报告持续显示 L0 安全状态。</w:t>
      </w:r>
    </w:p>
    <w:p w14:paraId="65446FD0">
      <w:pPr>
        <w:pStyle w:val="2"/>
        <w:keepNext/>
        <w:keepLines/>
      </w:pPr>
      <w:bookmarkStart w:id="16" w:name="_Toc8791"/>
      <w:r>
        <w:t>7. 数据与验证现状</w:t>
      </w:r>
      <w:bookmarkEnd w:id="16"/>
    </w:p>
    <w:p w14:paraId="217B0006">
      <w:pPr>
        <w:widowControl/>
        <w:spacing w:after="160" w:line="390" w:lineRule="auto"/>
        <w:jc w:val="both"/>
      </w:pPr>
      <w:r>
        <w:t>当前来源核验覆盖 15 份 manifest、47 条记录、138 个本地文件、约 5.51 GB。数据包括荧光视频代理、骨感染近似场景、牙科 CBCT、上下颌标签、RGB/depth/pose 和 ORNJ 临床结构化变量。</w:t>
      </w:r>
    </w:p>
    <w:p w14:paraId="74972ED8">
      <w:pPr>
        <w:widowControl/>
        <w:spacing w:after="160" w:line="390" w:lineRule="auto"/>
        <w:jc w:val="both"/>
      </w:pPr>
      <w:r>
        <w:t>目标域记录为 0，训练准入记录为 0。真实目标域缺口通过公开异域工程验证、伪标注质量门、小型医生金标准设计、反馈再训练和独立晋级协议管理。</w:t>
      </w:r>
    </w:p>
    <w:p w14:paraId="35D9138B">
      <w:pPr>
        <w:pStyle w:val="2"/>
        <w:keepNext/>
        <w:keepLines/>
      </w:pPr>
      <w:bookmarkStart w:id="17" w:name="_Toc14505"/>
      <w:r>
        <w:t>8. 创新点</w:t>
      </w:r>
      <w:bookmarkEnd w:id="17"/>
    </w:p>
    <w:p w14:paraId="45AB2822">
      <w:pPr>
        <w:pStyle w:val="20"/>
        <w:keepNext w:val="0"/>
        <w:widowControl/>
        <w:numPr>
          <w:ilvl w:val="0"/>
          <w:numId w:val="10"/>
        </w:numPr>
        <w:spacing w:after="90" w:line="360" w:lineRule="auto"/>
        <w:jc w:val="both"/>
      </w:pPr>
      <w:r>
        <w:t>造影剂、图像处理、AI 复核和三维证据在同一安全架构下联动。</w:t>
      </w:r>
    </w:p>
    <w:p w14:paraId="3864FBF8">
      <w:pPr>
        <w:pStyle w:val="20"/>
        <w:keepNext w:val="0"/>
        <w:widowControl/>
        <w:numPr>
          <w:ilvl w:val="0"/>
          <w:numId w:val="10"/>
        </w:numPr>
        <w:spacing w:after="90" w:line="360" w:lineRule="auto"/>
        <w:jc w:val="both"/>
      </w:pPr>
      <w:r>
        <w:t>影像基础结果与患者条件结果双轨保留，并提供 no-harm 回退。</w:t>
      </w:r>
    </w:p>
    <w:p w14:paraId="6C305C29">
      <w:pPr>
        <w:pStyle w:val="20"/>
        <w:keepNext w:val="0"/>
        <w:widowControl/>
        <w:numPr>
          <w:ilvl w:val="0"/>
          <w:numId w:val="10"/>
        </w:numPr>
        <w:spacing w:after="90" w:line="360" w:lineRule="auto"/>
        <w:jc w:val="both"/>
      </w:pPr>
      <w:r>
        <w:t>骨面门控、连续活性评分、三类活性候选和无法判断区共同表达灰色地带。</w:t>
      </w:r>
    </w:p>
    <w:p w14:paraId="6BC8DD59">
      <w:pPr>
        <w:pStyle w:val="20"/>
        <w:keepNext w:val="0"/>
        <w:widowControl/>
        <w:numPr>
          <w:ilvl w:val="0"/>
          <w:numId w:val="10"/>
        </w:numPr>
        <w:spacing w:after="90" w:line="360" w:lineRule="auto"/>
        <w:jc w:val="both"/>
      </w:pPr>
      <w:r>
        <w:t>4K 文件证据链与视频流低延迟路径共享同一模型和输出契约。</w:t>
      </w:r>
    </w:p>
    <w:p w14:paraId="7985759C">
      <w:pPr>
        <w:pStyle w:val="20"/>
        <w:keepNext w:val="0"/>
        <w:widowControl/>
        <w:numPr>
          <w:ilvl w:val="0"/>
          <w:numId w:val="10"/>
        </w:numPr>
        <w:spacing w:after="90" w:line="360" w:lineRule="auto"/>
        <w:jc w:val="both"/>
      </w:pPr>
      <w:r>
        <w:t>倍率、工作距离、标定、坐标和位姿通过设备解耦 manifest 进入 L1/L2 验证。</w:t>
      </w:r>
    </w:p>
    <w:p w14:paraId="2F2A2BE7">
      <w:pPr>
        <w:pStyle w:val="20"/>
        <w:keepNext w:val="0"/>
        <w:widowControl/>
        <w:numPr>
          <w:ilvl w:val="0"/>
          <w:numId w:val="10"/>
        </w:numPr>
        <w:spacing w:after="90" w:line="360" w:lineRule="auto"/>
        <w:jc w:val="both"/>
      </w:pPr>
      <w:r>
        <w:t>医生标注、独立复核、训练准入、逐病例预测重算和双签晋级形成闭环。</w:t>
      </w:r>
    </w:p>
    <w:p w14:paraId="181BE4A7">
      <w:pPr>
        <w:pStyle w:val="20"/>
        <w:keepNext w:val="0"/>
        <w:widowControl/>
        <w:numPr>
          <w:ilvl w:val="0"/>
          <w:numId w:val="10"/>
        </w:numPr>
        <w:spacing w:after="90" w:line="360" w:lineRule="auto"/>
        <w:jc w:val="both"/>
      </w:pPr>
      <w:r>
        <w:t>模型、数据、身份、配置、阈值、SHA256 和失效原因随病例证据包导出。</w:t>
      </w:r>
    </w:p>
    <w:p w14:paraId="59972EC9">
      <w:pPr>
        <w:pStyle w:val="2"/>
        <w:keepNext/>
        <w:keepLines/>
      </w:pPr>
      <w:bookmarkStart w:id="18" w:name="_Toc14528"/>
      <w:r>
        <w:t>9. 交付物</w:t>
      </w:r>
      <w:bookmarkEnd w:id="18"/>
    </w:p>
    <w:p w14:paraId="3842DE97">
      <w:pPr>
        <w:pStyle w:val="20"/>
        <w:keepNext w:val="0"/>
        <w:widowControl/>
        <w:numPr>
          <w:ilvl w:val="0"/>
          <w:numId w:val="11"/>
        </w:numPr>
        <w:spacing w:after="90" w:line="360" w:lineRule="auto"/>
        <w:jc w:val="both"/>
      </w:pPr>
      <w:r>
        <w:t>可运行的 FastAPI + Vue 平台。</w:t>
      </w:r>
    </w:p>
    <w:p w14:paraId="4AF68AA3">
      <w:pPr>
        <w:pStyle w:val="20"/>
        <w:keepNext w:val="0"/>
        <w:widowControl/>
        <w:numPr>
          <w:ilvl w:val="0"/>
          <w:numId w:val="11"/>
        </w:numPr>
        <w:spacing w:after="90" w:line="360" w:lineRule="auto"/>
        <w:jc w:val="both"/>
      </w:pPr>
      <w:r>
        <w:t>官方 JPEG/MP4 演示闭环。</w:t>
      </w:r>
    </w:p>
    <w:p w14:paraId="433B7571">
      <w:pPr>
        <w:pStyle w:val="20"/>
        <w:keepNext w:val="0"/>
        <w:widowControl/>
        <w:numPr>
          <w:ilvl w:val="0"/>
          <w:numId w:val="11"/>
        </w:numPr>
        <w:spacing w:after="90" w:line="360" w:lineRule="auto"/>
        <w:jc w:val="both"/>
      </w:pPr>
      <w:r>
        <w:t>造影剂设计与分级实验矩阵。</w:t>
      </w:r>
    </w:p>
    <w:p w14:paraId="032DA77B">
      <w:pPr>
        <w:pStyle w:val="20"/>
        <w:keepNext w:val="0"/>
        <w:widowControl/>
        <w:numPr>
          <w:ilvl w:val="0"/>
          <w:numId w:val="11"/>
        </w:numPr>
        <w:spacing w:after="90" w:line="360" w:lineRule="auto"/>
        <w:jc w:val="both"/>
      </w:pPr>
      <w:r>
        <w:t>模型配置、checkpoint manifest、训练与评估报告。</w:t>
      </w:r>
    </w:p>
    <w:p w14:paraId="3E47A4BD">
      <w:pPr>
        <w:pStyle w:val="20"/>
        <w:keepNext w:val="0"/>
        <w:widowControl/>
        <w:numPr>
          <w:ilvl w:val="0"/>
          <w:numId w:val="11"/>
        </w:numPr>
        <w:spacing w:after="90" w:line="360" w:lineRule="auto"/>
        <w:jc w:val="both"/>
      </w:pPr>
      <w:r>
        <w:t>医生复核与人工标注闭环。</w:t>
      </w:r>
    </w:p>
    <w:p w14:paraId="771E398C">
      <w:pPr>
        <w:pStyle w:val="20"/>
        <w:keepNext w:val="0"/>
        <w:widowControl/>
        <w:numPr>
          <w:ilvl w:val="0"/>
          <w:numId w:val="11"/>
        </w:numPr>
        <w:spacing w:after="90" w:line="360" w:lineRule="auto"/>
        <w:jc w:val="both"/>
      </w:pPr>
      <w:r>
        <w:t>CBCT/STL L1/L2 工程验证入口。</w:t>
      </w:r>
    </w:p>
    <w:p w14:paraId="69CB7725">
      <w:pPr>
        <w:pStyle w:val="20"/>
        <w:keepNext w:val="0"/>
        <w:widowControl/>
        <w:numPr>
          <w:ilvl w:val="0"/>
          <w:numId w:val="11"/>
        </w:numPr>
        <w:spacing w:after="90" w:line="360" w:lineRule="auto"/>
        <w:jc w:val="both"/>
      </w:pPr>
      <w:r>
        <w:t>JSON、CSV、Markdown、DICOM SC 和 ZIP 证据包。</w:t>
      </w:r>
    </w:p>
    <w:p w14:paraId="2E5ED1B1">
      <w:pPr>
        <w:pStyle w:val="20"/>
        <w:keepNext w:val="0"/>
        <w:widowControl/>
        <w:numPr>
          <w:ilvl w:val="0"/>
          <w:numId w:val="11"/>
        </w:numPr>
        <w:spacing w:after="90" w:line="360" w:lineRule="auto"/>
        <w:jc w:val="both"/>
      </w:pPr>
      <w:r>
        <w:t>证据索引、严格预检、测试和性能报告。</w:t>
      </w:r>
    </w:p>
    <w:p w14:paraId="031B6802">
      <w:pPr>
        <w:pStyle w:val="2"/>
        <w:keepNext/>
        <w:keepLines/>
      </w:pPr>
      <w:bookmarkStart w:id="19" w:name="_Toc20098"/>
      <w:r>
        <w:t>10. 不可声称范围</w:t>
      </w:r>
      <w:bookmarkEnd w:id="19"/>
    </w:p>
    <w:p w14:paraId="5C4ED1FA">
      <w:pPr>
        <w:pStyle w:val="20"/>
        <w:keepNext w:val="0"/>
        <w:widowControl/>
        <w:numPr>
          <w:ilvl w:val="0"/>
          <w:numId w:val="12"/>
        </w:numPr>
        <w:spacing w:after="90" w:line="360" w:lineRule="auto"/>
        <w:jc w:val="both"/>
      </w:pPr>
      <w:r>
        <w:t>临床级自动诊断或替代医生判断。</w:t>
      </w:r>
    </w:p>
    <w:p w14:paraId="1DB3D6F3">
      <w:pPr>
        <w:pStyle w:val="20"/>
        <w:keepNext w:val="0"/>
        <w:widowControl/>
        <w:numPr>
          <w:ilvl w:val="0"/>
          <w:numId w:val="12"/>
        </w:numPr>
        <w:spacing w:after="90" w:line="360" w:lineRule="auto"/>
        <w:jc w:val="both"/>
      </w:pPr>
      <w:r>
        <w:t>ICG 对颌骨骨髓炎的特异性。</w:t>
      </w:r>
    </w:p>
    <w:p w14:paraId="4A92A1BB">
      <w:pPr>
        <w:pStyle w:val="20"/>
        <w:keepNext w:val="0"/>
        <w:widowControl/>
        <w:numPr>
          <w:ilvl w:val="0"/>
          <w:numId w:val="12"/>
        </w:numPr>
        <w:spacing w:after="90" w:line="360" w:lineRule="auto"/>
        <w:jc w:val="both"/>
      </w:pPr>
      <w:r>
        <w:t>患者指标已产生获准的个体化切除边界。</w:t>
      </w:r>
    </w:p>
    <w:p w14:paraId="6372153F">
      <w:pPr>
        <w:pStyle w:val="20"/>
        <w:keepNext w:val="0"/>
        <w:widowControl/>
        <w:numPr>
          <w:ilvl w:val="0"/>
          <w:numId w:val="12"/>
        </w:numPr>
        <w:spacing w:after="90" w:line="360" w:lineRule="auto"/>
        <w:jc w:val="both"/>
      </w:pPr>
      <w:r>
        <w:t>低活性候选等同于病理坏死骨。</w:t>
      </w:r>
    </w:p>
    <w:p w14:paraId="575F6DE1">
      <w:pPr>
        <w:pStyle w:val="20"/>
        <w:keepNext w:val="0"/>
        <w:widowControl/>
        <w:numPr>
          <w:ilvl w:val="0"/>
          <w:numId w:val="12"/>
        </w:numPr>
        <w:spacing w:after="90" w:line="360" w:lineRule="auto"/>
        <w:jc w:val="both"/>
      </w:pPr>
      <w:r>
        <w:t>置信度等同于切除成功率。</w:t>
      </w:r>
    </w:p>
    <w:p w14:paraId="15CFD626">
      <w:pPr>
        <w:pStyle w:val="20"/>
        <w:keepNext w:val="0"/>
        <w:widowControl/>
        <w:numPr>
          <w:ilvl w:val="0"/>
          <w:numId w:val="12"/>
        </w:numPr>
        <w:spacing w:after="90" w:line="360" w:lineRule="auto"/>
        <w:jc w:val="both"/>
      </w:pPr>
      <w:r>
        <w:t>L1/L2 工程结果等同于真实术中导航。</w:t>
      </w:r>
    </w:p>
    <w:p w14:paraId="03609FC3">
      <w:pPr>
        <w:pStyle w:val="20"/>
        <w:keepNext w:val="0"/>
        <w:widowControl/>
        <w:numPr>
          <w:ilvl w:val="0"/>
          <w:numId w:val="12"/>
        </w:numPr>
        <w:spacing w:after="90" w:line="360" w:lineRule="auto"/>
        <w:jc w:val="both"/>
      </w:pPr>
      <w:r>
        <w:t>新型探针已经完成合成、安全性或人体验证。</w:t>
      </w:r>
    </w:p>
    <w:p w14:paraId="0D578B1E">
      <w:pPr>
        <w:widowControl/>
        <w:spacing w:after="160" w:line="390" w:lineRule="auto"/>
        <w:jc w:val="both"/>
      </w:pPr>
      <w:r>
        <w:t xml:space="preserve">详细来源与哈希见同目录 </w:t>
      </w:r>
      <w:r>
        <w:rPr>
          <w:rFonts w:ascii="Consolas" w:hAnsi="Consolas" w:eastAsia="微软雅黑" w:cs="Consolas"/>
          <w:color w:val="294850"/>
          <w:sz w:val="19"/>
          <w:szCs w:val="19"/>
          <w:shd w:val="clear" w:fill="EEF3F4"/>
        </w:rPr>
        <w:t>competition_evidence_index_20260719_zh.md</w:t>
      </w:r>
      <w:r>
        <w:t xml:space="preserve"> 和 </w:t>
      </w:r>
      <w:r>
        <w:rPr>
          <w:rFonts w:ascii="Consolas" w:hAnsi="Consolas" w:eastAsia="微软雅黑" w:cs="Consolas"/>
          <w:color w:val="294850"/>
          <w:sz w:val="19"/>
          <w:szCs w:val="19"/>
          <w:shd w:val="clear" w:fill="EEF3F4"/>
        </w:rPr>
        <w:t>competition_evidence_index_20260719.json</w:t>
      </w:r>
      <w:r>
        <w:t>。</w:t>
      </w:r>
    </w:p>
    <w:sectPr>
      <w:headerReference r:id="rId12" w:type="default"/>
      <w:footerReference r:id="rId13" w:type="default"/>
      <w:pgSz w:w="11906" w:h="16838"/>
      <w:pgMar w:top="1360" w:right="1440" w:bottom="1300" w:left="1587" w:header="650" w:footer="65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Sans">
    <w:panose1 w:val="00000500000000000000"/>
    <w:charset w:val="86"/>
    <w:family w:val="auto"/>
    <w:pitch w:val="default"/>
    <w:sig w:usb0="00000001" w:usb1="0A0F1810"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39A21">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8FC6EA">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8ACB9">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D5E5CE">
    <w:pPr>
      <w:spacing w:before="0" w:after="0"/>
      <w:jc w:val="center"/>
    </w:pPr>
    <w:r>
      <w:rPr>
        <w:color w:val="5A6870"/>
        <w:sz w:val="17"/>
        <w:szCs w:val="17"/>
      </w:rPr>
      <w:t xml:space="preserve">研发验证版平台  |  第 </w:t>
    </w:r>
    <w:r>
      <w:rPr>
        <w:color w:val="5A6870"/>
        <w:sz w:val="17"/>
        <w:szCs w:val="17"/>
      </w:rPr>
      <w:fldChar w:fldCharType="begin"/>
    </w:r>
    <w:r>
      <w:rPr>
        <w:color w:val="5A6870"/>
        <w:sz w:val="17"/>
        <w:szCs w:val="17"/>
      </w:rPr>
      <w:instrText xml:space="preserve">PAGE</w:instrText>
    </w:r>
    <w:r>
      <w:rPr>
        <w:color w:val="5A6870"/>
        <w:sz w:val="17"/>
        <w:szCs w:val="17"/>
      </w:rPr>
      <w:fldChar w:fldCharType="separate"/>
    </w:r>
    <w:r>
      <w:rPr>
        <w:color w:val="5A6870"/>
        <w:sz w:val="17"/>
        <w:szCs w:val="17"/>
      </w:rPr>
      <w:t>1</w:t>
    </w:r>
    <w:r>
      <w:rPr>
        <w:color w:val="5A6870"/>
        <w:sz w:val="17"/>
        <w:szCs w:val="17"/>
      </w:rPr>
      <w:fldChar w:fldCharType="end"/>
    </w:r>
    <w:r>
      <w:rPr>
        <w:color w:val="5A6870"/>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972B2">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BA407">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72974">
    <w:pPr>
      <w:pStyle w:val="1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06087">
    <w:pPr>
      <w:pBdr>
        <w:bottom w:val="single" w:color="0B6B68" w:sz="4" w:space="4"/>
      </w:pBdr>
      <w:spacing w:after="0"/>
    </w:pPr>
    <w:r>
      <w:rPr>
        <w:color w:val="5A6870"/>
        <w:sz w:val="17"/>
        <w:szCs w:val="17"/>
      </w:rPr>
      <w:t>OSTEO VISION  |  颌骨骨髓炎智能化荧光诊疗技术方案</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387E0">
    <w:pPr>
      <w:pBdr>
        <w:bottom w:val="single" w:color="0B6B68" w:sz="4" w:space="4"/>
      </w:pBdr>
      <w:spacing w:after="0"/>
    </w:pPr>
    <w:r>
      <w:rPr>
        <w:color w:val="5A6870"/>
        <w:sz w:val="17"/>
        <w:szCs w:val="17"/>
      </w:rPr>
      <w:t>OSTEO VISION  |  颌骨骨髓炎智能化荧光诊疗技术方案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0B567A"/>
    <w:multiLevelType w:val="singleLevel"/>
    <w:tmpl w:val="860B567A"/>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
    <w:nsid w:val="8BD39E9B"/>
    <w:multiLevelType w:val="singleLevel"/>
    <w:tmpl w:val="8BD39E9B"/>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2">
    <w:nsid w:val="92A048FD"/>
    <w:multiLevelType w:val="singleLevel"/>
    <w:tmpl w:val="92A048FD"/>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3">
    <w:nsid w:val="CEA4198C"/>
    <w:multiLevelType w:val="singleLevel"/>
    <w:tmpl w:val="CEA4198C"/>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4">
    <w:nsid w:val="D74AC30B"/>
    <w:multiLevelType w:val="singleLevel"/>
    <w:tmpl w:val="D74AC30B"/>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5">
    <w:nsid w:val="FAA9247B"/>
    <w:multiLevelType w:val="singleLevel"/>
    <w:tmpl w:val="FAA9247B"/>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6">
    <w:nsid w:val="070C989C"/>
    <w:multiLevelType w:val="singleLevel"/>
    <w:tmpl w:val="070C989C"/>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7">
    <w:nsid w:val="1F61270A"/>
    <w:multiLevelType w:val="singleLevel"/>
    <w:tmpl w:val="1F61270A"/>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8">
    <w:nsid w:val="45584CD3"/>
    <w:multiLevelType w:val="singleLevel"/>
    <w:tmpl w:val="45584CD3"/>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9">
    <w:nsid w:val="6259B95F"/>
    <w:multiLevelType w:val="singleLevel"/>
    <w:tmpl w:val="6259B95F"/>
    <w:lvl w:ilvl="0" w:tentative="0">
      <w:start w:val="1"/>
      <w:numFmt w:val="decimal"/>
      <w:lvlText w:val="%1."/>
      <w:lvlJc w:val="left"/>
      <w:pPr>
        <w:ind w:left="720" w:hanging="360"/>
      </w:pPr>
      <w:rPr>
        <w:rFonts w:hint="eastAsia" w:ascii="微软雅黑" w:hAnsi="微软雅黑" w:eastAsia="微软雅黑" w:cs="微软雅黑"/>
        <w:color w:val="0B6B68"/>
      </w:rPr>
    </w:lvl>
  </w:abstractNum>
  <w:abstractNum w:abstractNumId="10">
    <w:nsid w:val="6FADF286"/>
    <w:multiLevelType w:val="singleLevel"/>
    <w:tmpl w:val="6FADF286"/>
    <w:lvl w:ilvl="0" w:tentative="0">
      <w:start w:val="1"/>
      <w:numFmt w:val="bullet"/>
      <w:lvlText w:val="•"/>
      <w:lvlJc w:val="left"/>
      <w:pPr>
        <w:ind w:left="720" w:hanging="360"/>
      </w:pPr>
      <w:rPr>
        <w:rFonts w:hint="eastAsia" w:ascii="微软雅黑" w:hAnsi="微软雅黑" w:eastAsia="微软雅黑" w:cs="微软雅黑"/>
        <w:color w:val="0B6B68"/>
      </w:rPr>
    </w:lvl>
  </w:abstractNum>
  <w:abstractNum w:abstractNumId="11">
    <w:nsid w:val="7152E302"/>
    <w:multiLevelType w:val="singleLevel"/>
    <w:tmpl w:val="7152E302"/>
    <w:lvl w:ilvl="0" w:tentative="0">
      <w:start w:val="1"/>
      <w:numFmt w:val="decimal"/>
      <w:lvlText w:val="%1."/>
      <w:lvlJc w:val="left"/>
      <w:pPr>
        <w:ind w:left="720" w:hanging="360"/>
      </w:pPr>
      <w:rPr>
        <w:rFonts w:hint="eastAsia" w:ascii="微软雅黑" w:hAnsi="微软雅黑" w:eastAsia="微软雅黑" w:cs="微软雅黑"/>
        <w:color w:val="0B6B68"/>
      </w:rPr>
    </w:lvl>
  </w:abstractNum>
  <w:num w:numId="1">
    <w:abstractNumId w:val="6"/>
    <w:lvlOverride w:ilvl="0">
      <w:startOverride w:val="1"/>
    </w:lvlOverride>
  </w:num>
  <w:num w:numId="2">
    <w:abstractNumId w:val="3"/>
    <w:lvlOverride w:ilvl="0">
      <w:startOverride w:val="1"/>
    </w:lvlOverride>
  </w:num>
  <w:num w:numId="3">
    <w:abstractNumId w:val="2"/>
    <w:lvlOverride w:ilvl="0">
      <w:startOverride w:val="1"/>
    </w:lvlOverride>
  </w:num>
  <w:num w:numId="4">
    <w:abstractNumId w:val="7"/>
    <w:lvlOverride w:ilvl="0">
      <w:startOverride w:val="1"/>
    </w:lvlOverride>
  </w:num>
  <w:num w:numId="5">
    <w:abstractNumId w:val="1"/>
    <w:lvlOverride w:ilvl="0">
      <w:startOverride w:val="1"/>
    </w:lvlOverride>
  </w:num>
  <w:num w:numId="6">
    <w:abstractNumId w:val="5"/>
    <w:lvlOverride w:ilvl="0">
      <w:startOverride w:val="1"/>
    </w:lvlOverride>
  </w:num>
  <w:num w:numId="7">
    <w:abstractNumId w:val="11"/>
    <w:lvlOverride w:ilvl="0">
      <w:startOverride w:val="1"/>
    </w:lvlOverride>
  </w:num>
  <w:num w:numId="8">
    <w:abstractNumId w:val="10"/>
    <w:lvlOverride w:ilvl="0">
      <w:startOverride w:val="1"/>
    </w:lvlOverride>
  </w:num>
  <w:num w:numId="9">
    <w:abstractNumId w:val="4"/>
    <w:lvlOverride w:ilvl="0">
      <w:startOverride w:val="1"/>
    </w:lvlOverride>
  </w:num>
  <w:num w:numId="10">
    <w:abstractNumId w:val="9"/>
    <w:lvlOverride w:ilvl="0">
      <w:startOverride w:val="1"/>
    </w:lvlOverride>
  </w:num>
  <w:num w:numId="11">
    <w:abstractNumId w:val="0"/>
    <w:lvlOverride w:ilvl="0">
      <w:startOverride w:val="1"/>
    </w:lvlOverride>
  </w:num>
  <w:num w:numId="1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463D17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widowControl w:val="0"/>
      <w:spacing w:before="50" w:beforeLines="50"/>
      <w:ind w:firstLine="641" w:firstLineChars="200"/>
      <w:jc w:val="both"/>
    </w:pPr>
    <w:rPr>
      <w:rFonts w:hint="eastAsia" w:ascii="微软雅黑" w:hAnsi="微软雅黑" w:eastAsia="微软雅黑" w:cs="微软雅黑"/>
      <w:color w:val="18323A"/>
      <w:sz w:val="21"/>
      <w:szCs w:val="21"/>
    </w:rPr>
  </w:style>
  <w:style w:type="paragraph" w:styleId="2">
    <w:name w:val="heading 1"/>
    <w:next w:val="1"/>
    <w:uiPriority w:val="0"/>
    <w:qFormat/>
    <w:pPr>
      <w:pBdr>
        <w:bottom w:val="single" w:color="DDEDEA" w:sz="6" w:space="5"/>
      </w:pBdr>
      <w:spacing w:before="340" w:after="170" w:line="390" w:lineRule="auto"/>
      <w:outlineLvl w:val="0"/>
    </w:pPr>
    <w:rPr>
      <w:rFonts w:hint="eastAsia" w:ascii="微软雅黑" w:hAnsi="微软雅黑" w:eastAsia="微软雅黑" w:cs="微软雅黑"/>
      <w:b/>
      <w:bCs/>
      <w:color w:val="0B6B68"/>
      <w:sz w:val="31"/>
      <w:szCs w:val="31"/>
    </w:rPr>
  </w:style>
  <w:style w:type="paragraph" w:styleId="3">
    <w:name w:val="heading 2"/>
    <w:next w:val="1"/>
    <w:uiPriority w:val="0"/>
    <w:qFormat/>
    <w:pPr>
      <w:spacing w:before="240" w:after="130" w:line="390" w:lineRule="auto"/>
      <w:outlineLvl w:val="1"/>
    </w:pPr>
    <w:rPr>
      <w:rFonts w:hint="eastAsia" w:ascii="微软雅黑" w:hAnsi="微软雅黑" w:eastAsia="微软雅黑" w:cs="微软雅黑"/>
      <w:b/>
      <w:bCs/>
      <w:color w:val="176B87"/>
      <w:sz w:val="25"/>
      <w:szCs w:val="25"/>
    </w:rPr>
  </w:style>
  <w:style w:type="paragraph" w:styleId="4">
    <w:name w:val="heading 3"/>
    <w:next w:val="1"/>
    <w:uiPriority w:val="0"/>
    <w:qFormat/>
    <w:pPr>
      <w:spacing w:before="200" w:after="110" w:line="390" w:lineRule="auto"/>
      <w:outlineLvl w:val="2"/>
    </w:pPr>
    <w:rPr>
      <w:rFonts w:hint="eastAsia" w:ascii="微软雅黑" w:hAnsi="微软雅黑" w:eastAsia="微软雅黑" w:cs="微软雅黑"/>
      <w:b/>
      <w:bCs/>
      <w:color w:val="18323A"/>
      <w:sz w:val="22"/>
      <w:szCs w:val="22"/>
    </w:rPr>
  </w:style>
  <w:style w:type="paragraph" w:styleId="5">
    <w:name w:val="heading 4"/>
    <w:next w:val="1"/>
    <w:uiPriority w:val="0"/>
    <w:qFormat/>
    <w:pPr>
      <w:spacing w:line="390" w:lineRule="auto"/>
    </w:pPr>
    <w:rPr>
      <w:rFonts w:hint="eastAsia" w:ascii="微软雅黑" w:hAnsi="微软雅黑" w:eastAsia="微软雅黑" w:cs="微软雅黑"/>
      <w:i/>
      <w:iCs/>
      <w:color w:val="2E74B5"/>
      <w:sz w:val="21"/>
      <w:szCs w:val="21"/>
    </w:rPr>
  </w:style>
  <w:style w:type="paragraph" w:styleId="6">
    <w:name w:val="heading 5"/>
    <w:next w:val="1"/>
    <w:uiPriority w:val="0"/>
    <w:qFormat/>
    <w:pPr>
      <w:spacing w:line="390" w:lineRule="auto"/>
    </w:pPr>
    <w:rPr>
      <w:rFonts w:hint="eastAsia" w:ascii="微软雅黑" w:hAnsi="微软雅黑" w:eastAsia="微软雅黑" w:cs="微软雅黑"/>
      <w:color w:val="2E74B5"/>
      <w:sz w:val="21"/>
      <w:szCs w:val="21"/>
    </w:rPr>
  </w:style>
  <w:style w:type="paragraph" w:styleId="7">
    <w:name w:val="heading 6"/>
    <w:next w:val="1"/>
    <w:uiPriority w:val="0"/>
    <w:qFormat/>
    <w:pPr>
      <w:spacing w:line="390" w:lineRule="auto"/>
    </w:pPr>
    <w:rPr>
      <w:rFonts w:hint="eastAsia" w:ascii="微软雅黑" w:hAnsi="微软雅黑" w:eastAsia="微软雅黑" w:cs="微软雅黑"/>
      <w:color w:val="1F4D78"/>
      <w:sz w:val="21"/>
      <w:szCs w:val="21"/>
    </w:rPr>
  </w:style>
  <w:style w:type="character" w:default="1" w:styleId="16">
    <w:name w:val="Default Paragraph Font"/>
    <w:uiPriority w:val="0"/>
    <w:semiHidden/>
    <w:qFormat/>
  </w:style>
  <w:style w:type="table" w:default="1" w:styleId="15">
    <w:name w:val="Normal Table"/>
    <w:uiPriority w:val="0"/>
    <w:semiHidden/>
    <w:qFormat/>
    <w:tblPr>
      <w:tblCellMar>
        <w:top w:w="0" w:type="dxa"/>
        <w:left w:w="108" w:type="dxa"/>
        <w:bottom w:w="0" w:type="dxa"/>
        <w:right w:w="108" w:type="dxa"/>
      </w:tblCellMar>
    </w:tblPr>
  </w:style>
  <w:style w:type="paragraph" w:styleId="8">
    <w:name w:val="endnote text"/>
    <w:link w:val="22"/>
    <w:uiPriority w:val="99"/>
    <w:semiHidden/>
    <w:unhideWhenUsed/>
    <w:qFormat/>
    <w:pPr>
      <w:spacing w:after="0" w:line="240" w:lineRule="auto"/>
    </w:pPr>
    <w:rPr>
      <w:rFonts w:hint="eastAsia" w:ascii="微软雅黑" w:hAnsi="微软雅黑" w:eastAsia="微软雅黑" w:cs="微软雅黑"/>
      <w:color w:val="18323A"/>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uiPriority w:val="0"/>
  </w:style>
  <w:style w:type="paragraph" w:styleId="12">
    <w:name w:val="footnote text"/>
    <w:link w:val="21"/>
    <w:uiPriority w:val="99"/>
    <w:semiHidden/>
    <w:unhideWhenUsed/>
    <w:qFormat/>
    <w:pPr>
      <w:spacing w:after="0" w:line="240" w:lineRule="auto"/>
    </w:pPr>
    <w:rPr>
      <w:rFonts w:hint="eastAsia" w:ascii="微软雅黑" w:hAnsi="微软雅黑" w:eastAsia="微软雅黑" w:cs="微软雅黑"/>
      <w:color w:val="18323A"/>
      <w:sz w:val="20"/>
      <w:szCs w:val="20"/>
    </w:rPr>
  </w:style>
  <w:style w:type="paragraph" w:styleId="13">
    <w:name w:val="toc 2"/>
    <w:basedOn w:val="1"/>
    <w:next w:val="1"/>
    <w:uiPriority w:val="0"/>
    <w:pPr>
      <w:ind w:left="420" w:leftChars="200"/>
    </w:pPr>
  </w:style>
  <w:style w:type="paragraph" w:styleId="14">
    <w:name w:val="Title"/>
    <w:uiPriority w:val="0"/>
    <w:qFormat/>
    <w:pPr>
      <w:spacing w:before="300" w:after="300" w:line="390" w:lineRule="auto"/>
      <w:jc w:val="center"/>
    </w:pPr>
    <w:rPr>
      <w:rFonts w:hint="eastAsia" w:ascii="微软雅黑" w:hAnsi="微软雅黑" w:eastAsia="微软雅黑" w:cs="微软雅黑"/>
      <w:b/>
      <w:bCs/>
      <w:color w:val="18323A"/>
      <w:sz w:val="48"/>
      <w:szCs w:val="48"/>
    </w:rPr>
  </w:style>
  <w:style w:type="character" w:styleId="17">
    <w:name w:val="endnote reference"/>
    <w:uiPriority w:val="99"/>
    <w:semiHidden/>
    <w:unhideWhenUsed/>
    <w:qFormat/>
    <w:rPr>
      <w:vertAlign w:val="superscript"/>
    </w:rPr>
  </w:style>
  <w:style w:type="character" w:styleId="18">
    <w:name w:val="Hyperlink"/>
    <w:uiPriority w:val="99"/>
    <w:unhideWhenUsed/>
    <w:qFormat/>
    <w:rPr>
      <w:color w:val="0563C1"/>
      <w:u w:val="single"/>
    </w:rPr>
  </w:style>
  <w:style w:type="character" w:styleId="19">
    <w:name w:val="footnote reference"/>
    <w:uiPriority w:val="99"/>
    <w:semiHidden/>
    <w:unhideWhenUsed/>
    <w:qFormat/>
    <w:rPr>
      <w:vertAlign w:val="superscript"/>
    </w:rPr>
  </w:style>
  <w:style w:type="paragraph" w:styleId="20">
    <w:name w:val="List Paragraph"/>
    <w:uiPriority w:val="0"/>
    <w:qFormat/>
    <w:pPr>
      <w:spacing w:line="390" w:lineRule="auto"/>
    </w:pPr>
    <w:rPr>
      <w:rFonts w:hint="eastAsia" w:ascii="微软雅黑" w:hAnsi="微软雅黑" w:eastAsia="微软雅黑" w:cs="微软雅黑"/>
      <w:color w:val="18323A"/>
      <w:sz w:val="21"/>
      <w:szCs w:val="21"/>
    </w:rPr>
  </w:style>
  <w:style w:type="character" w:customStyle="1" w:styleId="21">
    <w:name w:val="Footnote Text Char"/>
    <w:link w:val="12"/>
    <w:uiPriority w:val="99"/>
    <w:semiHidden/>
    <w:unhideWhenUsed/>
    <w:rPr>
      <w:sz w:val="20"/>
      <w:szCs w:val="20"/>
    </w:rPr>
  </w:style>
  <w:style w:type="character" w:customStyle="1" w:styleId="22">
    <w:name w:val="Endnote Text Char"/>
    <w:link w:val="8"/>
    <w:uiPriority w:val="99"/>
    <w:semiHidden/>
    <w:unhideWhenUsed/>
    <w:qFormat/>
    <w:rPr>
      <w:sz w:val="20"/>
      <w:szCs w:val="20"/>
    </w:rPr>
  </w:style>
  <w:style w:type="paragraph" w:customStyle="1" w:styleId="23">
    <w:name w:val="TOC Heading"/>
    <w:uiPriority w:val="0"/>
    <w:qFormat/>
    <w:pPr>
      <w:pBdr>
        <w:bottom w:val="single" w:color="0B6B68" w:sz="10" w:space="8"/>
      </w:pBdr>
      <w:spacing w:before="120" w:after="260" w:line="390" w:lineRule="auto"/>
    </w:pPr>
    <w:rPr>
      <w:rFonts w:hint="eastAsia" w:ascii="微软雅黑" w:hAnsi="微软雅黑" w:eastAsia="微软雅黑" w:cs="微软雅黑"/>
      <w:b/>
      <w:bCs/>
      <w:color w:val="18323A"/>
      <w:sz w:val="34"/>
      <w:szCs w:val="3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0</TotalTime>
  <ScaleCrop>false</ScaleCrop>
  <LinksUpToDate>false</LinksUpToDate>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2026-07-19T10:59:00Z</dcterms:created>
  <dc:creator>Osteo Vision Team</dc:creator>
  <dc:description>研发验证版平台技术方案，包含患者安全边界、荧光造影剂、多模态融合、AI 辅助判读与三维工程验证。</dc:description>
  <cp:keywords>颌骨骨髓炎,荧光显微镜,ICG,医学图像融合,辅助判读,患者安全</cp:keywords>
  <cp:lastModifiedBy>876762330</cp:lastModifiedBy>
  <dcterms:modified xsi:type="dcterms:W3CDTF">2026-07-19T10:59:54Z</dcterms:modified>
  <dc:subject>颌骨骨髓炎智能化荧光诊疗比赛技术方案</dc:subject>
  <dc:title>颌骨骨髓炎智能化荧光诊疗技术方案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9549316A8E8542B1B78FB4DEA907F878_12</vt:lpwstr>
  </property>
</Properties>
</file>