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a398afd01e34c01" /></Relationships>
</file>

<file path=word/document.xml><?xml version="1.0" encoding="utf-8"?>
<w:document xmlns:w="http://schemas.openxmlformats.org/wordprocessingml/2006/main">
  <w:body>
    <w:p>
      <w:pPr>
        <w:spacing w:before="3000"/>
      </w:pPr>
    </w:p>
    <w:p>
      <w:r>
        <w:rPr>
          <w:b/>
          <w:color w:val="1F3864"/>
          <w:sz w:val="52"/>
          <w:szCs w:val="52"/>
        </w:rPr>
        <w:t xml:space="preserve">面向颌骨骨髓炎的智能化荧光诊疗方案</w:t>
      </w:r>
    </w:p>
    <w:p/>
    <w:p>
      <w:r>
        <w:rPr>
          <w:color w:val="2E75B6"/>
          <w:sz w:val="36"/>
          <w:szCs w:val="36"/>
        </w:rPr>
        <w:t xml:space="preserve">项目资料汇总报告</w:t>
      </w:r>
    </w:p>
    <w:p/>
    <w:p>
      <w:r>
        <w:rPr>
          <w:color w:val="666666"/>
          <w:sz w:val="28"/>
          <w:szCs w:val="28"/>
        </w:rPr>
        <w:t xml:space="preserve">华西口腔 × 成都科奥达光电技术有限公司</w:t>
      </w:r>
    </w:p>
    <w:p/>
    <w:p>
      <w:r>
        <w:rPr>
          <w:color w:val="999999"/>
          <w:sz w:val="24"/>
          <w:szCs w:val="24"/>
        </w:rPr>
        <w:t xml:space="preserve">编制日期：2026年5月30日</w:t>
      </w:r>
    </w:p>
    <w:p>
      <w:r>
        <w:rPr>
          <w:color w:val="999999"/>
          <w:sz w:val="24"/>
          <w:szCs w:val="24"/>
        </w:rPr>
        <w:t xml:space="preserve">论文数量：60 篇（全部附有 PDF）</w:t>
      </w:r>
    </w:p>
    <w:p>
      <w:r>
        <w:rPr>
          <w:color w:val="999999"/>
          <w:sz w:val="24"/>
          <w:szCs w:val="24"/>
        </w:rPr>
        <w:t xml:space="preserve">数据集数量：35 个</w:t>
      </w:r>
    </w:p>
    <w:p>
      <w:r>
        <w:rPr>
          <w:color w:val="999999"/>
          <w:sz w:val="24"/>
          <w:szCs w:val="24"/>
        </w:rPr>
        <w:t xml:space="preserve">可用开源模型：9 个</w:t>
      </w:r>
    </w:p>
    <w:p>
      <w:r>
        <w:br w:type="page"/>
      </w:r>
    </w:p>
    <w:p>
      <w:pPr>
        <w:pStyle w:val="Heading1"/>
      </w:pPr>
      <w:r>
        <w:rPr/>
        <w:t xml:space="preserve">目  录</w:t>
      </w:r>
    </w:p>
    <w:p>
      <w:r>
        <w:fldChar w:fldCharType="begin"/>
      </w:r>
      <w:r>
        <w:instrText xml:space="preserve"> TOC \o "1-3" \h \z \u </w:instrText>
      </w:r>
      <w:r>
        <w:fldChar w:fldCharType="separate"/>
      </w:r>
      <w:r>
        <w:t xml:space="preserve">（请在 Word 中右键点击此处 → 更新域 → 更新整个目录）</w:t>
      </w:r>
      <w:r>
        <w:fldChar w:fldCharType="end"/>
      </w:r>
    </w:p>
    <w:p>
      <w:r>
        <w:br w:type="page"/>
      </w:r>
    </w:p>
    <w:p>
      <w:pPr>
        <w:pStyle w:val="Heading1"/>
      </w:pPr>
      <w:r>
        <w:rPr/>
        <w:t xml:space="preserve">一、项目背景</w:t>
      </w:r>
    </w:p>
    <w:p>
      <w:r>
        <w:rPr/>
        <w:t xml:space="preserve">本项目参加华西口腔与成都科奥达光电技术有限公司联合举办的竞赛，为企业自研口腔数字观察仪（可见光+荧光双通道）开发面向颌骨骨髓炎手术的数字化辅助系统。</w:t>
      </w:r>
    </w:p>
    <w:p>
      <w:r>
        <w:rPr/>
        <w:t xml:space="preserve">颌骨骨髓炎是口腔颌面外科的常见疾病，其病灶边界隐匿，坏死骨、炎症组织和潜在活性骨之间缺乏稳定的术中判别标准，仅凭肉眼和临床经验易造成误判。本方案利用企业已有的吲哚菁绿（ICG）造影剂，结合白光/荧光双通道，通过多模态图像融合和AI辅助判读，为术中提供病灶边界风险提示。</w:t>
      </w:r>
    </w:p>
    <w:p>
      <w:pPr>
        <w:pStyle w:val="Heading2"/>
      </w:pPr>
      <w:r>
        <w:rPr/>
        <w:t xml:space="preserve">1.1 赛题设置</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赛点</w:t>
            </w:r>
          </w:p>
        </w:tc>
        <w:tc>
          <w:tcPr>
            <w:shd w:val="clear" w:color="auto" w:fill="2E75B6"/>
          </w:tcPr>
          <w:p>
            <w:pPr>
              <w:jc w:val="center"/>
            </w:pPr>
            <w:r>
              <w:rPr>
                <w:b/>
                <w:color w:val="FFFFFF"/>
                <w:sz w:val="20"/>
              </w:rPr>
              <w:t xml:space="preserve">内容</w:t>
            </w:r>
          </w:p>
        </w:tc>
        <w:tc>
          <w:tcPr>
            <w:shd w:val="clear" w:color="auto" w:fill="2E75B6"/>
          </w:tcPr>
          <w:p>
            <w:pPr>
              <w:jc w:val="center"/>
            </w:pPr>
            <w:r>
              <w:rPr>
                <w:b/>
                <w:color w:val="FFFFFF"/>
                <w:sz w:val="20"/>
              </w:rPr>
              <w:t xml:space="preserve">难度</w:t>
            </w:r>
          </w:p>
        </w:tc>
      </w:tr>
      <w:tr>
        <w:tc>
          <w:tcPr>
            <w:shd w:val="clear" w:color="auto" w:fill="F2F7FC"/>
          </w:tcPr>
          <w:p>
            <w:r>
              <w:rPr>
                <w:sz w:val="20"/>
              </w:rPr>
              <w:t xml:space="preserve">赛点一</w:t>
            </w:r>
          </w:p>
        </w:tc>
        <w:tc>
          <w:tcPr>
            <w:shd w:val="clear" w:color="auto" w:fill="F2F7FC"/>
          </w:tcPr>
          <w:p>
            <w:r>
              <w:rPr>
                <w:sz w:val="20"/>
              </w:rPr>
              <w:t xml:space="preserve">荧光图像伪彩色增强，辅助医生判读</w:t>
            </w:r>
          </w:p>
        </w:tc>
        <w:tc>
          <w:tcPr>
            <w:shd w:val="clear" w:color="auto" w:fill="F2F7FC"/>
          </w:tcPr>
          <w:p>
            <w:r>
              <w:rPr>
                <w:sz w:val="20"/>
              </w:rPr>
              <w:t xml:space="preserve">★★</w:t>
            </w:r>
          </w:p>
        </w:tc>
      </w:tr>
      <w:tr>
        <w:tc>
          <w:tcPr>
            <w:shd w:val="clear" w:color="auto" w:fill="FFFFFF"/>
          </w:tcPr>
          <w:p>
            <w:r>
              <w:rPr>
                <w:sz w:val="20"/>
              </w:rPr>
              <w:t xml:space="preserve">赛点二</w:t>
            </w:r>
          </w:p>
        </w:tc>
        <w:tc>
          <w:tcPr>
            <w:shd w:val="clear" w:color="auto" w:fill="FFFFFF"/>
          </w:tcPr>
          <w:p>
            <w:r>
              <w:rPr>
                <w:sz w:val="20"/>
              </w:rPr>
              <w:t xml:space="preserve">基于目标检测/分割模型的智能辅助诊断，自动标注病灶区域</w:t>
            </w:r>
          </w:p>
        </w:tc>
        <w:tc>
          <w:tcPr>
            <w:shd w:val="clear" w:color="auto" w:fill="FFFFFF"/>
          </w:tcPr>
          <w:p>
            <w:r>
              <w:rPr>
                <w:sz w:val="20"/>
              </w:rPr>
              <w:t xml:space="preserve">★★★</w:t>
            </w:r>
          </w:p>
        </w:tc>
      </w:tr>
      <w:tr>
        <w:tc>
          <w:tcPr>
            <w:shd w:val="clear" w:color="auto" w:fill="F2F7FC"/>
          </w:tcPr>
          <w:p>
            <w:r>
              <w:rPr>
                <w:sz w:val="20"/>
              </w:rPr>
              <w:t xml:space="preserve">赛点三</w:t>
            </w:r>
          </w:p>
        </w:tc>
        <w:tc>
          <w:tcPr>
            <w:shd w:val="clear" w:color="auto" w:fill="F2F7FC"/>
          </w:tcPr>
          <w:p>
            <w:r>
              <w:rPr>
                <w:sz w:val="20"/>
              </w:rPr>
              <w:t xml:space="preserve">DICOM标准输出 + 远程协作/会诊功能（扩展项）</w:t>
            </w:r>
          </w:p>
        </w:tc>
        <w:tc>
          <w:tcPr>
            <w:shd w:val="clear" w:color="auto" w:fill="F2F7FC"/>
          </w:tcPr>
          <w:p>
            <w:r>
              <w:rPr>
                <w:sz w:val="20"/>
              </w:rPr>
              <w:t xml:space="preserve">★</w:t>
            </w:r>
          </w:p>
        </w:tc>
      </w:tr>
    </w:tbl>
    <w:p>
      <w:pPr>
        <w:pStyle w:val="Heading2"/>
      </w:pPr>
      <w:r>
        <w:rPr/>
        <w:t xml:space="preserve">1.2 评审权重</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维度</w:t>
            </w:r>
          </w:p>
        </w:tc>
        <w:tc>
          <w:tcPr>
            <w:shd w:val="clear" w:color="auto" w:fill="2E75B6"/>
          </w:tcPr>
          <w:p>
            <w:pPr>
              <w:jc w:val="center"/>
            </w:pPr>
            <w:r>
              <w:rPr>
                <w:b/>
                <w:color w:val="FFFFFF"/>
                <w:sz w:val="20"/>
              </w:rPr>
              <w:t xml:space="preserve">权重</w:t>
            </w:r>
          </w:p>
        </w:tc>
        <w:tc>
          <w:tcPr>
            <w:shd w:val="clear" w:color="auto" w:fill="2E75B6"/>
          </w:tcPr>
          <w:p>
            <w:pPr>
              <w:jc w:val="center"/>
            </w:pPr>
            <w:r>
              <w:rPr>
                <w:b/>
                <w:color w:val="FFFFFF"/>
                <w:sz w:val="20"/>
              </w:rPr>
              <w:t xml:space="preserve">本方案优势</w:t>
            </w:r>
          </w:p>
        </w:tc>
      </w:tr>
      <w:tr>
        <w:tc>
          <w:tcPr>
            <w:shd w:val="clear" w:color="auto" w:fill="F2F7FC"/>
          </w:tcPr>
          <w:p>
            <w:r>
              <w:rPr>
                <w:sz w:val="20"/>
              </w:rPr>
              <w:t xml:space="preserve">先进性</w:t>
            </w:r>
          </w:p>
        </w:tc>
        <w:tc>
          <w:tcPr>
            <w:shd w:val="clear" w:color="auto" w:fill="F2F7FC"/>
          </w:tcPr>
          <w:p>
            <w:r>
              <w:rPr>
                <w:sz w:val="20"/>
              </w:rPr>
              <w:t xml:space="preserve">40%</w:t>
            </w:r>
          </w:p>
        </w:tc>
        <w:tc>
          <w:tcPr>
            <w:shd w:val="clear" w:color="auto" w:fill="F2F7FC"/>
          </w:tcPr>
          <w:p>
            <w:r>
              <w:rPr>
                <w:sz w:val="20"/>
              </w:rPr>
              <w:t xml:space="preserve">EGNet边界感知分割 + FRS损失 + 不确定性热图</w:t>
            </w:r>
          </w:p>
        </w:tc>
      </w:tr>
      <w:tr>
        <w:tc>
          <w:tcPr>
            <w:shd w:val="clear" w:color="auto" w:fill="FFFFFF"/>
          </w:tcPr>
          <w:p>
            <w:r>
              <w:rPr>
                <w:sz w:val="20"/>
              </w:rPr>
              <w:t xml:space="preserve">可行性</w:t>
            </w:r>
          </w:p>
        </w:tc>
        <w:tc>
          <w:tcPr>
            <w:shd w:val="clear" w:color="auto" w:fill="FFFFFF"/>
          </w:tcPr>
          <w:p>
            <w:r>
              <w:rPr>
                <w:sz w:val="20"/>
              </w:rPr>
              <w:t xml:space="preserve">30%</w:t>
            </w:r>
          </w:p>
        </w:tc>
        <w:tc>
          <w:tcPr>
            <w:shd w:val="clear" w:color="auto" w:fill="FFFFFF"/>
          </w:tcPr>
          <w:p>
            <w:r>
              <w:rPr>
                <w:sz w:val="20"/>
              </w:rPr>
              <w:t xml:space="preserve">ICG已有CE认证；9个开源模型可直接使用</w:t>
            </w:r>
          </w:p>
        </w:tc>
      </w:tr>
      <w:tr>
        <w:tc>
          <w:tcPr>
            <w:shd w:val="clear" w:color="auto" w:fill="F2F7FC"/>
          </w:tcPr>
          <w:p>
            <w:r>
              <w:rPr>
                <w:sz w:val="20"/>
              </w:rPr>
              <w:t xml:space="preserve">完整度</w:t>
            </w:r>
          </w:p>
        </w:tc>
        <w:tc>
          <w:tcPr>
            <w:shd w:val="clear" w:color="auto" w:fill="F2F7FC"/>
          </w:tcPr>
          <w:p>
            <w:r>
              <w:rPr>
                <w:sz w:val="20"/>
              </w:rPr>
              <w:t xml:space="preserve">20%</w:t>
            </w:r>
          </w:p>
        </w:tc>
        <w:tc>
          <w:tcPr>
            <w:shd w:val="clear" w:color="auto" w:fill="F2F7FC"/>
          </w:tcPr>
          <w:p>
            <w:r>
              <w:rPr>
                <w:sz w:val="20"/>
              </w:rPr>
              <w:t xml:space="preserve">术前ROI→术中融合→边界分割→风险提示→DICOM</w:t>
            </w:r>
          </w:p>
        </w:tc>
      </w:tr>
      <w:tr>
        <w:tc>
          <w:tcPr>
            <w:shd w:val="clear" w:color="auto" w:fill="FFFFFF"/>
          </w:tcPr>
          <w:p>
            <w:r>
              <w:rPr>
                <w:sz w:val="20"/>
              </w:rPr>
              <w:t xml:space="preserve">经济性</w:t>
            </w:r>
          </w:p>
        </w:tc>
        <w:tc>
          <w:tcPr>
            <w:shd w:val="clear" w:color="auto" w:fill="FFFFFF"/>
          </w:tcPr>
          <w:p>
            <w:r>
              <w:rPr>
                <w:sz w:val="20"/>
              </w:rPr>
              <w:t xml:space="preserve">10%</w:t>
            </w:r>
          </w:p>
        </w:tc>
        <w:tc>
          <w:tcPr>
            <w:shd w:val="clear" w:color="auto" w:fill="FFFFFF"/>
          </w:tcPr>
          <w:p>
            <w:r>
              <w:rPr>
                <w:sz w:val="20"/>
              </w:rPr>
              <w:t xml:space="preserve">ICG成本低（企业已有）；开源框架</w:t>
            </w:r>
          </w:p>
        </w:tc>
      </w:tr>
    </w:tbl>
    <w:p>
      <w:pPr>
        <w:pStyle w:val="Heading1"/>
      </w:pPr>
      <w:r>
        <w:rPr/>
        <w:t xml:space="preserve">二、文献调研成果</w:t>
      </w:r>
    </w:p>
    <w:p>
      <w:r>
        <w:rPr/>
        <w:t xml:space="preserve">共收录60篇论文，全部附有本地PDF文件，覆盖六大类别。</w:t>
      </w:r>
    </w:p>
    <w:p>
      <w:pPr>
        <w:pStyle w:val="Heading2"/>
      </w:pPr>
      <w:r>
        <w:rPr/>
        <w:t xml:space="preserve">2.1 论文分类统计</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类别</w:t>
            </w:r>
          </w:p>
        </w:tc>
        <w:tc>
          <w:tcPr>
            <w:shd w:val="clear" w:color="auto" w:fill="2E75B6"/>
          </w:tcPr>
          <w:p>
            <w:pPr>
              <w:jc w:val="center"/>
            </w:pPr>
            <w:r>
              <w:rPr>
                <w:b/>
                <w:color w:val="FFFFFF"/>
                <w:sz w:val="20"/>
              </w:rPr>
              <w:t xml:space="preserve">数量</w:t>
            </w:r>
          </w:p>
        </w:tc>
        <w:tc>
          <w:tcPr>
            <w:shd w:val="clear" w:color="auto" w:fill="2E75B6"/>
          </w:tcPr>
          <w:p>
            <w:pPr>
              <w:jc w:val="center"/>
            </w:pPr>
            <w:r>
              <w:rPr>
                <w:b/>
                <w:color w:val="FFFFFF"/>
                <w:sz w:val="20"/>
              </w:rPr>
              <w:t xml:space="preserve">代表性论文/方法</w:t>
            </w:r>
          </w:p>
        </w:tc>
      </w:tr>
      <w:tr>
        <w:tc>
          <w:tcPr>
            <w:shd w:val="clear" w:color="auto" w:fill="F2F7FC"/>
          </w:tcPr>
          <w:p>
            <w:r>
              <w:rPr>
                <w:sz w:val="20"/>
              </w:rPr>
              <w:t xml:space="preserve">ICG荧光</w:t>
            </w:r>
          </w:p>
        </w:tc>
        <w:tc>
          <w:tcPr>
            <w:shd w:val="clear" w:color="auto" w:fill="F2F7FC"/>
          </w:tcPr>
          <w:p>
            <w:r>
              <w:rPr>
                <w:sz w:val="20"/>
              </w:rPr>
              <w:t xml:space="preserve">17</w:t>
            </w:r>
          </w:p>
        </w:tc>
        <w:tc>
          <w:tcPr>
            <w:shd w:val="clear" w:color="auto" w:fill="F2F7FC"/>
          </w:tcPr>
          <w:p>
            <w:r>
              <w:rPr>
                <w:sz w:val="20"/>
              </w:rPr>
              <w:t xml:space="preserve">ICG骨灌注综述、EAES共识、ICG牙科成像、显微镜ICG AI</w:t>
            </w:r>
          </w:p>
        </w:tc>
      </w:tr>
      <w:tr>
        <w:tc>
          <w:tcPr>
            <w:shd w:val="clear" w:color="auto" w:fill="FFFFFF"/>
          </w:tcPr>
          <w:p>
            <w:r>
              <w:rPr>
                <w:sz w:val="20"/>
              </w:rPr>
              <w:t xml:space="preserve">模型方法</w:t>
            </w:r>
          </w:p>
        </w:tc>
        <w:tc>
          <w:tcPr>
            <w:shd w:val="clear" w:color="auto" w:fill="FFFFFF"/>
          </w:tcPr>
          <w:p>
            <w:r>
              <w:rPr>
                <w:sz w:val="20"/>
              </w:rPr>
              <w:t xml:space="preserve">17</w:t>
            </w:r>
          </w:p>
        </w:tc>
        <w:tc>
          <w:tcPr>
            <w:shd w:val="clear" w:color="auto" w:fill="FFFFFF"/>
          </w:tcPr>
          <w:p>
            <w:r>
              <w:rPr>
                <w:sz w:val="20"/>
              </w:rPr>
              <w:t xml:space="preserve">U-Net、nnU-Net、TransUNet、Swin UNETR、MedSAM、EGNet</w:t>
            </w:r>
          </w:p>
        </w:tc>
      </w:tr>
      <w:tr>
        <w:tc>
          <w:tcPr>
            <w:shd w:val="clear" w:color="auto" w:fill="F2F7FC"/>
          </w:tcPr>
          <w:p>
            <w:r>
              <w:rPr>
                <w:sz w:val="20"/>
              </w:rPr>
              <w:t xml:space="preserve">口腔AI</w:t>
            </w:r>
          </w:p>
        </w:tc>
        <w:tc>
          <w:tcPr>
            <w:shd w:val="clear" w:color="auto" w:fill="F2F7FC"/>
          </w:tcPr>
          <w:p>
            <w:r>
              <w:rPr>
                <w:sz w:val="20"/>
              </w:rPr>
              <w:t xml:space="preserve">9</w:t>
            </w:r>
          </w:p>
        </w:tc>
        <w:tc>
          <w:tcPr>
            <w:shd w:val="clear" w:color="auto" w:fill="F2F7FC"/>
          </w:tcPr>
          <w:p>
            <w:r>
              <w:rPr>
                <w:sz w:val="20"/>
              </w:rPr>
              <w:t xml:space="preserve">全景片骨溶解检测、半监督骨髓炎分类、CBCT分割</w:t>
            </w:r>
          </w:p>
        </w:tc>
      </w:tr>
      <w:tr>
        <w:tc>
          <w:tcPr>
            <w:shd w:val="clear" w:color="auto" w:fill="FFFFFF"/>
          </w:tcPr>
          <w:p>
            <w:r>
              <w:rPr>
                <w:sz w:val="20"/>
              </w:rPr>
              <w:t xml:space="preserve">病种影像</w:t>
            </w:r>
          </w:p>
        </w:tc>
        <w:tc>
          <w:tcPr>
            <w:shd w:val="clear" w:color="auto" w:fill="FFFFFF"/>
          </w:tcPr>
          <w:p>
            <w:r>
              <w:rPr>
                <w:sz w:val="20"/>
              </w:rPr>
              <w:t xml:space="preserve">8</w:t>
            </w:r>
          </w:p>
        </w:tc>
        <w:tc>
          <w:tcPr>
            <w:shd w:val="clear" w:color="auto" w:fill="FFFFFF"/>
          </w:tcPr>
          <w:p>
            <w:r>
              <w:rPr>
                <w:sz w:val="20"/>
              </w:rPr>
              <w:t xml:space="preserve">MRI纹理分析、多中心影像组学、多模态比较</w:t>
            </w:r>
          </w:p>
        </w:tc>
      </w:tr>
      <w:tr>
        <w:tc>
          <w:tcPr>
            <w:shd w:val="clear" w:color="auto" w:fill="F2F7FC"/>
          </w:tcPr>
          <w:p>
            <w:r>
              <w:rPr>
                <w:sz w:val="20"/>
              </w:rPr>
              <w:t xml:space="preserve">AI方法</w:t>
            </w:r>
          </w:p>
        </w:tc>
        <w:tc>
          <w:tcPr>
            <w:shd w:val="clear" w:color="auto" w:fill="F2F7FC"/>
          </w:tcPr>
          <w:p>
            <w:r>
              <w:rPr>
                <w:sz w:val="20"/>
              </w:rPr>
              <w:t xml:space="preserve">7</w:t>
            </w:r>
          </w:p>
        </w:tc>
        <w:tc>
          <w:tcPr>
            <w:shd w:val="clear" w:color="auto" w:fill="F2F7FC"/>
          </w:tcPr>
          <w:p>
            <w:r>
              <w:rPr>
                <w:sz w:val="20"/>
              </w:rPr>
              <w:t xml:space="preserve">DL骨髓炎诊断、颌骨形状分析、MRI骨髓分割</w:t>
            </w:r>
          </w:p>
        </w:tc>
      </w:tr>
      <w:tr>
        <w:tc>
          <w:tcPr>
            <w:shd w:val="clear" w:color="auto" w:fill="FFFFFF"/>
          </w:tcPr>
          <w:p>
            <w:r>
              <w:rPr>
                <w:sz w:val="20"/>
              </w:rPr>
              <w:t xml:space="preserve">相关方法</w:t>
            </w:r>
          </w:p>
        </w:tc>
        <w:tc>
          <w:tcPr>
            <w:shd w:val="clear" w:color="auto" w:fill="FFFFFF"/>
          </w:tcPr>
          <w:p>
            <w:r>
              <w:rPr>
                <w:sz w:val="20"/>
              </w:rPr>
              <w:t xml:space="preserve">2</w:t>
            </w:r>
          </w:p>
        </w:tc>
        <w:tc>
          <w:tcPr>
            <w:shd w:val="clear" w:color="auto" w:fill="FFFFFF"/>
          </w:tcPr>
          <w:p>
            <w:r>
              <w:rPr>
                <w:sz w:val="20"/>
              </w:rPr>
              <w:t xml:space="preserve">骨髓感染免疫、荧光引导评估</w:t>
            </w:r>
          </w:p>
        </w:tc>
      </w:tr>
    </w:tbl>
    <w:p>
      <w:pPr>
        <w:pStyle w:val="Heading2"/>
      </w:pPr>
      <w:r>
        <w:rPr/>
        <w:t xml:space="preserve">2.2 带代码/模型的论文（9篇）</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gridCol/>
      </w:tblGrid>
      <w:tr>
        <w:tc>
          <w:tcPr>
            <w:shd w:val="clear" w:color="auto" w:fill="2E75B6"/>
          </w:tcPr>
          <w:p>
            <w:pPr>
              <w:jc w:val="center"/>
            </w:pPr>
            <w:r>
              <w:rPr>
                <w:b/>
                <w:color w:val="FFFFFF"/>
                <w:sz w:val="20"/>
              </w:rPr>
              <w:t xml:space="preserve">编号</w:t>
            </w:r>
          </w:p>
        </w:tc>
        <w:tc>
          <w:tcPr>
            <w:shd w:val="clear" w:color="auto" w:fill="2E75B6"/>
          </w:tcPr>
          <w:p>
            <w:pPr>
              <w:jc w:val="center"/>
            </w:pPr>
            <w:r>
              <w:rPr>
                <w:b/>
                <w:color w:val="FFFFFF"/>
                <w:sz w:val="20"/>
              </w:rPr>
              <w:t xml:space="preserve">模型</w:t>
            </w:r>
          </w:p>
        </w:tc>
        <w:tc>
          <w:tcPr>
            <w:shd w:val="clear" w:color="auto" w:fill="2E75B6"/>
          </w:tcPr>
          <w:p>
            <w:pPr>
              <w:jc w:val="center"/>
            </w:pPr>
            <w:r>
              <w:rPr>
                <w:b/>
                <w:color w:val="FFFFFF"/>
                <w:sz w:val="20"/>
              </w:rPr>
              <w:t xml:space="preserve">代码链接</w:t>
            </w:r>
          </w:p>
        </w:tc>
        <w:tc>
          <w:tcPr>
            <w:shd w:val="clear" w:color="auto" w:fill="2E75B6"/>
          </w:tcPr>
          <w:p>
            <w:pPr>
              <w:jc w:val="center"/>
            </w:pPr>
            <w:r>
              <w:rPr>
                <w:b/>
                <w:color w:val="FFFFFF"/>
                <w:sz w:val="20"/>
              </w:rPr>
              <w:t xml:space="preserve">引用数</w:t>
            </w:r>
          </w:p>
        </w:tc>
      </w:tr>
      <w:tr>
        <w:tc>
          <w:tcPr>
            <w:shd w:val="clear" w:color="auto" w:fill="F2F7FC"/>
          </w:tcPr>
          <w:p>
            <w:r>
              <w:rPr>
                <w:sz w:val="20"/>
              </w:rPr>
              <w:t xml:space="preserve">P019</w:t>
            </w:r>
          </w:p>
        </w:tc>
        <w:tc>
          <w:tcPr>
            <w:shd w:val="clear" w:color="auto" w:fill="F2F7FC"/>
          </w:tcPr>
          <w:p>
            <w:r>
              <w:rPr>
                <w:sz w:val="20"/>
              </w:rPr>
              <w:t xml:space="preserve">nnU-Net</w:t>
            </w:r>
          </w:p>
        </w:tc>
        <w:tc>
          <w:tcPr>
            <w:shd w:val="clear" w:color="auto" w:fill="F2F7FC"/>
          </w:tcPr>
          <w:p>
            <w:r>
              <w:rPr>
                <w:sz w:val="20"/>
              </w:rPr>
              <w:t xml:space="preserve">github.com/MIC-DKFZ/nnUNet</w:t>
            </w:r>
          </w:p>
        </w:tc>
        <w:tc>
          <w:tcPr>
            <w:shd w:val="clear" w:color="auto" w:fill="F2F7FC"/>
          </w:tcPr>
          <w:p>
            <w:r>
              <w:rPr>
                <w:sz w:val="20"/>
              </w:rPr>
              <w:t xml:space="preserve">8323</w:t>
            </w:r>
          </w:p>
        </w:tc>
      </w:tr>
      <w:tr>
        <w:tc>
          <w:tcPr>
            <w:shd w:val="clear" w:color="auto" w:fill="FFFFFF"/>
          </w:tcPr>
          <w:p>
            <w:r>
              <w:rPr>
                <w:sz w:val="20"/>
              </w:rPr>
              <w:t xml:space="preserve">P020</w:t>
            </w:r>
          </w:p>
        </w:tc>
        <w:tc>
          <w:tcPr>
            <w:shd w:val="clear" w:color="auto" w:fill="FFFFFF"/>
          </w:tcPr>
          <w:p>
            <w:r>
              <w:rPr>
                <w:sz w:val="20"/>
              </w:rPr>
              <w:t xml:space="preserve">TransUNet</w:t>
            </w:r>
          </w:p>
        </w:tc>
        <w:tc>
          <w:tcPr>
            <w:shd w:val="clear" w:color="auto" w:fill="FFFFFF"/>
          </w:tcPr>
          <w:p>
            <w:r>
              <w:rPr>
                <w:sz w:val="20"/>
              </w:rPr>
              <w:t xml:space="preserve">github.com/Beckschen/TransUNet</w:t>
            </w:r>
          </w:p>
        </w:tc>
        <w:tc>
          <w:tcPr>
            <w:shd w:val="clear" w:color="auto" w:fill="FFFFFF"/>
          </w:tcPr>
          <w:p>
            <w:r>
              <w:rPr>
                <w:sz w:val="20"/>
              </w:rPr>
              <w:t xml:space="preserve">3825</w:t>
            </w:r>
          </w:p>
        </w:tc>
      </w:tr>
      <w:tr>
        <w:tc>
          <w:tcPr>
            <w:shd w:val="clear" w:color="auto" w:fill="F2F7FC"/>
          </w:tcPr>
          <w:p>
            <w:r>
              <w:rPr>
                <w:sz w:val="20"/>
              </w:rPr>
              <w:t xml:space="preserve">P021</w:t>
            </w:r>
          </w:p>
        </w:tc>
        <w:tc>
          <w:tcPr>
            <w:shd w:val="clear" w:color="auto" w:fill="F2F7FC"/>
          </w:tcPr>
          <w:p>
            <w:r>
              <w:rPr>
                <w:sz w:val="20"/>
              </w:rPr>
              <w:t xml:space="preserve">Swin UNETR</w:t>
            </w:r>
          </w:p>
        </w:tc>
        <w:tc>
          <w:tcPr>
            <w:shd w:val="clear" w:color="auto" w:fill="F2F7FC"/>
          </w:tcPr>
          <w:p>
            <w:r>
              <w:rPr>
                <w:sz w:val="20"/>
              </w:rPr>
              <w:t xml:space="preserve">github.com/Project-MONAI/research-contributions</w:t>
            </w:r>
          </w:p>
        </w:tc>
        <w:tc>
          <w:tcPr>
            <w:shd w:val="clear" w:color="auto" w:fill="F2F7FC"/>
          </w:tcPr>
          <w:p>
            <w:r>
              <w:rPr>
                <w:sz w:val="20"/>
              </w:rPr>
              <w:t xml:space="preserve">—</w:t>
            </w:r>
          </w:p>
        </w:tc>
      </w:tr>
      <w:tr>
        <w:tc>
          <w:tcPr>
            <w:shd w:val="clear" w:color="auto" w:fill="FFFFFF"/>
          </w:tcPr>
          <w:p>
            <w:r>
              <w:rPr>
                <w:sz w:val="20"/>
              </w:rPr>
              <w:t xml:space="preserve">P022</w:t>
            </w:r>
          </w:p>
        </w:tc>
        <w:tc>
          <w:tcPr>
            <w:shd w:val="clear" w:color="auto" w:fill="FFFFFF"/>
          </w:tcPr>
          <w:p>
            <w:r>
              <w:rPr>
                <w:sz w:val="20"/>
              </w:rPr>
              <w:t xml:space="preserve">UNETR</w:t>
            </w:r>
          </w:p>
        </w:tc>
        <w:tc>
          <w:tcPr>
            <w:shd w:val="clear" w:color="auto" w:fill="FFFFFF"/>
          </w:tcPr>
          <w:p>
            <w:r>
              <w:rPr>
                <w:sz w:val="20"/>
              </w:rPr>
              <w:t xml:space="preserve">github.com/Project-MONAI/MONAI</w:t>
            </w:r>
          </w:p>
        </w:tc>
        <w:tc>
          <w:tcPr>
            <w:shd w:val="clear" w:color="auto" w:fill="FFFFFF"/>
          </w:tcPr>
          <w:p>
            <w:r>
              <w:rPr>
                <w:sz w:val="20"/>
              </w:rPr>
              <w:t xml:space="preserve">2799</w:t>
            </w:r>
          </w:p>
        </w:tc>
      </w:tr>
      <w:tr>
        <w:tc>
          <w:tcPr>
            <w:shd w:val="clear" w:color="auto" w:fill="F2F7FC"/>
          </w:tcPr>
          <w:p>
            <w:r>
              <w:rPr>
                <w:sz w:val="20"/>
              </w:rPr>
              <w:t xml:space="preserve">P024</w:t>
            </w:r>
          </w:p>
        </w:tc>
        <w:tc>
          <w:tcPr>
            <w:shd w:val="clear" w:color="auto" w:fill="F2F7FC"/>
          </w:tcPr>
          <w:p>
            <w:r>
              <w:rPr>
                <w:sz w:val="20"/>
              </w:rPr>
              <w:t xml:space="preserve">MedSAM</w:t>
            </w:r>
          </w:p>
        </w:tc>
        <w:tc>
          <w:tcPr>
            <w:shd w:val="clear" w:color="auto" w:fill="F2F7FC"/>
          </w:tcPr>
          <w:p>
            <w:r>
              <w:rPr>
                <w:sz w:val="20"/>
              </w:rPr>
              <w:t xml:space="preserve">github.com/bowang-lab/MedSAM</w:t>
            </w:r>
          </w:p>
        </w:tc>
        <w:tc>
          <w:tcPr>
            <w:shd w:val="clear" w:color="auto" w:fill="F2F7FC"/>
          </w:tcPr>
          <w:p>
            <w:r>
              <w:rPr>
                <w:sz w:val="20"/>
              </w:rPr>
              <w:t xml:space="preserve">2315</w:t>
            </w:r>
          </w:p>
        </w:tc>
      </w:tr>
      <w:tr>
        <w:tc>
          <w:tcPr>
            <w:shd w:val="clear" w:color="auto" w:fill="FFFFFF"/>
          </w:tcPr>
          <w:p>
            <w:r>
              <w:rPr>
                <w:sz w:val="20"/>
              </w:rPr>
              <w:t xml:space="preserve">P026</w:t>
            </w:r>
          </w:p>
        </w:tc>
        <w:tc>
          <w:tcPr>
            <w:shd w:val="clear" w:color="auto" w:fill="FFFFFF"/>
          </w:tcPr>
          <w:p>
            <w:r>
              <w:rPr>
                <w:sz w:val="20"/>
              </w:rPr>
              <w:t xml:space="preserve">SAM Adapter</w:t>
            </w:r>
          </w:p>
        </w:tc>
        <w:tc>
          <w:tcPr>
            <w:shd w:val="clear" w:color="auto" w:fill="FFFFFF"/>
          </w:tcPr>
          <w:p>
            <w:r>
              <w:rPr>
                <w:sz w:val="20"/>
              </w:rPr>
              <w:t xml:space="preserve">github.com/KidsWithTokens/Medical-SAM-Adapter</w:t>
            </w:r>
          </w:p>
        </w:tc>
        <w:tc>
          <w:tcPr>
            <w:shd w:val="clear" w:color="auto" w:fill="FFFFFF"/>
          </w:tcPr>
          <w:p>
            <w:r>
              <w:rPr>
                <w:sz w:val="20"/>
              </w:rPr>
              <w:t xml:space="preserve">223</w:t>
            </w:r>
          </w:p>
        </w:tc>
      </w:tr>
      <w:tr>
        <w:tc>
          <w:tcPr>
            <w:shd w:val="clear" w:color="auto" w:fill="F2F7FC"/>
          </w:tcPr>
          <w:p>
            <w:r>
              <w:rPr>
                <w:sz w:val="20"/>
              </w:rPr>
              <w:t xml:space="preserve">P032</w:t>
            </w:r>
          </w:p>
        </w:tc>
        <w:tc>
          <w:tcPr>
            <w:shd w:val="clear" w:color="auto" w:fill="F2F7FC"/>
          </w:tcPr>
          <w:p>
            <w:r>
              <w:rPr>
                <w:sz w:val="20"/>
              </w:rPr>
              <w:t xml:space="preserve">EGNet</w:t>
            </w:r>
          </w:p>
        </w:tc>
        <w:tc>
          <w:tcPr>
            <w:shd w:val="clear" w:color="auto" w:fill="F2F7FC"/>
          </w:tcPr>
          <w:p>
            <w:r>
              <w:rPr>
                <w:sz w:val="20"/>
              </w:rPr>
              <w:t xml:space="preserve">github.com/ITXIAOWU123/EGNet</w:t>
            </w:r>
          </w:p>
        </w:tc>
        <w:tc>
          <w:tcPr>
            <w:shd w:val="clear" w:color="auto" w:fill="F2F7FC"/>
          </w:tcPr>
          <w:p>
            <w:r>
              <w:rPr>
                <w:sz w:val="20"/>
              </w:rPr>
              <w:t xml:space="preserve">—</w:t>
            </w:r>
          </w:p>
        </w:tc>
      </w:tr>
      <w:tr>
        <w:tc>
          <w:tcPr>
            <w:shd w:val="clear" w:color="auto" w:fill="FFFFFF"/>
          </w:tcPr>
          <w:p>
            <w:r>
              <w:rPr>
                <w:sz w:val="20"/>
              </w:rPr>
              <w:t xml:space="preserve">P033</w:t>
            </w:r>
          </w:p>
        </w:tc>
        <w:tc>
          <w:tcPr>
            <w:shd w:val="clear" w:color="auto" w:fill="FFFFFF"/>
          </w:tcPr>
          <w:p>
            <w:r>
              <w:rPr>
                <w:sz w:val="20"/>
              </w:rPr>
              <w:t xml:space="preserve">FRS Loss</w:t>
            </w:r>
          </w:p>
        </w:tc>
        <w:tc>
          <w:tcPr>
            <w:shd w:val="clear" w:color="auto" w:fill="FFFFFF"/>
          </w:tcPr>
          <w:p>
            <w:r>
              <w:rPr>
                <w:sz w:val="20"/>
              </w:rPr>
              <w:t xml:space="preserve">github.com/MohsinFurkh/Fuzzy-Rough-Set-Loss</w:t>
            </w:r>
          </w:p>
        </w:tc>
        <w:tc>
          <w:tcPr>
            <w:shd w:val="clear" w:color="auto" w:fill="FFFFFF"/>
          </w:tcPr>
          <w:p>
            <w:r>
              <w:rPr>
                <w:sz w:val="20"/>
              </w:rPr>
              <w:t xml:space="preserve">—</w:t>
            </w:r>
          </w:p>
        </w:tc>
      </w:tr>
      <w:tr>
        <w:tc>
          <w:tcPr>
            <w:shd w:val="clear" w:color="auto" w:fill="F2F7FC"/>
          </w:tcPr>
          <w:p>
            <w:r>
              <w:rPr>
                <w:sz w:val="20"/>
              </w:rPr>
              <w:t xml:space="preserve">P034</w:t>
            </w:r>
          </w:p>
        </w:tc>
        <w:tc>
          <w:tcPr>
            <w:shd w:val="clear" w:color="auto" w:fill="F2F7FC"/>
          </w:tcPr>
          <w:p>
            <w:r>
              <w:rPr>
                <w:sz w:val="20"/>
              </w:rPr>
              <w:t xml:space="preserve">Retuve</w:t>
            </w:r>
          </w:p>
        </w:tc>
        <w:tc>
          <w:tcPr>
            <w:shd w:val="clear" w:color="auto" w:fill="F2F7FC"/>
          </w:tcPr>
          <w:p>
            <w:r>
              <w:rPr>
                <w:sz w:val="20"/>
              </w:rPr>
              <w:t xml:space="preserve">github.com/radoss-org/retuve</w:t>
            </w:r>
          </w:p>
        </w:tc>
        <w:tc>
          <w:tcPr>
            <w:shd w:val="clear" w:color="auto" w:fill="F2F7FC"/>
          </w:tcPr>
          <w:p>
            <w:r>
              <w:rPr>
                <w:sz w:val="20"/>
              </w:rPr>
              <w:t xml:space="preserve">—</w:t>
            </w:r>
          </w:p>
        </w:tc>
      </w:tr>
    </w:tbl>
    <w:p>
      <w:pPr>
        <w:pStyle w:val="Heading2"/>
      </w:pPr>
      <w:r>
        <w:rPr/>
        <w:t xml:space="preserve">2.3 ICG荧光核心文献</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编号</w:t>
            </w:r>
          </w:p>
        </w:tc>
        <w:tc>
          <w:tcPr>
            <w:shd w:val="clear" w:color="auto" w:fill="2E75B6"/>
          </w:tcPr>
          <w:p>
            <w:pPr>
              <w:jc w:val="center"/>
            </w:pPr>
            <w:r>
              <w:rPr>
                <w:b/>
                <w:color w:val="FFFFFF"/>
                <w:sz w:val="20"/>
              </w:rPr>
              <w:t xml:space="preserve">论文</w:t>
            </w:r>
          </w:p>
        </w:tc>
        <w:tc>
          <w:tcPr>
            <w:shd w:val="clear" w:color="auto" w:fill="2E75B6"/>
          </w:tcPr>
          <w:p>
            <w:pPr>
              <w:jc w:val="center"/>
            </w:pPr>
            <w:r>
              <w:rPr>
                <w:b/>
                <w:color w:val="FFFFFF"/>
                <w:sz w:val="20"/>
              </w:rPr>
              <w:t xml:space="preserve">关键发现</w:t>
            </w:r>
          </w:p>
        </w:tc>
      </w:tr>
      <w:tr>
        <w:tc>
          <w:tcPr>
            <w:shd w:val="clear" w:color="auto" w:fill="F2F7FC"/>
          </w:tcPr>
          <w:p>
            <w:r>
              <w:rPr>
                <w:sz w:val="20"/>
              </w:rPr>
              <w:t xml:space="preserve">P038</w:t>
            </w:r>
          </w:p>
        </w:tc>
        <w:tc>
          <w:tcPr>
            <w:shd w:val="clear" w:color="auto" w:fill="F2F7FC"/>
          </w:tcPr>
          <w:p>
            <w:r>
              <w:rPr>
                <w:sz w:val="20"/>
              </w:rPr>
              <w:t xml:space="preserve">EAES ICG共识(2023)</w:t>
            </w:r>
          </w:p>
        </w:tc>
        <w:tc>
          <w:tcPr>
            <w:shd w:val="clear" w:color="auto" w:fill="F2F7FC"/>
          </w:tcPr>
          <w:p>
            <w:r>
              <w:rPr>
                <w:sz w:val="20"/>
              </w:rPr>
              <w:t xml:space="preserve">51位专家17国：ICG安全有效，剂量0.25-0.5mg/kg</w:t>
            </w:r>
          </w:p>
        </w:tc>
      </w:tr>
      <w:tr>
        <w:tc>
          <w:tcPr>
            <w:shd w:val="clear" w:color="auto" w:fill="FFFFFF"/>
          </w:tcPr>
          <w:p>
            <w:r>
              <w:rPr>
                <w:sz w:val="20"/>
              </w:rPr>
              <w:t xml:space="preserve">P041</w:t>
            </w:r>
          </w:p>
        </w:tc>
        <w:tc>
          <w:tcPr>
            <w:shd w:val="clear" w:color="auto" w:fill="FFFFFF"/>
          </w:tcPr>
          <w:p>
            <w:r>
              <w:rPr>
                <w:sz w:val="20"/>
              </w:rPr>
              <w:t xml:space="preserve">ICG骨灌注综述(2022)</w:t>
            </w:r>
          </w:p>
        </w:tc>
        <w:tc>
          <w:tcPr>
            <w:shd w:val="clear" w:color="auto" w:fill="FFFFFF"/>
          </w:tcPr>
          <w:p>
            <w:r>
              <w:rPr>
                <w:sz w:val="20"/>
              </w:rPr>
              <w:t xml:space="preserve">23项研究452例：ICG对骨髓炎诊断有积极意义</w:t>
            </w:r>
          </w:p>
        </w:tc>
      </w:tr>
      <w:tr>
        <w:tc>
          <w:tcPr>
            <w:shd w:val="clear" w:color="auto" w:fill="F2F7FC"/>
          </w:tcPr>
          <w:p>
            <w:r>
              <w:rPr>
                <w:sz w:val="20"/>
              </w:rPr>
              <w:t xml:space="preserve">P042</w:t>
            </w:r>
          </w:p>
        </w:tc>
        <w:tc>
          <w:tcPr>
            <w:shd w:val="clear" w:color="auto" w:fill="F2F7FC"/>
          </w:tcPr>
          <w:p>
            <w:r>
              <w:rPr>
                <w:sz w:val="20"/>
              </w:rPr>
              <w:t xml:space="preserve">ICG识别坏死感染(2024)</w:t>
            </w:r>
          </w:p>
        </w:tc>
        <w:tc>
          <w:tcPr>
            <w:shd w:val="clear" w:color="auto" w:fill="F2F7FC"/>
          </w:tcPr>
          <w:p>
            <w:r>
              <w:rPr>
                <w:sz w:val="20"/>
              </w:rPr>
              <w:t xml:space="preserve">115例：存活组织均显示荧光，坏死组织均无荧光</w:t>
            </w:r>
          </w:p>
        </w:tc>
      </w:tr>
      <w:tr>
        <w:tc>
          <w:tcPr>
            <w:shd w:val="clear" w:color="auto" w:fill="FFFFFF"/>
          </w:tcPr>
          <w:p>
            <w:r>
              <w:rPr>
                <w:sz w:val="20"/>
              </w:rPr>
              <w:t xml:space="preserve">P044</w:t>
            </w:r>
          </w:p>
        </w:tc>
        <w:tc>
          <w:tcPr>
            <w:shd w:val="clear" w:color="auto" w:fill="FFFFFF"/>
          </w:tcPr>
          <w:p>
            <w:r>
              <w:rPr>
                <w:sz w:val="20"/>
              </w:rPr>
              <w:t xml:space="preserve">ICG牙科成像(2019)</w:t>
            </w:r>
          </w:p>
        </w:tc>
        <w:tc>
          <w:tcPr>
            <w:shd w:val="clear" w:color="auto" w:fill="FFFFFF"/>
          </w:tcPr>
          <w:p>
            <w:r>
              <w:rPr>
                <w:sz w:val="20"/>
              </w:rPr>
              <w:t xml:space="preserve">首次体内验证ICG牙科成像可行性</w:t>
            </w:r>
          </w:p>
        </w:tc>
      </w:tr>
      <w:tr>
        <w:tc>
          <w:tcPr>
            <w:shd w:val="clear" w:color="auto" w:fill="F2F7FC"/>
          </w:tcPr>
          <w:p>
            <w:r>
              <w:rPr>
                <w:sz w:val="20"/>
              </w:rPr>
              <w:t xml:space="preserve">P046</w:t>
            </w:r>
          </w:p>
        </w:tc>
        <w:tc>
          <w:tcPr>
            <w:shd w:val="clear" w:color="auto" w:fill="F2F7FC"/>
          </w:tcPr>
          <w:p>
            <w:r>
              <w:rPr>
                <w:sz w:val="20"/>
              </w:rPr>
              <w:t xml:space="preserve">显微镜ICG AI分割(2022)</w:t>
            </w:r>
          </w:p>
        </w:tc>
        <w:tc>
          <w:tcPr>
            <w:shd w:val="clear" w:color="auto" w:fill="F2F7FC"/>
          </w:tcPr>
          <w:p>
            <w:r>
              <w:rPr>
                <w:sz w:val="20"/>
              </w:rPr>
              <w:t xml:space="preserve">U-Net在ICG显微镜视频上做血管语义分割</w:t>
            </w:r>
          </w:p>
        </w:tc>
      </w:tr>
      <w:tr>
        <w:tc>
          <w:tcPr>
            <w:shd w:val="clear" w:color="auto" w:fill="FFFFFF"/>
          </w:tcPr>
          <w:p>
            <w:r>
              <w:rPr>
                <w:sz w:val="20"/>
              </w:rPr>
              <w:t xml:space="preserve">P062</w:t>
            </w:r>
          </w:p>
        </w:tc>
        <w:tc>
          <w:tcPr>
            <w:shd w:val="clear" w:color="auto" w:fill="FFFFFF"/>
          </w:tcPr>
          <w:p>
            <w:r>
              <w:rPr>
                <w:sz w:val="20"/>
              </w:rPr>
              <w:t xml:space="preserve">ICG骨肿瘤综述(2026)</w:t>
            </w:r>
          </w:p>
        </w:tc>
        <w:tc>
          <w:tcPr>
            <w:shd w:val="clear" w:color="auto" w:fill="FFFFFF"/>
          </w:tcPr>
          <w:p>
            <w:r>
              <w:rPr>
                <w:sz w:val="20"/>
              </w:rPr>
              <w:t xml:space="preserve">中文综述：ICG骨肿瘤术中应用和骨髓炎诊断</w:t>
            </w:r>
          </w:p>
        </w:tc>
      </w:tr>
    </w:tbl>
    <w:p>
      <w:pPr>
        <w:pStyle w:val="Heading2"/>
      </w:pPr>
      <w:r>
        <w:rPr/>
        <w:t xml:space="preserve">2.4 口腔/颌骨AI核心文献</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编号</w:t>
            </w:r>
          </w:p>
        </w:tc>
        <w:tc>
          <w:tcPr>
            <w:shd w:val="clear" w:color="auto" w:fill="2E75B6"/>
          </w:tcPr>
          <w:p>
            <w:pPr>
              <w:jc w:val="center"/>
            </w:pPr>
            <w:r>
              <w:rPr>
                <w:b/>
                <w:color w:val="FFFFFF"/>
                <w:sz w:val="20"/>
              </w:rPr>
              <w:t xml:space="preserve">论文</w:t>
            </w:r>
          </w:p>
        </w:tc>
        <w:tc>
          <w:tcPr>
            <w:shd w:val="clear" w:color="auto" w:fill="2E75B6"/>
          </w:tcPr>
          <w:p>
            <w:pPr>
              <w:jc w:val="center"/>
            </w:pPr>
            <w:r>
              <w:rPr>
                <w:b/>
                <w:color w:val="FFFFFF"/>
                <w:sz w:val="20"/>
              </w:rPr>
              <w:t xml:space="preserve">关键发现</w:t>
            </w:r>
          </w:p>
        </w:tc>
      </w:tr>
      <w:tr>
        <w:tc>
          <w:tcPr>
            <w:shd w:val="clear" w:color="auto" w:fill="F2F7FC"/>
          </w:tcPr>
          <w:p>
            <w:r>
              <w:rPr>
                <w:sz w:val="20"/>
              </w:rPr>
              <w:t xml:space="preserve">P014</w:t>
            </w:r>
          </w:p>
        </w:tc>
        <w:tc>
          <w:tcPr>
            <w:shd w:val="clear" w:color="auto" w:fill="F2F7FC"/>
          </w:tcPr>
          <w:p>
            <w:r>
              <w:rPr>
                <w:sz w:val="20"/>
              </w:rPr>
              <w:t xml:space="preserve">WaveletFusion-ViT(2024)</w:t>
            </w:r>
          </w:p>
        </w:tc>
        <w:tc>
          <w:tcPr>
            <w:shd w:val="clear" w:color="auto" w:fill="F2F7FC"/>
          </w:tcPr>
          <w:p>
            <w:r>
              <w:rPr>
                <w:sz w:val="20"/>
              </w:rPr>
              <w:t xml:space="preserve">AUC 0.96，区分全景片中骨髓炎与良性肿瘤</w:t>
            </w:r>
          </w:p>
        </w:tc>
      </w:tr>
      <w:tr>
        <w:tc>
          <w:tcPr>
            <w:shd w:val="clear" w:color="auto" w:fill="FFFFFF"/>
          </w:tcPr>
          <w:p>
            <w:r>
              <w:rPr>
                <w:sz w:val="20"/>
              </w:rPr>
              <w:t xml:space="preserve">P003</w:t>
            </w:r>
          </w:p>
        </w:tc>
        <w:tc>
          <w:tcPr>
            <w:shd w:val="clear" w:color="auto" w:fill="FFFFFF"/>
          </w:tcPr>
          <w:p>
            <w:r>
              <w:rPr>
                <w:sz w:val="20"/>
              </w:rPr>
              <w:t xml:space="preserve">多中心影像组学(2026)</w:t>
            </w:r>
          </w:p>
        </w:tc>
        <w:tc>
          <w:tcPr>
            <w:shd w:val="clear" w:color="auto" w:fill="FFFFFF"/>
          </w:tcPr>
          <w:p>
            <w:r>
              <w:rPr>
                <w:sz w:val="20"/>
              </w:rPr>
              <w:t xml:space="preserve">120例五中心：影像组学指导手术切除范围</w:t>
            </w:r>
          </w:p>
        </w:tc>
      </w:tr>
      <w:tr>
        <w:tc>
          <w:tcPr>
            <w:shd w:val="clear" w:color="auto" w:fill="F2F7FC"/>
          </w:tcPr>
          <w:p>
            <w:r>
              <w:rPr>
                <w:sz w:val="20"/>
              </w:rPr>
              <w:t xml:space="preserve">P002</w:t>
            </w:r>
          </w:p>
        </w:tc>
        <w:tc>
          <w:tcPr>
            <w:shd w:val="clear" w:color="auto" w:fill="F2F7FC"/>
          </w:tcPr>
          <w:p>
            <w:r>
              <w:rPr>
                <w:sz w:val="20"/>
              </w:rPr>
              <w:t xml:space="preserve">影像组学手术决策(2024)</w:t>
            </w:r>
          </w:p>
        </w:tc>
        <w:tc>
          <w:tcPr>
            <w:shd w:val="clear" w:color="auto" w:fill="F2F7FC"/>
          </w:tcPr>
          <w:p>
            <w:r>
              <w:rPr>
                <w:sz w:val="20"/>
              </w:rPr>
              <w:t xml:space="preserve">扩展ROI比原始ROI效果更好</w:t>
            </w:r>
          </w:p>
        </w:tc>
      </w:tr>
      <w:tr>
        <w:tc>
          <w:tcPr>
            <w:shd w:val="clear" w:color="auto" w:fill="FFFFFF"/>
          </w:tcPr>
          <w:p>
            <w:r>
              <w:rPr>
                <w:sz w:val="20"/>
              </w:rPr>
              <w:t xml:space="preserve">P007</w:t>
            </w:r>
          </w:p>
        </w:tc>
        <w:tc>
          <w:tcPr>
            <w:shd w:val="clear" w:color="auto" w:fill="FFFFFF"/>
          </w:tcPr>
          <w:p>
            <w:r>
              <w:rPr>
                <w:sz w:val="20"/>
              </w:rPr>
              <w:t xml:space="preserve">全景片骨溶解检测(2025)</w:t>
            </w:r>
          </w:p>
        </w:tc>
        <w:tc>
          <w:tcPr>
            <w:shd w:val="clear" w:color="auto" w:fill="FFFFFF"/>
          </w:tcPr>
          <w:p>
            <w:r>
              <w:rPr>
                <w:sz w:val="20"/>
              </w:rPr>
              <w:t xml:space="preserve">CNN+ViT检测边界清晰/不清病灶</w:t>
            </w:r>
          </w:p>
        </w:tc>
      </w:tr>
    </w:tbl>
    <w:p>
      <w:pPr>
        <w:pStyle w:val="Heading1"/>
      </w:pPr>
      <w:r>
        <w:rPr/>
        <w:t xml:space="preserve">三、数据集调研成果</w:t>
      </w:r>
    </w:p>
    <w:p>
      <w:r>
        <w:rPr/>
        <w:t xml:space="preserve">共收录35个数据集/数据入口，5个直接颌骨/口腔相关，30个可用于迁移学习。</w:t>
      </w:r>
    </w:p>
    <w:p>
      <w:pPr>
        <w:pStyle w:val="Heading2"/>
      </w:pPr>
      <w:r>
        <w:rPr/>
        <w:t xml:space="preserve">3.1 直接相关数据集</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gridCol/>
      </w:tblGrid>
      <w:tr>
        <w:tc>
          <w:tcPr>
            <w:shd w:val="clear" w:color="auto" w:fill="2E75B6"/>
          </w:tcPr>
          <w:p>
            <w:pPr>
              <w:jc w:val="center"/>
            </w:pPr>
            <w:r>
              <w:rPr>
                <w:b/>
                <w:color w:val="FFFFFF"/>
                <w:sz w:val="20"/>
              </w:rPr>
              <w:t xml:space="preserve">编号</w:t>
            </w:r>
          </w:p>
        </w:tc>
        <w:tc>
          <w:tcPr>
            <w:shd w:val="clear" w:color="auto" w:fill="2E75B6"/>
          </w:tcPr>
          <w:p>
            <w:pPr>
              <w:jc w:val="center"/>
            </w:pPr>
            <w:r>
              <w:rPr>
                <w:b/>
                <w:color w:val="FFFFFF"/>
                <w:sz w:val="20"/>
              </w:rPr>
              <w:t xml:space="preserve">数据集</w:t>
            </w:r>
          </w:p>
        </w:tc>
        <w:tc>
          <w:tcPr>
            <w:shd w:val="clear" w:color="auto" w:fill="2E75B6"/>
          </w:tcPr>
          <w:p>
            <w:pPr>
              <w:jc w:val="center"/>
            </w:pPr>
            <w:r>
              <w:rPr>
                <w:b/>
                <w:color w:val="FFFFFF"/>
                <w:sz w:val="20"/>
              </w:rPr>
              <w:t xml:space="preserve">模态</w:t>
            </w:r>
          </w:p>
        </w:tc>
        <w:tc>
          <w:tcPr>
            <w:shd w:val="clear" w:color="auto" w:fill="2E75B6"/>
          </w:tcPr>
          <w:p>
            <w:pPr>
              <w:jc w:val="center"/>
            </w:pPr>
            <w:r>
              <w:rPr>
                <w:b/>
                <w:color w:val="FFFFFF"/>
                <w:sz w:val="20"/>
              </w:rPr>
              <w:t xml:space="preserve">用途</w:t>
            </w:r>
          </w:p>
        </w:tc>
      </w:tr>
      <w:tr>
        <w:tc>
          <w:tcPr>
            <w:shd w:val="clear" w:color="auto" w:fill="F2F7FC"/>
          </w:tcPr>
          <w:p>
            <w:r>
              <w:rPr>
                <w:sz w:val="20"/>
              </w:rPr>
              <w:t xml:space="preserve">D025</w:t>
            </w:r>
          </w:p>
        </w:tc>
        <w:tc>
          <w:tcPr>
            <w:shd w:val="clear" w:color="auto" w:fill="F2F7FC"/>
          </w:tcPr>
          <w:p>
            <w:r>
              <w:rPr>
                <w:sz w:val="20"/>
              </w:rPr>
              <w:t xml:space="preserve">牙源性病灶CBCT+病理</w:t>
            </w:r>
          </w:p>
        </w:tc>
        <w:tc>
          <w:tcPr>
            <w:shd w:val="clear" w:color="auto" w:fill="F2F7FC"/>
          </w:tcPr>
          <w:p>
            <w:r>
              <w:rPr>
                <w:sz w:val="20"/>
              </w:rPr>
              <w:t xml:space="preserve">CBCT</w:t>
            </w:r>
          </w:p>
        </w:tc>
        <w:tc>
          <w:tcPr>
            <w:shd w:val="clear" w:color="auto" w:fill="F2F7FC"/>
          </w:tcPr>
          <w:p>
            <w:r>
              <w:rPr>
                <w:sz w:val="20"/>
              </w:rPr>
              <w:t xml:space="preserve">颌骨病灶分类/分割（最接近骨髓炎）</w:t>
            </w:r>
          </w:p>
        </w:tc>
      </w:tr>
      <w:tr>
        <w:tc>
          <w:tcPr>
            <w:shd w:val="clear" w:color="auto" w:fill="FFFFFF"/>
          </w:tcPr>
          <w:p>
            <w:r>
              <w:rPr>
                <w:sz w:val="20"/>
              </w:rPr>
              <w:t xml:space="preserve">D024</w:t>
            </w:r>
          </w:p>
        </w:tc>
        <w:tc>
          <w:tcPr>
            <w:shd w:val="clear" w:color="auto" w:fill="FFFFFF"/>
          </w:tcPr>
          <w:p>
            <w:r>
              <w:rPr>
                <w:sz w:val="20"/>
              </w:rPr>
              <w:t xml:space="preserve">DentVoxel牙科CBCT</w:t>
            </w:r>
          </w:p>
        </w:tc>
        <w:tc>
          <w:tcPr>
            <w:shd w:val="clear" w:color="auto" w:fill="FFFFFF"/>
          </w:tcPr>
          <w:p>
            <w:r>
              <w:rPr>
                <w:sz w:val="20"/>
              </w:rPr>
              <w:t xml:space="preserve">CBCT</w:t>
            </w:r>
          </w:p>
        </w:tc>
        <w:tc>
          <w:tcPr>
            <w:shd w:val="clear" w:color="auto" w:fill="FFFFFF"/>
          </w:tcPr>
          <w:p>
            <w:r>
              <w:rPr>
                <w:sz w:val="20"/>
              </w:rPr>
              <w:t xml:space="preserve">颌骨3D分割预训练（38结构标注）</w:t>
            </w:r>
          </w:p>
        </w:tc>
      </w:tr>
      <w:tr>
        <w:tc>
          <w:tcPr>
            <w:shd w:val="clear" w:color="auto" w:fill="F2F7FC"/>
          </w:tcPr>
          <w:p>
            <w:r>
              <w:rPr>
                <w:sz w:val="20"/>
              </w:rPr>
              <w:t xml:space="preserve">D026</w:t>
            </w:r>
          </w:p>
        </w:tc>
        <w:tc>
          <w:tcPr>
            <w:shd w:val="clear" w:color="auto" w:fill="F2F7FC"/>
          </w:tcPr>
          <w:p>
            <w:r>
              <w:rPr>
                <w:sz w:val="20"/>
              </w:rPr>
              <w:t xml:space="preserve">下颌管分割数据集</w:t>
            </w:r>
          </w:p>
        </w:tc>
        <w:tc>
          <w:tcPr>
            <w:shd w:val="clear" w:color="auto" w:fill="F2F7FC"/>
          </w:tcPr>
          <w:p>
            <w:r>
              <w:rPr>
                <w:sz w:val="20"/>
              </w:rPr>
              <w:t xml:space="preserve">CBCT</w:t>
            </w:r>
          </w:p>
        </w:tc>
        <w:tc>
          <w:tcPr>
            <w:shd w:val="clear" w:color="auto" w:fill="F2F7FC"/>
          </w:tcPr>
          <w:p>
            <w:r>
              <w:rPr>
                <w:sz w:val="20"/>
              </w:rPr>
              <w:t xml:space="preserve">下颌管结构分割</w:t>
            </w:r>
          </w:p>
        </w:tc>
      </w:tr>
      <w:tr>
        <w:tc>
          <w:tcPr>
            <w:shd w:val="clear" w:color="auto" w:fill="FFFFFF"/>
          </w:tcPr>
          <w:p>
            <w:r>
              <w:rPr>
                <w:sz w:val="20"/>
              </w:rPr>
              <w:t xml:space="preserve">D005</w:t>
            </w:r>
          </w:p>
        </w:tc>
        <w:tc>
          <w:tcPr>
            <w:shd w:val="clear" w:color="auto" w:fill="FFFFFF"/>
          </w:tcPr>
          <w:p>
            <w:r>
              <w:rPr>
                <w:sz w:val="20"/>
              </w:rPr>
              <w:t xml:space="preserve">全景片+下颌分割</w:t>
            </w:r>
          </w:p>
        </w:tc>
        <w:tc>
          <w:tcPr>
            <w:shd w:val="clear" w:color="auto" w:fill="FFFFFF"/>
          </w:tcPr>
          <w:p>
            <w:r>
              <w:rPr>
                <w:sz w:val="20"/>
              </w:rPr>
              <w:t xml:space="preserve">全景片</w:t>
            </w:r>
          </w:p>
        </w:tc>
        <w:tc>
          <w:tcPr>
            <w:shd w:val="clear" w:color="auto" w:fill="FFFFFF"/>
          </w:tcPr>
          <w:p>
            <w:r>
              <w:rPr>
                <w:sz w:val="20"/>
              </w:rPr>
              <w:t xml:space="preserve">下颌骨ROI提取</w:t>
            </w:r>
          </w:p>
        </w:tc>
      </w:tr>
      <w:tr>
        <w:tc>
          <w:tcPr>
            <w:shd w:val="clear" w:color="auto" w:fill="F2F7FC"/>
          </w:tcPr>
          <w:p>
            <w:r>
              <w:rPr>
                <w:sz w:val="20"/>
              </w:rPr>
              <w:t xml:space="preserve">D014</w:t>
            </w:r>
          </w:p>
        </w:tc>
        <w:tc>
          <w:tcPr>
            <w:shd w:val="clear" w:color="auto" w:fill="F2F7FC"/>
          </w:tcPr>
          <w:p>
            <w:r>
              <w:rPr>
                <w:sz w:val="20"/>
              </w:rPr>
              <w:t xml:space="preserve">HuggingFace全景片</w:t>
            </w:r>
          </w:p>
        </w:tc>
        <w:tc>
          <w:tcPr>
            <w:shd w:val="clear" w:color="auto" w:fill="F2F7FC"/>
          </w:tcPr>
          <w:p>
            <w:r>
              <w:rPr>
                <w:sz w:val="20"/>
              </w:rPr>
              <w:t xml:space="preserve">全景片</w:t>
            </w:r>
          </w:p>
        </w:tc>
        <w:tc>
          <w:tcPr>
            <w:shd w:val="clear" w:color="auto" w:fill="F2F7FC"/>
          </w:tcPr>
          <w:p>
            <w:r>
              <w:rPr>
                <w:sz w:val="20"/>
              </w:rPr>
              <w:t xml:space="preserve">大规模预训练（约27900张）</w:t>
            </w:r>
          </w:p>
        </w:tc>
      </w:tr>
    </w:tbl>
    <w:p>
      <w:pPr>
        <w:pStyle w:val="Heading2"/>
      </w:pPr>
      <w:r>
        <w:rPr/>
        <w:t xml:space="preserve">3.2 迁移学习数据集</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类别</w:t>
            </w:r>
          </w:p>
        </w:tc>
        <w:tc>
          <w:tcPr>
            <w:shd w:val="clear" w:color="auto" w:fill="2E75B6"/>
          </w:tcPr>
          <w:p>
            <w:pPr>
              <w:jc w:val="center"/>
            </w:pPr>
            <w:r>
              <w:rPr>
                <w:b/>
                <w:color w:val="FFFFFF"/>
                <w:sz w:val="20"/>
              </w:rPr>
              <w:t xml:space="preserve">数量</w:t>
            </w:r>
          </w:p>
        </w:tc>
        <w:tc>
          <w:tcPr>
            <w:shd w:val="clear" w:color="auto" w:fill="2E75B6"/>
          </w:tcPr>
          <w:p>
            <w:pPr>
              <w:jc w:val="center"/>
            </w:pPr>
            <w:r>
              <w:rPr>
                <w:b/>
                <w:color w:val="FFFFFF"/>
                <w:sz w:val="20"/>
              </w:rPr>
              <w:t xml:space="preserve">代表数据集</w:t>
            </w:r>
          </w:p>
        </w:tc>
      </w:tr>
      <w:tr>
        <w:tc>
          <w:tcPr>
            <w:shd w:val="clear" w:color="auto" w:fill="F2F7FC"/>
          </w:tcPr>
          <w:p>
            <w:r>
              <w:rPr>
                <w:sz w:val="20"/>
              </w:rPr>
              <w:t xml:space="preserve">口腔AI</w:t>
            </w:r>
          </w:p>
        </w:tc>
        <w:tc>
          <w:tcPr>
            <w:shd w:val="clear" w:color="auto" w:fill="F2F7FC"/>
          </w:tcPr>
          <w:p>
            <w:r>
              <w:rPr>
                <w:sz w:val="20"/>
              </w:rPr>
              <w:t xml:space="preserve">8</w:t>
            </w:r>
          </w:p>
        </w:tc>
        <w:tc>
          <w:tcPr>
            <w:shd w:val="clear" w:color="auto" w:fill="F2F7FC"/>
          </w:tcPr>
          <w:p>
            <w:r>
              <w:rPr>
                <w:sz w:val="20"/>
              </w:rPr>
              <w:t xml:space="preserve">DENTEX、Tufts、OdontoAI(4K)、Kaggle龋齿/分割</w:t>
            </w:r>
          </w:p>
        </w:tc>
      </w:tr>
      <w:tr>
        <w:tc>
          <w:tcPr>
            <w:shd w:val="clear" w:color="auto" w:fill="FFFFFF"/>
          </w:tcPr>
          <w:p>
            <w:r>
              <w:rPr>
                <w:sz w:val="20"/>
              </w:rPr>
              <w:t xml:space="preserve">骨/感染</w:t>
            </w:r>
          </w:p>
        </w:tc>
        <w:tc>
          <w:tcPr>
            <w:shd w:val="clear" w:color="auto" w:fill="FFFFFF"/>
          </w:tcPr>
          <w:p>
            <w:r>
              <w:rPr>
                <w:sz w:val="20"/>
              </w:rPr>
              <w:t xml:space="preserve">12</w:t>
            </w:r>
          </w:p>
        </w:tc>
        <w:tc>
          <w:tcPr>
            <w:shd w:val="clear" w:color="auto" w:fill="FFFFFF"/>
          </w:tcPr>
          <w:p>
            <w:r>
              <w:rPr>
                <w:sz w:val="20"/>
              </w:rPr>
              <w:t xml:space="preserve">BTXRD骨肿瘤、MURA肌骨(40K)、DeepLesion</w:t>
            </w:r>
          </w:p>
        </w:tc>
      </w:tr>
      <w:tr>
        <w:tc>
          <w:tcPr>
            <w:shd w:val="clear" w:color="auto" w:fill="F2F7FC"/>
          </w:tcPr>
          <w:p>
            <w:r>
              <w:rPr>
                <w:sz w:val="20"/>
              </w:rPr>
              <w:t xml:space="preserve">通用分割</w:t>
            </w:r>
          </w:p>
        </w:tc>
        <w:tc>
          <w:tcPr>
            <w:shd w:val="clear" w:color="auto" w:fill="F2F7FC"/>
          </w:tcPr>
          <w:p>
            <w:r>
              <w:rPr>
                <w:sz w:val="20"/>
              </w:rPr>
              <w:t xml:space="preserve">5</w:t>
            </w:r>
          </w:p>
        </w:tc>
        <w:tc>
          <w:tcPr>
            <w:shd w:val="clear" w:color="auto" w:fill="F2F7FC"/>
          </w:tcPr>
          <w:p>
            <w:r>
              <w:rPr>
                <w:sz w:val="20"/>
              </w:rPr>
              <w:t xml:space="preserve">MSD、BraTS、ISIC、REFUGE、PROMISE12</w:t>
            </w:r>
          </w:p>
        </w:tc>
      </w:tr>
      <w:tr>
        <w:tc>
          <w:tcPr>
            <w:shd w:val="clear" w:color="auto" w:fill="FFFFFF"/>
          </w:tcPr>
          <w:p>
            <w:r>
              <w:rPr>
                <w:sz w:val="20"/>
              </w:rPr>
              <w:t xml:space="preserve">ICG/荧光</w:t>
            </w:r>
          </w:p>
        </w:tc>
        <w:tc>
          <w:tcPr>
            <w:shd w:val="clear" w:color="auto" w:fill="FFFFFF"/>
          </w:tcPr>
          <w:p>
            <w:r>
              <w:rPr>
                <w:sz w:val="20"/>
              </w:rPr>
              <w:t xml:space="preserve">2</w:t>
            </w:r>
          </w:p>
        </w:tc>
        <w:tc>
          <w:tcPr>
            <w:shd w:val="clear" w:color="auto" w:fill="FFFFFF"/>
          </w:tcPr>
          <w:p>
            <w:r>
              <w:rPr>
                <w:sz w:val="20"/>
              </w:rPr>
              <w:t xml:space="preserve">OFDVDnet荧光视频去噪、CTI荧光数据</w:t>
            </w:r>
          </w:p>
        </w:tc>
      </w:tr>
      <w:tr>
        <w:tc>
          <w:tcPr>
            <w:shd w:val="clear" w:color="auto" w:fill="F2F7FC"/>
          </w:tcPr>
          <w:p>
            <w:r>
              <w:rPr>
                <w:sz w:val="20"/>
              </w:rPr>
              <w:t xml:space="preserve">口腔其他</w:t>
            </w:r>
          </w:p>
        </w:tc>
        <w:tc>
          <w:tcPr>
            <w:shd w:val="clear" w:color="auto" w:fill="F2F7FC"/>
          </w:tcPr>
          <w:p>
            <w:r>
              <w:rPr>
                <w:sz w:val="20"/>
              </w:rPr>
              <w:t xml:space="preserve">3</w:t>
            </w:r>
          </w:p>
        </w:tc>
        <w:tc>
          <w:tcPr>
            <w:shd w:val="clear" w:color="auto" w:fill="F2F7FC"/>
          </w:tcPr>
          <w:p>
            <w:r>
              <w:rPr>
                <w:sz w:val="20"/>
              </w:rPr>
              <w:t xml:space="preserve">NIDCR头颈入口、TCIA头颈、CODE口腔黏膜</w:t>
            </w:r>
          </w:p>
        </w:tc>
      </w:tr>
    </w:tbl>
    <w:p>
      <w:pPr>
        <w:pStyle w:val="Heading1"/>
      </w:pPr>
      <w:r>
        <w:rPr/>
        <w:t xml:space="preserve">四、推荐技术路线</w:t>
      </w:r>
    </w:p>
    <w:p>
      <w:r>
        <w:rPr/>
        <w:t xml:space="preserve">方案名：基于ICG荧光成像与多模态AI融合的颌骨骨髓炎术中辅助判读系统</w:t>
      </w:r>
    </w:p>
    <w:p>
      <w:pPr>
        <w:pStyle w:val="Heading2"/>
      </w:pPr>
      <w:r>
        <w:rPr/>
        <w:t xml:space="preserve">4.1 系统架构</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tblGrid>
      <w:tr>
        <w:tc>
          <w:tcPr>
            <w:shd w:val="clear" w:color="auto" w:fill="2E75B6"/>
          </w:tcPr>
          <w:p>
            <w:pPr>
              <w:jc w:val="center"/>
            </w:pPr>
            <w:r>
              <w:rPr>
                <w:b/>
                <w:color w:val="FFFFFF"/>
                <w:sz w:val="20"/>
              </w:rPr>
              <w:t xml:space="preserve">层级</w:t>
            </w:r>
          </w:p>
        </w:tc>
        <w:tc>
          <w:tcPr>
            <w:shd w:val="clear" w:color="auto" w:fill="2E75B6"/>
          </w:tcPr>
          <w:p>
            <w:pPr>
              <w:jc w:val="center"/>
            </w:pPr>
            <w:r>
              <w:rPr>
                <w:b/>
                <w:color w:val="FFFFFF"/>
                <w:sz w:val="20"/>
              </w:rPr>
              <w:t xml:space="preserve">功能</w:t>
            </w:r>
          </w:p>
        </w:tc>
        <w:tc>
          <w:tcPr>
            <w:shd w:val="clear" w:color="auto" w:fill="2E75B6"/>
          </w:tcPr>
          <w:p>
            <w:pPr>
              <w:jc w:val="center"/>
            </w:pPr>
            <w:r>
              <w:rPr>
                <w:b/>
                <w:color w:val="FFFFFF"/>
                <w:sz w:val="20"/>
              </w:rPr>
              <w:t xml:space="preserve">推荐模型</w:t>
            </w:r>
          </w:p>
        </w:tc>
      </w:tr>
      <w:tr>
        <w:tc>
          <w:tcPr>
            <w:shd w:val="clear" w:color="auto" w:fill="F2F7FC"/>
          </w:tcPr>
          <w:p>
            <w:r>
              <w:rPr>
                <w:sz w:val="20"/>
              </w:rPr>
              <w:t xml:space="preserve">术前ROI</w:t>
            </w:r>
          </w:p>
        </w:tc>
        <w:tc>
          <w:tcPr>
            <w:shd w:val="clear" w:color="auto" w:fill="F2F7FC"/>
          </w:tcPr>
          <w:p>
            <w:r>
              <w:rPr>
                <w:sz w:val="20"/>
              </w:rPr>
              <w:t xml:space="preserve">从全景片/CBCT提取颌骨和病灶</w:t>
            </w:r>
          </w:p>
        </w:tc>
        <w:tc>
          <w:tcPr>
            <w:shd w:val="clear" w:color="auto" w:fill="F2F7FC"/>
          </w:tcPr>
          <w:p>
            <w:r>
              <w:rPr>
                <w:sz w:val="20"/>
              </w:rPr>
              <w:t xml:space="preserve">nnU-Net / MedSAM</w:t>
            </w:r>
          </w:p>
        </w:tc>
      </w:tr>
      <w:tr>
        <w:tc>
          <w:tcPr>
            <w:shd w:val="clear" w:color="auto" w:fill="FFFFFF"/>
          </w:tcPr>
          <w:p>
            <w:r>
              <w:rPr>
                <w:sz w:val="20"/>
              </w:rPr>
              <w:t xml:space="preserve">白光/荧光融合</w:t>
            </w:r>
          </w:p>
        </w:tc>
        <w:tc>
          <w:tcPr>
            <w:shd w:val="clear" w:color="auto" w:fill="FFFFFF"/>
          </w:tcPr>
          <w:p>
            <w:r>
              <w:rPr>
                <w:sz w:val="20"/>
              </w:rPr>
              <w:t xml:space="preserve">双通道配准，伪彩叠加图</w:t>
            </w:r>
          </w:p>
        </w:tc>
        <w:tc>
          <w:tcPr>
            <w:shd w:val="clear" w:color="auto" w:fill="FFFFFF"/>
          </w:tcPr>
          <w:p>
            <w:r>
              <w:rPr>
                <w:sz w:val="20"/>
              </w:rPr>
              <w:t xml:space="preserve">多模态融合</w:t>
            </w:r>
          </w:p>
        </w:tc>
      </w:tr>
      <w:tr>
        <w:tc>
          <w:tcPr>
            <w:shd w:val="clear" w:color="auto" w:fill="F2F7FC"/>
          </w:tcPr>
          <w:p>
            <w:r>
              <w:rPr>
                <w:sz w:val="20"/>
              </w:rPr>
              <w:t xml:space="preserve">病灶边界分割</w:t>
            </w:r>
          </w:p>
        </w:tc>
        <w:tc>
          <w:tcPr>
            <w:shd w:val="clear" w:color="auto" w:fill="F2F7FC"/>
          </w:tcPr>
          <w:p>
            <w:r>
              <w:rPr>
                <w:sz w:val="20"/>
              </w:rPr>
              <w:t xml:space="preserve">分割+边界增强+不确定性热图</w:t>
            </w:r>
          </w:p>
        </w:tc>
        <w:tc>
          <w:tcPr>
            <w:shd w:val="clear" w:color="auto" w:fill="F2F7FC"/>
          </w:tcPr>
          <w:p>
            <w:r>
              <w:rPr>
                <w:sz w:val="20"/>
              </w:rPr>
              <w:t xml:space="preserve">EGNet + FRS Loss</w:t>
            </w:r>
          </w:p>
        </w:tc>
      </w:tr>
      <w:tr>
        <w:tc>
          <w:tcPr>
            <w:shd w:val="clear" w:color="auto" w:fill="FFFFFF"/>
          </w:tcPr>
          <w:p>
            <w:r>
              <w:rPr>
                <w:sz w:val="20"/>
              </w:rPr>
              <w:t xml:space="preserve">显微镜端呈现</w:t>
            </w:r>
          </w:p>
        </w:tc>
        <w:tc>
          <w:tcPr>
            <w:shd w:val="clear" w:color="auto" w:fill="FFFFFF"/>
          </w:tcPr>
          <w:p>
            <w:r>
              <w:rPr>
                <w:sz w:val="20"/>
              </w:rPr>
              <w:t xml:space="preserve">叠加热图、边界线、风险标签</w:t>
            </w:r>
          </w:p>
        </w:tc>
        <w:tc>
          <w:tcPr>
            <w:shd w:val="clear" w:color="auto" w:fill="FFFFFF"/>
          </w:tcPr>
          <w:p>
            <w:r>
              <w:rPr>
                <w:sz w:val="20"/>
              </w:rPr>
              <w:t xml:space="preserve">4K叠加 + DICOM输出</w:t>
            </w:r>
          </w:p>
        </w:tc>
      </w:tr>
    </w:tbl>
    <w:p>
      <w:pPr>
        <w:pStyle w:val="Heading2"/>
      </w:pPr>
      <w:r>
        <w:rPr/>
        <w:t xml:space="preserve">4.2 核心模型性能</w:t>
      </w:r>
    </w:p>
    <w:tbl>
      <w:tblPr>
        <w:tblBorders>
          <w:top w:val="single" w:color="2E75B6" w:sz="4"/>
          <w:bottom w:val="single" w:color="2E75B6" w:sz="4"/>
          <w:left w:val="single" w:color="CCCCCC" w:sz="4"/>
          <w:right w:val="single" w:color="CCCCCC" w:sz="4"/>
          <w:insideH w:val="single" w:color="CCCCCC" w:sz="2"/>
          <w:insideV w:val="single" w:color="CCCCCC" w:sz="2"/>
        </w:tblBorders>
        <w:tblW w:w="5000" w:type="pct"/>
        <w:tblCellMar>
          <w:top w:w="40" w:type="dxa"/>
          <w:left w:w="80" w:type="dxa"/>
          <w:bottom w:w="40" w:type="dxa"/>
          <w:right w:w="80" w:type="dxa"/>
        </w:tblCellMar>
      </w:tblPr>
      <w:tblGrid>
        <w:gridCol/>
        <w:gridCol/>
        <w:gridCol/>
        <w:gridCol/>
      </w:tblGrid>
      <w:tr>
        <w:tc>
          <w:tcPr>
            <w:shd w:val="clear" w:color="auto" w:fill="2E75B6"/>
          </w:tcPr>
          <w:p>
            <w:pPr>
              <w:jc w:val="center"/>
            </w:pPr>
            <w:r>
              <w:rPr>
                <w:b/>
                <w:color w:val="FFFFFF"/>
                <w:sz w:val="20"/>
              </w:rPr>
              <w:t xml:space="preserve">模型</w:t>
            </w:r>
          </w:p>
        </w:tc>
        <w:tc>
          <w:tcPr>
            <w:shd w:val="clear" w:color="auto" w:fill="2E75B6"/>
          </w:tcPr>
          <w:p>
            <w:pPr>
              <w:jc w:val="center"/>
            </w:pPr>
            <w:r>
              <w:rPr>
                <w:b/>
                <w:color w:val="FFFFFF"/>
                <w:sz w:val="20"/>
              </w:rPr>
              <w:t xml:space="preserve">任务</w:t>
            </w:r>
          </w:p>
        </w:tc>
        <w:tc>
          <w:tcPr>
            <w:shd w:val="clear" w:color="auto" w:fill="2E75B6"/>
          </w:tcPr>
          <w:p>
            <w:pPr>
              <w:jc w:val="center"/>
            </w:pPr>
            <w:r>
              <w:rPr>
                <w:b/>
                <w:color w:val="FFFFFF"/>
                <w:sz w:val="20"/>
              </w:rPr>
              <w:t xml:space="preserve">关键指标</w:t>
            </w:r>
          </w:p>
        </w:tc>
        <w:tc>
          <w:tcPr>
            <w:shd w:val="clear" w:color="auto" w:fill="2E75B6"/>
          </w:tcPr>
          <w:p>
            <w:pPr>
              <w:jc w:val="center"/>
            </w:pPr>
            <w:r>
              <w:rPr>
                <w:b/>
                <w:color w:val="FFFFFF"/>
                <w:sz w:val="20"/>
              </w:rPr>
              <w:t xml:space="preserve">数据集</w:t>
            </w:r>
          </w:p>
        </w:tc>
      </w:tr>
      <w:tr>
        <w:tc>
          <w:tcPr>
            <w:shd w:val="clear" w:color="auto" w:fill="F2F7FC"/>
          </w:tcPr>
          <w:p>
            <w:r>
              <w:rPr>
                <w:sz w:val="20"/>
              </w:rPr>
              <w:t xml:space="preserve">EGNet</w:t>
            </w:r>
          </w:p>
        </w:tc>
        <w:tc>
          <w:tcPr>
            <w:shd w:val="clear" w:color="auto" w:fill="F2F7FC"/>
          </w:tcPr>
          <w:p>
            <w:r>
              <w:rPr>
                <w:sz w:val="20"/>
              </w:rPr>
              <w:t xml:space="preserve">边界感知分割</w:t>
            </w:r>
          </w:p>
        </w:tc>
        <w:tc>
          <w:tcPr>
            <w:shd w:val="clear" w:color="auto" w:fill="F2F7FC"/>
          </w:tcPr>
          <w:p>
            <w:r>
              <w:rPr>
                <w:sz w:val="20"/>
              </w:rPr>
              <w:t xml:space="preserve">Dice 0.9164, IoU 0.8543</w:t>
            </w:r>
          </w:p>
        </w:tc>
        <w:tc>
          <w:tcPr>
            <w:shd w:val="clear" w:color="auto" w:fill="F2F7FC"/>
          </w:tcPr>
          <w:p>
            <w:r>
              <w:rPr>
                <w:sz w:val="20"/>
              </w:rPr>
              <w:t xml:space="preserve">ISIC2018</w:t>
            </w:r>
          </w:p>
        </w:tc>
      </w:tr>
      <w:tr>
        <w:tc>
          <w:tcPr>
            <w:shd w:val="clear" w:color="auto" w:fill="FFFFFF"/>
          </w:tcPr>
          <w:p>
            <w:r>
              <w:rPr>
                <w:sz w:val="20"/>
              </w:rPr>
              <w:t xml:space="preserve">FRS Loss</w:t>
            </w:r>
          </w:p>
        </w:tc>
        <w:tc>
          <w:tcPr>
            <w:shd w:val="clear" w:color="auto" w:fill="FFFFFF"/>
          </w:tcPr>
          <w:p>
            <w:r>
              <w:rPr>
                <w:sz w:val="20"/>
              </w:rPr>
              <w:t xml:space="preserve">模糊边界分割</w:t>
            </w:r>
          </w:p>
        </w:tc>
        <w:tc>
          <w:tcPr>
            <w:shd w:val="clear" w:color="auto" w:fill="FFFFFF"/>
          </w:tcPr>
          <w:p>
            <w:r>
              <w:rPr>
                <w:sz w:val="20"/>
              </w:rPr>
              <w:t xml:space="preserve">Recall +2.33%</w:t>
            </w:r>
          </w:p>
        </w:tc>
        <w:tc>
          <w:tcPr>
            <w:shd w:val="clear" w:color="auto" w:fill="FFFFFF"/>
          </w:tcPr>
          <w:p>
            <w:r>
              <w:rPr>
                <w:sz w:val="20"/>
              </w:rPr>
              <w:t xml:space="preserve">多基准消融</w:t>
            </w:r>
          </w:p>
        </w:tc>
      </w:tr>
      <w:tr>
        <w:tc>
          <w:tcPr>
            <w:shd w:val="clear" w:color="auto" w:fill="F2F7FC"/>
          </w:tcPr>
          <w:p>
            <w:r>
              <w:rPr>
                <w:sz w:val="20"/>
              </w:rPr>
              <w:t xml:space="preserve">WaveletFusion-ViT</w:t>
            </w:r>
          </w:p>
        </w:tc>
        <w:tc>
          <w:tcPr>
            <w:shd w:val="clear" w:color="auto" w:fill="F2F7FC"/>
          </w:tcPr>
          <w:p>
            <w:r>
              <w:rPr>
                <w:sz w:val="20"/>
              </w:rPr>
              <w:t xml:space="preserve">骨髓炎分类</w:t>
            </w:r>
          </w:p>
        </w:tc>
        <w:tc>
          <w:tcPr>
            <w:shd w:val="clear" w:color="auto" w:fill="F2F7FC"/>
          </w:tcPr>
          <w:p>
            <w:r>
              <w:rPr>
                <w:sz w:val="20"/>
              </w:rPr>
              <w:t xml:space="preserve">AUC 0.9568</w:t>
            </w:r>
          </w:p>
        </w:tc>
        <w:tc>
          <w:tcPr>
            <w:shd w:val="clear" w:color="auto" w:fill="F2F7FC"/>
          </w:tcPr>
          <w:p>
            <w:r>
              <w:rPr>
                <w:sz w:val="20"/>
              </w:rPr>
              <w:t xml:space="preserve">全景片</w:t>
            </w:r>
          </w:p>
        </w:tc>
      </w:tr>
      <w:tr>
        <w:tc>
          <w:tcPr>
            <w:shd w:val="clear" w:color="auto" w:fill="FFFFFF"/>
          </w:tcPr>
          <w:p>
            <w:r>
              <w:rPr>
                <w:sz w:val="20"/>
              </w:rPr>
              <w:t xml:space="preserve">nnU-Net</w:t>
            </w:r>
          </w:p>
        </w:tc>
        <w:tc>
          <w:tcPr>
            <w:shd w:val="clear" w:color="auto" w:fill="FFFFFF"/>
          </w:tcPr>
          <w:p>
            <w:r>
              <w:rPr>
                <w:sz w:val="20"/>
              </w:rPr>
              <w:t xml:space="preserve">通用医学分割</w:t>
            </w:r>
          </w:p>
        </w:tc>
        <w:tc>
          <w:tcPr>
            <w:shd w:val="clear" w:color="auto" w:fill="FFFFFF"/>
          </w:tcPr>
          <w:p>
            <w:r>
              <w:rPr>
                <w:sz w:val="20"/>
              </w:rPr>
              <w:t xml:space="preserve">自配置top性能</w:t>
            </w:r>
          </w:p>
        </w:tc>
        <w:tc>
          <w:tcPr>
            <w:shd w:val="clear" w:color="auto" w:fill="FFFFFF"/>
          </w:tcPr>
          <w:p>
            <w:r>
              <w:rPr>
                <w:sz w:val="20"/>
              </w:rPr>
              <w:t xml:space="preserve">MSD</w:t>
            </w:r>
          </w:p>
        </w:tc>
      </w:tr>
      <w:tr>
        <w:tc>
          <w:tcPr>
            <w:shd w:val="clear" w:color="auto" w:fill="F2F7FC"/>
          </w:tcPr>
          <w:p>
            <w:r>
              <w:rPr>
                <w:sz w:val="20"/>
              </w:rPr>
              <w:t xml:space="preserve">MedSAM</w:t>
            </w:r>
          </w:p>
        </w:tc>
        <w:tc>
          <w:tcPr>
            <w:shd w:val="clear" w:color="auto" w:fill="F2F7FC"/>
          </w:tcPr>
          <w:p>
            <w:r>
              <w:rPr>
                <w:sz w:val="20"/>
              </w:rPr>
              <w:t xml:space="preserve">交互式分割</w:t>
            </w:r>
          </w:p>
        </w:tc>
        <w:tc>
          <w:tcPr>
            <w:shd w:val="clear" w:color="auto" w:fill="F2F7FC"/>
          </w:tcPr>
          <w:p>
            <w:r>
              <w:rPr>
                <w:sz w:val="20"/>
              </w:rPr>
              <w:t xml:space="preserve">2315引用</w:t>
            </w:r>
          </w:p>
        </w:tc>
        <w:tc>
          <w:tcPr>
            <w:shd w:val="clear" w:color="auto" w:fill="F2F7FC"/>
          </w:tcPr>
          <w:p>
            <w:r>
              <w:rPr>
                <w:sz w:val="20"/>
              </w:rPr>
              <w:t xml:space="preserve">多模态</w:t>
            </w:r>
          </w:p>
        </w:tc>
      </w:tr>
    </w:tbl>
    <w:p>
      <w:pPr>
        <w:pStyle w:val="Heading1"/>
      </w:pPr>
      <w:r>
        <w:rPr/>
        <w:t xml:space="preserve">五、关键结论与建议</w:t>
      </w:r>
    </w:p>
    <w:p>
      <w:pPr>
        <w:pStyle w:val="Heading2"/>
      </w:pPr>
      <w:r>
        <w:rPr/>
        <w:t xml:space="preserve">5.1 可行性判断</w:t>
      </w:r>
    </w:p>
    <w:p>
      <w:r>
        <w:rPr/>
        <w:t xml:space="preserve">1. ICG造影剂成熟安全：EAES 2023共识确认ICG安全有效，骨灌注系统综述（23项研究452例）支持其在骨髓炎诊断中的应用前景。</w:t>
      </w:r>
    </w:p>
    <w:p>
      <w:r>
        <w:rPr/>
        <w:t xml:space="preserve">2. AI技术路线成熟：9个核心模型有开源代码可直接使用，nnU-Net可快速搭建baseline，EGNet+FRS Loss专门针对模糊边界。</w:t>
      </w:r>
    </w:p>
    <w:p>
      <w:r>
        <w:rPr/>
        <w:t xml:space="preserve">3. 公开数据可支撑预训练：D025（牙源性病灶CBCT+病理）和D024（38结构标注CBCT）是最接近的公开数据。</w:t>
      </w:r>
    </w:p>
    <w:p>
      <w:r>
        <w:rPr/>
        <w:t xml:space="preserve">4. 直接任务证据充分：P014证明全景片上区分骨髓炎可行（AUC 0.96），P046实现显微镜ICG视频AI语义分割。</w:t>
      </w:r>
    </w:p>
    <w:p>
      <w:pPr>
        <w:pStyle w:val="Heading2"/>
      </w:pPr>
      <w:r>
        <w:rPr/>
        <w:t xml:space="preserve">5.2 核心限制</w:t>
      </w:r>
    </w:p>
    <w:p>
      <w:r>
        <w:rPr/>
        <w:t xml:space="preserve">1. 无专用数据集：没有公开的颌骨骨髓炎术中ICG荧光数据集，需通过迁移学习和半监督学习弥补。</w:t>
      </w:r>
    </w:p>
    <w:p>
      <w:r>
        <w:rPr/>
        <w:t xml:space="preserve">2. ICG特异性不足：ICG反映血流灌注而非骨髓炎病理标志，定位为灌注/活性提示信号。</w:t>
      </w:r>
    </w:p>
    <w:p>
      <w:pPr>
        <w:pStyle w:val="Heading2"/>
      </w:pPr>
      <w:r>
        <w:rPr/>
        <w:t xml:space="preserve">5.3 建议</w:t>
      </w:r>
    </w:p>
    <w:p>
      <w:r>
        <w:rPr/>
        <w:t xml:space="preserve">1. 建议参赛，选择基础可行demo路线，不承诺新型特异性造影剂合成。</w:t>
      </w:r>
    </w:p>
    <w:p>
      <w:r>
        <w:rPr/>
        <w:t xml:space="preserve">2. 尽早联系企业或合作医院，争取10-30例脱敏术中白光/ICG图像或视频。</w:t>
      </w:r>
    </w:p>
    <w:p>
      <w:r>
        <w:rPr/>
        <w:t xml:space="preserve">3. 以nnU-Net为baseline，逐步叠加EGNet边界分支和不确定性热图。</w:t>
      </w:r>
    </w:p>
    <w:p>
      <w:r>
        <w:rPr/>
        <w:t xml:space="preserve">4. 组建影像算法、口腔/颌面医学、软件原型三类成员的团队。</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宋体" w:cs="Arial"/>
        <w:sz w:val="24"/>
        <w:szCs w:val="24"/>
      </w:rPr>
    </w:rPrDefault>
    <w:pPrDefault>
      <w:pPr>
        <w:spacing w:after="120" w:line="276" w:lineRule="auto"/>
      </w:pPr>
    </w:pPrDefault>
  </w:docDefaults>
  <w:style w:type="paragraph" w:styleId="Normal" w:default="true">
    <w:name w:val="Normal"/>
    <w:pPr/>
    <w:rPr/>
  </w:style>
  <w:style w:type="paragraph" w:styleId="Heading1">
    <w:name w:val="heading 1"/>
    <w:basedOn w:val="Normal"/>
    <w:pPr>
      <w:outlineLvl w:val="0"/>
      <w:keepNext/>
      <w:keepLines/>
      <w:spacing w:before="360" w:after="200"/>
    </w:pPr>
    <w:rPr>
      <w:rFonts w:ascii="Calibri" w:hAnsi="Calibri" w:eastAsia="黑体"/>
      <w:b/>
      <w:sz w:val="36"/>
      <w:szCs w:val="36"/>
      <w:color w:val="1F3864"/>
    </w:rPr>
  </w:style>
  <w:style w:type="paragraph" w:styleId="Heading2">
    <w:name w:val="heading 2"/>
    <w:basedOn w:val="Normal"/>
    <w:pPr>
      <w:outlineLvl w:val="1"/>
      <w:keepNext/>
      <w:keepLines/>
      <w:spacing w:before="240" w:after="120"/>
    </w:pPr>
    <w:rPr>
      <w:rFonts w:ascii="Calibri" w:hAnsi="Calibri" w:eastAsia="黑体"/>
      <w:b/>
      <w:sz w:val="28"/>
      <w:szCs w:val="28"/>
      <w:color w:val="2E75B6"/>
    </w:rPr>
  </w:style>
  <w:style w:type="paragraph" w:styleId="Heading3">
    <w:name w:val="heading 3"/>
    <w:basedOn w:val="Normal"/>
    <w:pPr>
      <w:outlineLvl w:val="2"/>
      <w:keepNext/>
      <w:keepLines/>
      <w:spacing w:before="200" w:after="80"/>
    </w:pPr>
    <w:rPr>
      <w:rFonts w:ascii="Calibri" w:hAnsi="Calibri" w:eastAsia="黑体"/>
      <w:b/>
      <w:sz w:val="24"/>
      <w:szCs w:val="24"/>
      <w:color w:val="2E75B6"/>
    </w:rPr>
  </w:style>
</w:styles>
</file>

<file path=word/_rels/document.xml.rels>&#65279;<?xml version="1.0" encoding="utf-8"?><Relationships xmlns="http://schemas.openxmlformats.org/package/2006/relationships"><Relationship Type="http://schemas.openxmlformats.org/officeDocument/2006/relationships/styles" Target="/word/styles.xml" Id="R6a7c9e929e8b416d" /></Relationships>
</file>