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54B1D" w14:textId="6E5CAC77" w:rsidR="00EA5A6C" w:rsidRPr="00EA5A6C" w:rsidRDefault="00EA5A6C" w:rsidP="00EA5A6C">
      <w:pPr>
        <w:jc w:val="center"/>
        <w:rPr>
          <w:sz w:val="32"/>
          <w:szCs w:val="32"/>
        </w:rPr>
      </w:pPr>
      <w:r w:rsidRPr="00EA5A6C">
        <w:rPr>
          <w:sz w:val="32"/>
          <w:szCs w:val="32"/>
        </w:rPr>
        <w:t>An</w:t>
      </w:r>
      <w:r w:rsidR="004E35D3">
        <w:rPr>
          <w:sz w:val="32"/>
          <w:szCs w:val="32"/>
        </w:rPr>
        <w:t>weis</w:t>
      </w:r>
      <w:r w:rsidRPr="00EA5A6C">
        <w:rPr>
          <w:sz w:val="32"/>
          <w:szCs w:val="32"/>
        </w:rPr>
        <w:t>ung für die Stromversorgung von Wohnwagen</w:t>
      </w:r>
      <w:r>
        <w:rPr>
          <w:sz w:val="32"/>
          <w:szCs w:val="32"/>
        </w:rPr>
        <w:br/>
      </w:r>
      <w:r w:rsidRPr="00EA5A6C">
        <w:rPr>
          <w:sz w:val="24"/>
          <w:szCs w:val="24"/>
        </w:rPr>
        <w:t>(gemäß IEC 60364-7-721:2007, Anhang A)</w:t>
      </w:r>
    </w:p>
    <w:p w14:paraId="25DCC20C" w14:textId="4A859F79" w:rsidR="00EA5A6C" w:rsidRDefault="00EA5A6C" w:rsidP="00EA5A6C">
      <w:r w:rsidRPr="00EA5A6C">
        <w:rPr>
          <w:b/>
          <w:bCs/>
        </w:rPr>
        <w:t>Anschließen</w:t>
      </w:r>
      <w:r w:rsidR="0062572A" w:rsidRPr="00EA5A6C">
        <w:br/>
      </w:r>
      <w:r w:rsidR="0062572A" w:rsidRPr="00EA5A6C">
        <w:br/>
      </w:r>
      <w:r w:rsidRPr="00EA5A6C">
        <w:t xml:space="preserve">a) </w:t>
      </w:r>
      <w:r w:rsidRPr="00EA5A6C">
        <w:rPr>
          <w:u w:val="single"/>
        </w:rPr>
        <w:t>Vor dem Anschluss</w:t>
      </w:r>
      <w:r w:rsidRPr="00EA5A6C">
        <w:t xml:space="preserve"> der Wohnwagenanlage an das Stromnetz ist zu prüfen, ob</w:t>
      </w:r>
      <w:r w:rsidRPr="00EA5A6C">
        <w:br/>
      </w:r>
      <w:r w:rsidR="0062572A" w:rsidRPr="00EA5A6C">
        <w:br/>
      </w:r>
      <w:r w:rsidRPr="00EA5A6C">
        <w:t>1) die am Anschlusspunkt des Wohnwagenstellplatzes verfügbare Stromversorgung für die elektrische Anlage und die Geräte des Wohnwagens geeignet ist, die Spannung, die Frequenz und die Stromstärke geeignet sind,</w:t>
      </w:r>
      <w:r>
        <w:t xml:space="preserve"> und</w:t>
      </w:r>
    </w:p>
    <w:p w14:paraId="0A28DF27" w14:textId="77777777" w:rsidR="00EA5A6C" w:rsidRDefault="00EA5A6C" w:rsidP="00EA5A6C">
      <w:r w:rsidRPr="00EA5A6C">
        <w:t>2) das Kabel und die Anschlussmittel geeignet sind, und</w:t>
      </w:r>
      <w:r w:rsidR="0062572A" w:rsidRPr="00EA5A6C">
        <w:t xml:space="preserve"> </w:t>
      </w:r>
    </w:p>
    <w:p w14:paraId="7F4BA261" w14:textId="052CF8AA" w:rsidR="00EA5A6C" w:rsidRPr="00EA5A6C" w:rsidRDefault="00EA5A6C">
      <w:r w:rsidRPr="00EA5A6C">
        <w:t>3) der Haupttrennschalter im Wohnwagen in der Position AUS steht.</w:t>
      </w:r>
    </w:p>
    <w:p w14:paraId="638D4B72" w14:textId="77777777" w:rsidR="00EA5A6C" w:rsidRDefault="00EA5A6C">
      <w:pPr>
        <w:rPr>
          <w:b/>
          <w:bCs/>
          <w:sz w:val="32"/>
          <w:szCs w:val="32"/>
        </w:rPr>
      </w:pPr>
      <w:r w:rsidRPr="00EA5A6C">
        <w:rPr>
          <w:b/>
          <w:bCs/>
          <w:sz w:val="32"/>
          <w:szCs w:val="32"/>
          <w:highlight w:val="lightGray"/>
        </w:rPr>
        <w:t>DIE FLEXIBLE ZULEITUNG DES WOHNWAGENS SOLLTE VOLLSTÄNDIG ABGEWICKELT SEIN, UM SCHÄDEN DURCH ÜBERHITZUNG ZU VERMEIDEN.</w:t>
      </w:r>
    </w:p>
    <w:p w14:paraId="3C14143C" w14:textId="77777777" w:rsidR="00EA5A6C" w:rsidRPr="004E35D3" w:rsidRDefault="00EA5A6C">
      <w:r w:rsidRPr="004E35D3">
        <w:t xml:space="preserve">b) Überprüfen Sie das Kabel, den Stecker und den Anschluss auf Beschädigungen. </w:t>
      </w:r>
    </w:p>
    <w:p w14:paraId="4587526E" w14:textId="77777777" w:rsidR="00EA5A6C" w:rsidRDefault="00EA5A6C">
      <w:r w:rsidRPr="00EA5A6C">
        <w:t xml:space="preserve">c) Öffnen Sie die Abdeckung der am Wohnwagen vorhandenen Gerätesteckdose, falls vorhanden, und stecken Sie den Stecker des flexiblen Kabels ein. </w:t>
      </w:r>
    </w:p>
    <w:p w14:paraId="14F8BA2E" w14:textId="77777777" w:rsidR="00EA5A6C" w:rsidRDefault="00EA5A6C">
      <w:r w:rsidRPr="00EA5A6C">
        <w:t xml:space="preserve">d) Stecken Sie den Stecker des flexiblen Kabels in die am Stellplatz vorgesehene Steckdose. </w:t>
      </w:r>
    </w:p>
    <w:p w14:paraId="386E5BDD" w14:textId="77777777" w:rsidR="00EA5A6C" w:rsidRPr="004E35D3" w:rsidRDefault="00EA5A6C">
      <w:r w:rsidRPr="004E35D3">
        <w:t xml:space="preserve">e) Schalten Sie den Hauptschalter des Wohnwagens ein. </w:t>
      </w:r>
    </w:p>
    <w:p w14:paraId="1E8678FD" w14:textId="77777777" w:rsidR="00EA5A6C" w:rsidRDefault="00EA5A6C">
      <w:r w:rsidRPr="00EA5A6C">
        <w:t xml:space="preserve">f) Prüfen Sie die Funktion der im Wohnwagen eingebauten Fehlerstromschutzschalter durch Drücken der Prüfknöpfe und Rückstellung. </w:t>
      </w:r>
    </w:p>
    <w:p w14:paraId="5A15A14D" w14:textId="714758AC" w:rsidR="0062572A" w:rsidRPr="00EA5A6C" w:rsidRDefault="00EA5A6C">
      <w:pPr>
        <w:rPr>
          <w:b/>
          <w:bCs/>
          <w:sz w:val="28"/>
          <w:szCs w:val="28"/>
        </w:rPr>
      </w:pPr>
      <w:r w:rsidRPr="00EA5A6C">
        <w:rPr>
          <w:b/>
          <w:bCs/>
          <w:sz w:val="28"/>
          <w:szCs w:val="28"/>
          <w:highlight w:val="lightGray"/>
        </w:rPr>
        <w:t>IM ZWEIFELSFALL, ODER WENN DIE STROMVERSORGUNG NACH DURCHFÜHRUNG DER OBEN GENANNTEN MASSNAHMEN NICHT WIEDERHERGESTELLT WERDEN KANN ODER AUSFÄLLT, WENDEN SIE SICH AN DEN BETREIBER DES WOHNWAGENPARKS.</w:t>
      </w:r>
      <w:r w:rsidRPr="00EA5A6C">
        <w:rPr>
          <w:b/>
          <w:bCs/>
          <w:sz w:val="28"/>
          <w:szCs w:val="28"/>
        </w:rPr>
        <w:t xml:space="preserve"> </w:t>
      </w:r>
    </w:p>
    <w:p w14:paraId="3AC09536" w14:textId="4EA21A6A" w:rsidR="0062572A" w:rsidRPr="00EA5A6C" w:rsidRDefault="00EA5A6C">
      <w:r w:rsidRPr="00EA5A6C">
        <w:rPr>
          <w:b/>
          <w:bCs/>
        </w:rPr>
        <w:t>Trennen der Verbindung</w:t>
      </w:r>
      <w:r w:rsidR="0062572A" w:rsidRPr="00EA5A6C">
        <w:rPr>
          <w:b/>
          <w:bCs/>
        </w:rPr>
        <w:br/>
      </w:r>
      <w:r w:rsidR="0062572A" w:rsidRPr="00EA5A6C">
        <w:rPr>
          <w:b/>
          <w:bCs/>
        </w:rPr>
        <w:br/>
      </w:r>
      <w:r w:rsidRPr="00EA5A6C">
        <w:t>Am Hauptschalter des Wohnwagens ausschalten, das Kabel ausstecken. Zuerst auf der Seite des Wohnwagenstellplatzes und dann am Geräteeingang des Wohnwagens, falls vorhanden.</w:t>
      </w:r>
    </w:p>
    <w:p w14:paraId="44307F18" w14:textId="6F73B2B4" w:rsidR="0062572A" w:rsidRPr="0062572A" w:rsidRDefault="0062572A">
      <w:pPr>
        <w:rPr>
          <w:b/>
          <w:bCs/>
          <w:sz w:val="28"/>
          <w:szCs w:val="28"/>
          <w:lang w:val="en-US"/>
        </w:rPr>
      </w:pPr>
      <w:r w:rsidRPr="0062572A">
        <w:rPr>
          <w:b/>
          <w:bCs/>
          <w:sz w:val="28"/>
          <w:szCs w:val="28"/>
          <w:lang w:val="en-US"/>
        </w:rPr>
        <w:t>PERIODI</w:t>
      </w:r>
      <w:r w:rsidR="00EA5A6C">
        <w:rPr>
          <w:b/>
          <w:bCs/>
          <w:sz w:val="28"/>
          <w:szCs w:val="28"/>
          <w:lang w:val="en-US"/>
        </w:rPr>
        <w:t>SCHE</w:t>
      </w:r>
      <w:r w:rsidRPr="0062572A">
        <w:rPr>
          <w:b/>
          <w:bCs/>
          <w:sz w:val="28"/>
          <w:szCs w:val="28"/>
          <w:lang w:val="en-US"/>
        </w:rPr>
        <w:t xml:space="preserve"> INSPE</w:t>
      </w:r>
      <w:r w:rsidR="00EA5A6C">
        <w:rPr>
          <w:b/>
          <w:bCs/>
          <w:sz w:val="28"/>
          <w:szCs w:val="28"/>
          <w:lang w:val="en-US"/>
        </w:rPr>
        <w:t>K</w:t>
      </w:r>
      <w:r w:rsidRPr="0062572A">
        <w:rPr>
          <w:b/>
          <w:bCs/>
          <w:sz w:val="28"/>
          <w:szCs w:val="28"/>
          <w:lang w:val="en-US"/>
        </w:rPr>
        <w:t xml:space="preserve">TION </w:t>
      </w:r>
    </w:p>
    <w:p w14:paraId="352DAE76" w14:textId="77777777" w:rsidR="00843872" w:rsidRDefault="00EA5A6C">
      <w:r w:rsidRPr="00EA5A6C">
        <w:t>Vorzugsweise mindestens alle drei Jahre und bei häufigem Gebrauch des Wohnwagens jährlich sollten die Elektroinstallation und das Stromkabel des Wohnwagens von einem kompetenten Elektriker überprüft und getestet werden, und es sollte ein Bericht über ihren Zustand erstellt werden.</w:t>
      </w:r>
    </w:p>
    <w:p w14:paraId="450491E3" w14:textId="2233F8B6" w:rsidR="0062572A" w:rsidRPr="00EA5A6C" w:rsidRDefault="00843872">
      <w:r>
        <w:t>Prüfungen:</w:t>
      </w:r>
    </w:p>
    <w:tbl>
      <w:tblPr>
        <w:tblStyle w:val="Tabellenraster"/>
        <w:tblW w:w="9164" w:type="dxa"/>
        <w:tblLook w:val="04A0" w:firstRow="1" w:lastRow="0" w:firstColumn="1" w:lastColumn="0" w:noHBand="0" w:noVBand="1"/>
      </w:tblPr>
      <w:tblGrid>
        <w:gridCol w:w="1427"/>
        <w:gridCol w:w="3154"/>
        <w:gridCol w:w="1651"/>
        <w:gridCol w:w="2932"/>
      </w:tblGrid>
      <w:tr w:rsidR="0062572A" w14:paraId="3D23DCA6" w14:textId="77777777" w:rsidTr="0062572A">
        <w:trPr>
          <w:trHeight w:val="284"/>
        </w:trPr>
        <w:tc>
          <w:tcPr>
            <w:tcW w:w="1427" w:type="dxa"/>
          </w:tcPr>
          <w:p w14:paraId="2CAF8B9A" w14:textId="429872BF" w:rsidR="0062572A" w:rsidRDefault="00EA5A6C">
            <w:pPr>
              <w:rPr>
                <w:lang w:val="en-US"/>
              </w:rPr>
            </w:pPr>
            <w:r>
              <w:rPr>
                <w:lang w:val="en-US"/>
              </w:rPr>
              <w:t>Datum</w:t>
            </w:r>
          </w:p>
        </w:tc>
        <w:tc>
          <w:tcPr>
            <w:tcW w:w="3154" w:type="dxa"/>
          </w:tcPr>
          <w:p w14:paraId="658B6092" w14:textId="5C351F6A" w:rsidR="0062572A" w:rsidRDefault="00EA5A6C">
            <w:pPr>
              <w:rPr>
                <w:lang w:val="en-US"/>
              </w:rPr>
            </w:pPr>
            <w:r>
              <w:rPr>
                <w:lang w:val="en-US"/>
              </w:rPr>
              <w:t>Prüfer</w:t>
            </w:r>
          </w:p>
        </w:tc>
        <w:tc>
          <w:tcPr>
            <w:tcW w:w="1651" w:type="dxa"/>
          </w:tcPr>
          <w:p w14:paraId="2F04A1C6" w14:textId="0D5A66F3" w:rsidR="0062572A" w:rsidRDefault="00EA5A6C">
            <w:pPr>
              <w:rPr>
                <w:lang w:val="en-US"/>
              </w:rPr>
            </w:pPr>
            <w:r>
              <w:rPr>
                <w:lang w:val="en-US"/>
              </w:rPr>
              <w:t>bestanden</w:t>
            </w:r>
          </w:p>
        </w:tc>
        <w:tc>
          <w:tcPr>
            <w:tcW w:w="2932" w:type="dxa"/>
          </w:tcPr>
          <w:p w14:paraId="5FBEEF83" w14:textId="159CF067" w:rsidR="0062572A" w:rsidRDefault="00EA5A6C">
            <w:pPr>
              <w:rPr>
                <w:lang w:val="en-US"/>
              </w:rPr>
            </w:pPr>
            <w:r>
              <w:rPr>
                <w:lang w:val="en-US"/>
              </w:rPr>
              <w:t>Unterschrift</w:t>
            </w:r>
          </w:p>
        </w:tc>
      </w:tr>
      <w:tr w:rsidR="0062572A" w14:paraId="2BBC0847" w14:textId="77777777" w:rsidTr="0062572A">
        <w:trPr>
          <w:trHeight w:val="284"/>
        </w:trPr>
        <w:tc>
          <w:tcPr>
            <w:tcW w:w="1427" w:type="dxa"/>
          </w:tcPr>
          <w:p w14:paraId="23D4AD57" w14:textId="77777777" w:rsidR="0062572A" w:rsidRDefault="0062572A">
            <w:pPr>
              <w:rPr>
                <w:lang w:val="en-US"/>
              </w:rPr>
            </w:pPr>
          </w:p>
        </w:tc>
        <w:tc>
          <w:tcPr>
            <w:tcW w:w="3154" w:type="dxa"/>
          </w:tcPr>
          <w:p w14:paraId="310A9EB3" w14:textId="77777777" w:rsidR="0062572A" w:rsidRDefault="0062572A">
            <w:pPr>
              <w:rPr>
                <w:lang w:val="en-US"/>
              </w:rPr>
            </w:pPr>
          </w:p>
        </w:tc>
        <w:tc>
          <w:tcPr>
            <w:tcW w:w="1651" w:type="dxa"/>
          </w:tcPr>
          <w:p w14:paraId="7F77066D" w14:textId="77777777" w:rsidR="0062572A" w:rsidRDefault="0062572A">
            <w:pPr>
              <w:rPr>
                <w:lang w:val="en-US"/>
              </w:rPr>
            </w:pPr>
          </w:p>
        </w:tc>
        <w:tc>
          <w:tcPr>
            <w:tcW w:w="2932" w:type="dxa"/>
          </w:tcPr>
          <w:p w14:paraId="143E75CB" w14:textId="77777777" w:rsidR="0062572A" w:rsidRDefault="0062572A">
            <w:pPr>
              <w:rPr>
                <w:lang w:val="en-US"/>
              </w:rPr>
            </w:pPr>
          </w:p>
        </w:tc>
      </w:tr>
      <w:tr w:rsidR="0062572A" w14:paraId="41F9C428" w14:textId="77777777" w:rsidTr="0062572A">
        <w:trPr>
          <w:trHeight w:val="297"/>
        </w:trPr>
        <w:tc>
          <w:tcPr>
            <w:tcW w:w="1427" w:type="dxa"/>
          </w:tcPr>
          <w:p w14:paraId="679660AF" w14:textId="77777777" w:rsidR="0062572A" w:rsidRDefault="0062572A">
            <w:pPr>
              <w:rPr>
                <w:lang w:val="en-US"/>
              </w:rPr>
            </w:pPr>
          </w:p>
        </w:tc>
        <w:tc>
          <w:tcPr>
            <w:tcW w:w="3154" w:type="dxa"/>
          </w:tcPr>
          <w:p w14:paraId="0F081210" w14:textId="77777777" w:rsidR="0062572A" w:rsidRDefault="0062572A">
            <w:pPr>
              <w:rPr>
                <w:lang w:val="en-US"/>
              </w:rPr>
            </w:pPr>
          </w:p>
        </w:tc>
        <w:tc>
          <w:tcPr>
            <w:tcW w:w="1651" w:type="dxa"/>
          </w:tcPr>
          <w:p w14:paraId="43A9A649" w14:textId="77777777" w:rsidR="0062572A" w:rsidRDefault="0062572A">
            <w:pPr>
              <w:rPr>
                <w:lang w:val="en-US"/>
              </w:rPr>
            </w:pPr>
          </w:p>
        </w:tc>
        <w:tc>
          <w:tcPr>
            <w:tcW w:w="2932" w:type="dxa"/>
          </w:tcPr>
          <w:p w14:paraId="5E5D1A61" w14:textId="77777777" w:rsidR="0062572A" w:rsidRDefault="0062572A">
            <w:pPr>
              <w:rPr>
                <w:lang w:val="en-US"/>
              </w:rPr>
            </w:pPr>
          </w:p>
        </w:tc>
      </w:tr>
      <w:tr w:rsidR="0062572A" w14:paraId="00ECF2E7" w14:textId="77777777" w:rsidTr="0062572A">
        <w:trPr>
          <w:trHeight w:val="284"/>
        </w:trPr>
        <w:tc>
          <w:tcPr>
            <w:tcW w:w="1427" w:type="dxa"/>
          </w:tcPr>
          <w:p w14:paraId="25E70AE0" w14:textId="77777777" w:rsidR="0062572A" w:rsidRDefault="0062572A">
            <w:pPr>
              <w:rPr>
                <w:lang w:val="en-US"/>
              </w:rPr>
            </w:pPr>
          </w:p>
        </w:tc>
        <w:tc>
          <w:tcPr>
            <w:tcW w:w="3154" w:type="dxa"/>
          </w:tcPr>
          <w:p w14:paraId="2B98ECC6" w14:textId="77777777" w:rsidR="0062572A" w:rsidRDefault="0062572A">
            <w:pPr>
              <w:rPr>
                <w:lang w:val="en-US"/>
              </w:rPr>
            </w:pPr>
          </w:p>
        </w:tc>
        <w:tc>
          <w:tcPr>
            <w:tcW w:w="1651" w:type="dxa"/>
          </w:tcPr>
          <w:p w14:paraId="24C020A7" w14:textId="77777777" w:rsidR="0062572A" w:rsidRDefault="0062572A">
            <w:pPr>
              <w:rPr>
                <w:lang w:val="en-US"/>
              </w:rPr>
            </w:pPr>
          </w:p>
        </w:tc>
        <w:tc>
          <w:tcPr>
            <w:tcW w:w="2932" w:type="dxa"/>
          </w:tcPr>
          <w:p w14:paraId="79B16D66" w14:textId="77777777" w:rsidR="0062572A" w:rsidRDefault="0062572A">
            <w:pPr>
              <w:rPr>
                <w:lang w:val="en-US"/>
              </w:rPr>
            </w:pPr>
          </w:p>
        </w:tc>
      </w:tr>
      <w:tr w:rsidR="0062572A" w14:paraId="2FF2FFE8" w14:textId="77777777" w:rsidTr="0062572A">
        <w:trPr>
          <w:trHeight w:val="284"/>
        </w:trPr>
        <w:tc>
          <w:tcPr>
            <w:tcW w:w="1427" w:type="dxa"/>
          </w:tcPr>
          <w:p w14:paraId="67A87E18" w14:textId="77777777" w:rsidR="0062572A" w:rsidRDefault="0062572A">
            <w:pPr>
              <w:rPr>
                <w:lang w:val="en-US"/>
              </w:rPr>
            </w:pPr>
          </w:p>
        </w:tc>
        <w:tc>
          <w:tcPr>
            <w:tcW w:w="3154" w:type="dxa"/>
          </w:tcPr>
          <w:p w14:paraId="45FA56AE" w14:textId="77777777" w:rsidR="0062572A" w:rsidRDefault="0062572A">
            <w:pPr>
              <w:rPr>
                <w:lang w:val="en-US"/>
              </w:rPr>
            </w:pPr>
          </w:p>
        </w:tc>
        <w:tc>
          <w:tcPr>
            <w:tcW w:w="1651" w:type="dxa"/>
          </w:tcPr>
          <w:p w14:paraId="2FDC23A2" w14:textId="77777777" w:rsidR="0062572A" w:rsidRDefault="0062572A">
            <w:pPr>
              <w:rPr>
                <w:lang w:val="en-US"/>
              </w:rPr>
            </w:pPr>
          </w:p>
        </w:tc>
        <w:tc>
          <w:tcPr>
            <w:tcW w:w="2932" w:type="dxa"/>
          </w:tcPr>
          <w:p w14:paraId="2B4FD033" w14:textId="77777777" w:rsidR="0062572A" w:rsidRDefault="0062572A">
            <w:pPr>
              <w:rPr>
                <w:lang w:val="en-US"/>
              </w:rPr>
            </w:pPr>
          </w:p>
        </w:tc>
      </w:tr>
      <w:tr w:rsidR="0062572A" w14:paraId="3F6AAF8F" w14:textId="77777777" w:rsidTr="0062572A">
        <w:trPr>
          <w:trHeight w:val="284"/>
        </w:trPr>
        <w:tc>
          <w:tcPr>
            <w:tcW w:w="1427" w:type="dxa"/>
          </w:tcPr>
          <w:p w14:paraId="4CB8D93C" w14:textId="77777777" w:rsidR="0062572A" w:rsidRDefault="0062572A">
            <w:pPr>
              <w:rPr>
                <w:lang w:val="en-US"/>
              </w:rPr>
            </w:pPr>
          </w:p>
        </w:tc>
        <w:tc>
          <w:tcPr>
            <w:tcW w:w="3154" w:type="dxa"/>
          </w:tcPr>
          <w:p w14:paraId="6A72B15B" w14:textId="77777777" w:rsidR="0062572A" w:rsidRDefault="0062572A">
            <w:pPr>
              <w:rPr>
                <w:lang w:val="en-US"/>
              </w:rPr>
            </w:pPr>
          </w:p>
        </w:tc>
        <w:tc>
          <w:tcPr>
            <w:tcW w:w="1651" w:type="dxa"/>
          </w:tcPr>
          <w:p w14:paraId="4D0AD2BD" w14:textId="77777777" w:rsidR="0062572A" w:rsidRDefault="0062572A">
            <w:pPr>
              <w:rPr>
                <w:lang w:val="en-US"/>
              </w:rPr>
            </w:pPr>
          </w:p>
        </w:tc>
        <w:tc>
          <w:tcPr>
            <w:tcW w:w="2932" w:type="dxa"/>
          </w:tcPr>
          <w:p w14:paraId="33437EF8" w14:textId="77777777" w:rsidR="0062572A" w:rsidRDefault="0062572A">
            <w:pPr>
              <w:rPr>
                <w:lang w:val="en-US"/>
              </w:rPr>
            </w:pPr>
          </w:p>
        </w:tc>
      </w:tr>
      <w:tr w:rsidR="0062572A" w14:paraId="11896F30" w14:textId="77777777" w:rsidTr="0062572A">
        <w:trPr>
          <w:trHeight w:val="284"/>
        </w:trPr>
        <w:tc>
          <w:tcPr>
            <w:tcW w:w="1427" w:type="dxa"/>
          </w:tcPr>
          <w:p w14:paraId="50A0D617" w14:textId="77777777" w:rsidR="0062572A" w:rsidRDefault="0062572A">
            <w:pPr>
              <w:rPr>
                <w:lang w:val="en-US"/>
              </w:rPr>
            </w:pPr>
          </w:p>
        </w:tc>
        <w:tc>
          <w:tcPr>
            <w:tcW w:w="3154" w:type="dxa"/>
          </w:tcPr>
          <w:p w14:paraId="45420A6B" w14:textId="77777777" w:rsidR="0062572A" w:rsidRDefault="0062572A">
            <w:pPr>
              <w:rPr>
                <w:lang w:val="en-US"/>
              </w:rPr>
            </w:pPr>
          </w:p>
        </w:tc>
        <w:tc>
          <w:tcPr>
            <w:tcW w:w="1651" w:type="dxa"/>
          </w:tcPr>
          <w:p w14:paraId="11969173" w14:textId="77777777" w:rsidR="0062572A" w:rsidRDefault="0062572A">
            <w:pPr>
              <w:rPr>
                <w:lang w:val="en-US"/>
              </w:rPr>
            </w:pPr>
          </w:p>
        </w:tc>
        <w:tc>
          <w:tcPr>
            <w:tcW w:w="2932" w:type="dxa"/>
          </w:tcPr>
          <w:p w14:paraId="5856B5CD" w14:textId="77777777" w:rsidR="0062572A" w:rsidRDefault="0062572A">
            <w:pPr>
              <w:rPr>
                <w:lang w:val="en-US"/>
              </w:rPr>
            </w:pPr>
          </w:p>
        </w:tc>
      </w:tr>
    </w:tbl>
    <w:p w14:paraId="5D9620EB" w14:textId="3711E82B" w:rsidR="0062572A" w:rsidRPr="0062572A" w:rsidRDefault="0062572A" w:rsidP="003B062C">
      <w:pPr>
        <w:rPr>
          <w:lang w:val="en-US"/>
        </w:rPr>
      </w:pPr>
    </w:p>
    <w:sectPr w:rsidR="0062572A" w:rsidRPr="0062572A" w:rsidSect="0062572A">
      <w:pgSz w:w="11906" w:h="16838"/>
      <w:pgMar w:top="709"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2A"/>
    <w:rsid w:val="00047D49"/>
    <w:rsid w:val="003B062C"/>
    <w:rsid w:val="004E35D3"/>
    <w:rsid w:val="0062572A"/>
    <w:rsid w:val="00843872"/>
    <w:rsid w:val="009109CF"/>
    <w:rsid w:val="00AA0BCF"/>
    <w:rsid w:val="00D420FB"/>
    <w:rsid w:val="00D56E64"/>
    <w:rsid w:val="00EA5A6C"/>
    <w:rsid w:val="00FE5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F2AE"/>
  <w15:chartTrackingRefBased/>
  <w15:docId w15:val="{EDA42BCA-BE5A-4E07-96BE-0C973C32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57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6257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2572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2572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2572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257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57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57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57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572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62572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2572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2572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2572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257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57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57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572A"/>
    <w:rPr>
      <w:rFonts w:eastAsiaTheme="majorEastAsia" w:cstheme="majorBidi"/>
      <w:color w:val="272727" w:themeColor="text1" w:themeTint="D8"/>
    </w:rPr>
  </w:style>
  <w:style w:type="paragraph" w:styleId="Titel">
    <w:name w:val="Title"/>
    <w:basedOn w:val="Standard"/>
    <w:next w:val="Standard"/>
    <w:link w:val="TitelZchn"/>
    <w:uiPriority w:val="10"/>
    <w:qFormat/>
    <w:rsid w:val="00625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7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57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57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57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572A"/>
    <w:rPr>
      <w:i/>
      <w:iCs/>
      <w:color w:val="404040" w:themeColor="text1" w:themeTint="BF"/>
    </w:rPr>
  </w:style>
  <w:style w:type="paragraph" w:styleId="Listenabsatz">
    <w:name w:val="List Paragraph"/>
    <w:basedOn w:val="Standard"/>
    <w:uiPriority w:val="34"/>
    <w:qFormat/>
    <w:rsid w:val="0062572A"/>
    <w:pPr>
      <w:ind w:left="720"/>
      <w:contextualSpacing/>
    </w:pPr>
  </w:style>
  <w:style w:type="character" w:styleId="IntensiveHervorhebung">
    <w:name w:val="Intense Emphasis"/>
    <w:basedOn w:val="Absatz-Standardschriftart"/>
    <w:uiPriority w:val="21"/>
    <w:qFormat/>
    <w:rsid w:val="0062572A"/>
    <w:rPr>
      <w:i/>
      <w:iCs/>
      <w:color w:val="2F5496" w:themeColor="accent1" w:themeShade="BF"/>
    </w:rPr>
  </w:style>
  <w:style w:type="paragraph" w:styleId="IntensivesZitat">
    <w:name w:val="Intense Quote"/>
    <w:basedOn w:val="Standard"/>
    <w:next w:val="Standard"/>
    <w:link w:val="IntensivesZitatZchn"/>
    <w:uiPriority w:val="30"/>
    <w:qFormat/>
    <w:rsid w:val="006257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2572A"/>
    <w:rPr>
      <w:i/>
      <w:iCs/>
      <w:color w:val="2F5496" w:themeColor="accent1" w:themeShade="BF"/>
    </w:rPr>
  </w:style>
  <w:style w:type="character" w:styleId="IntensiverVerweis">
    <w:name w:val="Intense Reference"/>
    <w:basedOn w:val="Absatz-Standardschriftart"/>
    <w:uiPriority w:val="32"/>
    <w:qFormat/>
    <w:rsid w:val="0062572A"/>
    <w:rPr>
      <w:b/>
      <w:bCs/>
      <w:smallCaps/>
      <w:color w:val="2F5496" w:themeColor="accent1" w:themeShade="BF"/>
      <w:spacing w:val="5"/>
    </w:rPr>
  </w:style>
  <w:style w:type="table" w:styleId="Tabellenraster">
    <w:name w:val="Table Grid"/>
    <w:basedOn w:val="NormaleTabelle"/>
    <w:uiPriority w:val="39"/>
    <w:rsid w:val="00625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1657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Gerd</dc:creator>
  <cp:keywords/>
  <dc:description/>
  <cp:lastModifiedBy>Michaelis, Gerd</cp:lastModifiedBy>
  <cp:revision>4</cp:revision>
  <dcterms:created xsi:type="dcterms:W3CDTF">2025-05-26T21:07:00Z</dcterms:created>
  <dcterms:modified xsi:type="dcterms:W3CDTF">2025-05-27T17:11:00Z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2025-05-22T09:10:29Z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5efaa6d5-ec31-4686-9206-1d2db4422d8d</vt:lpwstr>
  </property>
  <property fmtid="{D5CDD505-2E9C-101B-9397-08002B2CF9AE}" pid="8" name="MSIP_Label_36791f77-3d39-4d72-9277-ac879ec799ed_ContentBits">
    <vt:lpwstr>0</vt:lpwstr>
  </property>
  <property fmtid="{D5CDD505-2E9C-101B-9397-08002B2CF9AE}" pid="9" name="MSIP_Label_36791f77-3d39-4d72-9277-ac879ec799ed_Tag">
    <vt:lpwstr>10, 3, 0, 1</vt:lpwstr>
  </property>
</Properties>
</file>