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925A" w14:textId="73E9A2A5" w:rsidR="006E1620" w:rsidRPr="00EE21A4" w:rsidRDefault="006E1620" w:rsidP="006E1620">
      <w:pPr>
        <w:rPr>
          <w:rFonts w:ascii="Georgia" w:hAnsi="Georgia"/>
          <w:b/>
          <w:bCs/>
          <w:color w:val="7030A0"/>
          <w:lang w:val="en-US"/>
        </w:rPr>
      </w:pPr>
      <w:r w:rsidRPr="00EE21A4">
        <w:rPr>
          <w:rFonts w:ascii="Georgia" w:hAnsi="Georgia"/>
          <w:b/>
          <w:bCs/>
          <w:color w:val="7030A0"/>
          <w:lang w:val="en-US"/>
        </w:rPr>
        <w:t>What is Dementia?</w:t>
      </w:r>
    </w:p>
    <w:p w14:paraId="4F952496" w14:textId="1C6664F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Dementia is an umbrella term for a decline in cognitive function severe enough to interfere with daily life. It is not a single disease but a syndrome caused by various underlying conditions that damage brain cells, </w:t>
      </w:r>
      <w:r w:rsidRPr="006E1620">
        <w:rPr>
          <w:rFonts w:ascii="Georgia" w:hAnsi="Georgia"/>
          <w:highlight w:val="green"/>
        </w:rPr>
        <w:t>affecting memory, thinking, and behavior</w:t>
      </w:r>
      <w:r w:rsidRPr="006E1620">
        <w:rPr>
          <w:rFonts w:ascii="Georgia" w:hAnsi="Georgia"/>
          <w:highlight w:val="green"/>
        </w:rPr>
        <w:t>.</w:t>
      </w:r>
    </w:p>
    <w:p w14:paraId="27A96F74" w14:textId="7431F12B" w:rsidR="006E1620" w:rsidRPr="00EE21A4" w:rsidRDefault="006E1620" w:rsidP="006E1620">
      <w:pPr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t>Causes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2A256A44" w14:textId="405F682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Dementia is caused by physical damage to brain cells, which prevents them from communicating normally. Specific root causes include: </w:t>
      </w:r>
    </w:p>
    <w:p w14:paraId="786A843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Alzheimer’s Disease:</w:t>
      </w:r>
      <w:r w:rsidRPr="006E1620">
        <w:rPr>
          <w:rFonts w:ascii="Georgia" w:hAnsi="Georgia"/>
        </w:rPr>
        <w:t xml:space="preserve"> The most common type, caused by the buildup of abnormal protein "tangles" and "plaques" in the brain.</w:t>
      </w:r>
    </w:p>
    <w:p w14:paraId="295F7086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Vascular Dementia:</w:t>
      </w:r>
      <w:r w:rsidRPr="006E1620">
        <w:rPr>
          <w:rFonts w:ascii="Georgia" w:hAnsi="Georgia"/>
        </w:rPr>
        <w:t xml:space="preserve"> Caused by blocked or damaged blood vessels in the brain, often resulting from strokes or atherosclerosis.</w:t>
      </w:r>
    </w:p>
    <w:p w14:paraId="4D6C9B3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Lewy Body Dementia (LBD):</w:t>
      </w:r>
      <w:r w:rsidRPr="006E1620">
        <w:rPr>
          <w:rFonts w:ascii="Georgia" w:hAnsi="Georgia"/>
        </w:rPr>
        <w:t xml:space="preserve"> Driven by abnormal protein deposits (Lewy bodies) that damage nerve cells.</w:t>
      </w:r>
    </w:p>
    <w:p w14:paraId="5A8BABAD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Frontotemporal Dementia (FTD):</w:t>
      </w:r>
      <w:r w:rsidRPr="006E1620">
        <w:rPr>
          <w:rFonts w:ascii="Georgia" w:hAnsi="Georgia"/>
        </w:rPr>
        <w:t xml:space="preserve"> Results from the progressive damage of the frontal and temporal lobes of the brain.</w:t>
      </w:r>
    </w:p>
    <w:p w14:paraId="52F4A379" w14:textId="77777777" w:rsidR="006E1620" w:rsidRPr="006E1620" w:rsidRDefault="006E1620" w:rsidP="006E1620">
      <w:pPr>
        <w:numPr>
          <w:ilvl w:val="0"/>
          <w:numId w:val="1"/>
        </w:numPr>
        <w:rPr>
          <w:rFonts w:ascii="Georgia" w:hAnsi="Georgia"/>
          <w:b/>
          <w:bCs/>
          <w:u w:val="single"/>
        </w:rPr>
      </w:pPr>
      <w:r w:rsidRPr="006E1620">
        <w:rPr>
          <w:rFonts w:ascii="Georgia" w:hAnsi="Georgia"/>
          <w:b/>
          <w:bCs/>
        </w:rPr>
        <w:t>Other Conditions:</w:t>
      </w:r>
      <w:r w:rsidRPr="006E1620">
        <w:rPr>
          <w:rFonts w:ascii="Georgia" w:hAnsi="Georgia"/>
        </w:rPr>
        <w:t xml:space="preserve"> Parkinson's disease, traumatic brain injury, and treatable issues like severe vitamin B-12 deficiency or thyroid problems</w:t>
      </w:r>
      <w:r>
        <w:rPr>
          <w:rFonts w:ascii="Georgia" w:hAnsi="Georgia"/>
          <w:u w:val="single"/>
        </w:rPr>
        <w:t>.</w:t>
      </w:r>
    </w:p>
    <w:p w14:paraId="5E38E6F7" w14:textId="77777777" w:rsidR="006E1620" w:rsidRPr="006E1620" w:rsidRDefault="006E1620" w:rsidP="006E1620">
      <w:pPr>
        <w:ind w:left="720"/>
        <w:rPr>
          <w:rFonts w:ascii="Georgia" w:hAnsi="Georgia"/>
          <w:b/>
          <w:bCs/>
          <w:u w:val="single"/>
        </w:rPr>
      </w:pPr>
    </w:p>
    <w:p w14:paraId="07A57348" w14:textId="356AAD93" w:rsidR="006E1620" w:rsidRPr="00EE21A4" w:rsidRDefault="006E1620" w:rsidP="006E1620">
      <w:pPr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t>Symptoms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7144380B" w14:textId="2EC41EAB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Symptoms typically progress over time, often starting subtly and worsening until individuals require assistance with daily activities. </w:t>
      </w:r>
    </w:p>
    <w:p w14:paraId="6126E240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Cognitive:</w:t>
      </w:r>
      <w:r w:rsidRPr="006E1620">
        <w:rPr>
          <w:rFonts w:ascii="Georgia" w:hAnsi="Georgia"/>
        </w:rPr>
        <w:t xml:space="preserve"> Memory loss (especially recent events), difficulty finding words, confusion with time or place, and trouble completing familiar, multi-step tasks like managing money.</w:t>
      </w:r>
    </w:p>
    <w:p w14:paraId="2BC28C97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</w:rPr>
      </w:pPr>
      <w:r w:rsidRPr="006E1620">
        <w:rPr>
          <w:rFonts w:ascii="Georgia" w:hAnsi="Georgia"/>
          <w:b/>
          <w:bCs/>
        </w:rPr>
        <w:t>Psychological &amp; Behavioral:</w:t>
      </w:r>
      <w:r w:rsidRPr="006E1620">
        <w:rPr>
          <w:rFonts w:ascii="Georgia" w:hAnsi="Georgia"/>
        </w:rPr>
        <w:t xml:space="preserve"> Personality changes, inappropriate social behavior, anxiety, depression, and withdrawal from work or social activities.</w:t>
      </w:r>
    </w:p>
    <w:p w14:paraId="63298BF6" w14:textId="77777777" w:rsidR="006E1620" w:rsidRPr="006E1620" w:rsidRDefault="006E1620" w:rsidP="006E1620">
      <w:pPr>
        <w:numPr>
          <w:ilvl w:val="0"/>
          <w:numId w:val="2"/>
        </w:numPr>
        <w:rPr>
          <w:rFonts w:ascii="Georgia" w:hAnsi="Georgia"/>
          <w:b/>
          <w:bCs/>
          <w:highlight w:val="green"/>
          <w:u w:val="single"/>
        </w:rPr>
      </w:pPr>
      <w:r w:rsidRPr="006E1620">
        <w:rPr>
          <w:rFonts w:ascii="Georgia" w:hAnsi="Georgia"/>
          <w:b/>
          <w:bCs/>
          <w:highlight w:val="green"/>
        </w:rPr>
        <w:t>Physical:</w:t>
      </w:r>
      <w:r w:rsidRPr="006E1620">
        <w:rPr>
          <w:rFonts w:ascii="Georgia" w:hAnsi="Georgia"/>
          <w:highlight w:val="green"/>
        </w:rPr>
        <w:t xml:space="preserve"> Wandering, getting lost in familiar neighborhoods, and balance or movement issues</w:t>
      </w:r>
      <w:r w:rsidRPr="006E1620">
        <w:rPr>
          <w:rFonts w:ascii="Georgia" w:hAnsi="Georgia"/>
          <w:highlight w:val="green"/>
        </w:rPr>
        <w:t>.</w:t>
      </w:r>
    </w:p>
    <w:p w14:paraId="287B4E84" w14:textId="77777777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4CE28B80" w14:textId="77777777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5F33F9AC" w14:textId="67FE33E4" w:rsidR="006E1620" w:rsidRDefault="006E1620" w:rsidP="006E1620">
      <w:pPr>
        <w:ind w:left="360"/>
        <w:rPr>
          <w:rFonts w:ascii="Georgia" w:hAnsi="Georgia"/>
          <w:b/>
          <w:bCs/>
          <w:u w:val="single"/>
        </w:rPr>
      </w:pPr>
    </w:p>
    <w:p w14:paraId="64785898" w14:textId="77777777" w:rsidR="00EE21A4" w:rsidRDefault="00EE21A4" w:rsidP="006E1620">
      <w:pPr>
        <w:ind w:left="360"/>
        <w:rPr>
          <w:rFonts w:ascii="Georgia" w:hAnsi="Georgia"/>
          <w:b/>
          <w:bCs/>
          <w:color w:val="7030A0"/>
          <w:u w:val="single"/>
        </w:rPr>
      </w:pPr>
    </w:p>
    <w:p w14:paraId="28ED02BF" w14:textId="46473936" w:rsidR="006E1620" w:rsidRPr="00EE21A4" w:rsidRDefault="006E1620" w:rsidP="006E1620">
      <w:pPr>
        <w:ind w:left="360"/>
        <w:rPr>
          <w:rFonts w:ascii="Georgia" w:hAnsi="Georgia"/>
          <w:b/>
          <w:bCs/>
          <w:color w:val="7030A0"/>
        </w:rPr>
      </w:pPr>
      <w:r w:rsidRPr="00EE21A4">
        <w:rPr>
          <w:rFonts w:ascii="Georgia" w:hAnsi="Georgia"/>
          <w:b/>
          <w:bCs/>
          <w:color w:val="7030A0"/>
        </w:rPr>
        <w:lastRenderedPageBreak/>
        <w:t>Treatment</w:t>
      </w:r>
      <w:r w:rsidR="00EE21A4">
        <w:rPr>
          <w:rFonts w:ascii="Georgia" w:hAnsi="Georgia"/>
          <w:b/>
          <w:bCs/>
          <w:color w:val="7030A0"/>
        </w:rPr>
        <w:t>:</w:t>
      </w:r>
    </w:p>
    <w:p w14:paraId="278F2F1B" w14:textId="761C9462" w:rsidR="006E1620" w:rsidRPr="006E1620" w:rsidRDefault="006E1620" w:rsidP="006E1620">
      <w:pPr>
        <w:rPr>
          <w:rFonts w:ascii="Georgia" w:hAnsi="Georgia"/>
        </w:rPr>
      </w:pPr>
      <w:r w:rsidRPr="006E1620">
        <w:rPr>
          <w:rFonts w:ascii="Georgia" w:hAnsi="Georgia"/>
        </w:rPr>
        <w:t xml:space="preserve">While most progressive forms of dementia cannot be cured, treatments exist to manage symptoms, slow progression, and improve quality of life. </w:t>
      </w:r>
    </w:p>
    <w:p w14:paraId="461AE06A" w14:textId="77777777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</w:rPr>
      </w:pPr>
      <w:r w:rsidRPr="00EE21A4">
        <w:rPr>
          <w:rFonts w:ascii="Georgia" w:hAnsi="Georgia"/>
        </w:rPr>
        <w:t>Occupational therapy to adapt the home environment for safety.</w:t>
      </w:r>
    </w:p>
    <w:p w14:paraId="10202065" w14:textId="77777777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</w:rPr>
      </w:pPr>
      <w:r w:rsidRPr="00EE21A4">
        <w:rPr>
          <w:rFonts w:ascii="Georgia" w:hAnsi="Georgia"/>
        </w:rPr>
        <w:t>Cognitive stimulation activities to keep the brain active.</w:t>
      </w:r>
    </w:p>
    <w:p w14:paraId="3B878D05" w14:textId="31DEF510" w:rsidR="006E1620" w:rsidRPr="00EE21A4" w:rsidRDefault="006E1620" w:rsidP="006E1620">
      <w:pPr>
        <w:numPr>
          <w:ilvl w:val="1"/>
          <w:numId w:val="3"/>
        </w:numPr>
        <w:rPr>
          <w:rFonts w:ascii="Georgia" w:hAnsi="Georgia"/>
          <w:highlight w:val="green"/>
        </w:rPr>
      </w:pPr>
      <w:r w:rsidRPr="00EE21A4">
        <w:rPr>
          <w:rFonts w:ascii="Georgia" w:hAnsi="Georgia"/>
          <w:highlight w:val="green"/>
        </w:rPr>
        <w:t xml:space="preserve">Support groups and </w:t>
      </w:r>
      <w:proofErr w:type="spellStart"/>
      <w:r w:rsidRPr="00EE21A4">
        <w:rPr>
          <w:rFonts w:ascii="Georgia" w:hAnsi="Georgia"/>
          <w:highlight w:val="green"/>
        </w:rPr>
        <w:t>counseling</w:t>
      </w:r>
      <w:proofErr w:type="spellEnd"/>
      <w:r w:rsidRPr="00EE21A4">
        <w:rPr>
          <w:rFonts w:ascii="Georgia" w:hAnsi="Georgia"/>
          <w:highlight w:val="green"/>
        </w:rPr>
        <w:t xml:space="preserve"> for both the patient and caregivers</w:t>
      </w:r>
    </w:p>
    <w:p w14:paraId="5A4B6F58" w14:textId="516C3530" w:rsidR="00EE21A4" w:rsidRPr="00EE21A4" w:rsidRDefault="00EE21A4" w:rsidP="00EE21A4">
      <w:pPr>
        <w:ind w:left="1440"/>
        <w:rPr>
          <w:rFonts w:ascii="Georgia" w:hAnsi="Georgia"/>
          <w:highlight w:val="green"/>
        </w:rPr>
      </w:pPr>
      <w:r w:rsidRPr="00EE21A4">
        <w:rPr>
          <w:rFonts w:ascii="Georgia" w:hAnsi="Georgia"/>
          <w:noProof/>
          <w:color w:val="77206D" w:themeColor="accent5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AAD95" wp14:editId="5269C89B">
                <wp:simplePos x="0" y="0"/>
                <wp:positionH relativeFrom="column">
                  <wp:posOffset>-323850</wp:posOffset>
                </wp:positionH>
                <wp:positionV relativeFrom="paragraph">
                  <wp:posOffset>194310</wp:posOffset>
                </wp:positionV>
                <wp:extent cx="6731000" cy="25400"/>
                <wp:effectExtent l="0" t="0" r="31750" b="31750"/>
                <wp:wrapNone/>
                <wp:docPr id="892997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869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5pt,15.3pt" to="504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GAFuQEAANgDAAAOAAAAZHJzL2Uyb0RvYy54bWysU8tu2zAQvBfoPxC815TUNg0EyzkkSC9B&#10;G7TJB9DU0iLAF0jWkv++S0qWg6ZAgKKXFR87s7PD1fZmMpocIUTlbEfrTUUJWOF6ZQ8dfX66/3BN&#10;SUzc9lw7Cx09QaQ3u/fvtqNvoXGD0z0EgiQ2tqPv6JCSbxmLYgDD48Z5sHgpXTA84TYcWB/4iOxG&#10;s6aqrtjoQu+DExAjnt7Nl3RX+KUEkb5LGSER3VHUlkoMJe5zZLstbw+B+0GJRQb/BxWGK4tFV6o7&#10;njj5FdQrKqNEcNHJtBHOMCelElB6wG7q6o9ufg7cQ+kFzYl+tSn+P1rx7XhrHwPaMPrYRv8YcheT&#10;DCZ/UR+Zilmn1SyYEhF4ePXlY11V6KnAu+bzJ1wiC7uAfYjpKzhD8qKjWtncC2/58SGmOfWcko+1&#10;zTE6rfp7pXXZ5CmAWx3IkeP77Q/NUuJFFhbMSHaRX1bppGFm/QGSqB4FN6V6mawLJxcCbKoXXm0x&#10;O8MkKliB1dvAJT9DoUzdCq7fBq+IUtnZtIKNsi78jSBNZ8lyzj87MPedLdi7/lQetliD41MeZxn1&#10;PJ8v9wV++SF3vwEAAP//AwBQSwMEFAAGAAgAAAAhAELAdEPdAAAACgEAAA8AAABkcnMvZG93bnJl&#10;di54bWxMj8FOwzAQRO9I/IO1SNxauxRCSeNUFQguqAdCP2Abu3FE7I1iN03/nu0Jjjs7mnlTbCbf&#10;idEOsaWgYTFXIGyoybSh0bD/fp+tQMSEwWBHwWq42Aib8vamwNzQOXzZsUqN4JAQc9TgUupzKWPt&#10;rMc4p94G/h1p8Jj4HBppBjxzuO/kg1KZ9NgGbnDY21dn65/q5DXg84ou9LF8242f28mN1Z46o7S+&#10;v5u2axDJTunPDFd8RoeSmQ50CiaKTsPsacFbkoalykBcDUq9sHJg5TEDWRby/4TyFwAA//8DAFBL&#10;AQItABQABgAIAAAAIQC2gziS/gAAAOEBAAATAAAAAAAAAAAAAAAAAAAAAABbQ29udGVudF9UeXBl&#10;c10ueG1sUEsBAi0AFAAGAAgAAAAhADj9If/WAAAAlAEAAAsAAAAAAAAAAAAAAAAALwEAAF9yZWxz&#10;Ly5yZWxzUEsBAi0AFAAGAAgAAAAhAPj8YAW5AQAA2AMAAA4AAAAAAAAAAAAAAAAALgIAAGRycy9l&#10;Mm9Eb2MueG1sUEsBAi0AFAAGAAgAAAAhAELAdEPdAAAACgEAAA8AAAAAAAAAAAAAAAAAEwQAAGRy&#10;cy9kb3ducmV2LnhtbFBLBQYAAAAABAAEAPMAAAAdBQAAAAA=&#10;" strokecolor="#e8e8e8 [3214]" strokeweight="1.5pt">
                <v:stroke joinstyle="miter"/>
              </v:line>
            </w:pict>
          </mc:Fallback>
        </mc:AlternateContent>
      </w:r>
    </w:p>
    <w:p w14:paraId="7A206243" w14:textId="77777777" w:rsidR="00EE21A4" w:rsidRDefault="00EE21A4" w:rsidP="00EE21A4">
      <w:pPr>
        <w:jc w:val="center"/>
        <w:rPr>
          <w:rFonts w:ascii="Georgia" w:hAnsi="Georgia"/>
          <w:color w:val="C1E4F5" w:themeColor="accent1" w:themeTint="33"/>
          <w:sz w:val="28"/>
          <w:szCs w:val="28"/>
          <w:highlight w:val="darkCyan"/>
          <w:u w:val="single"/>
        </w:rPr>
      </w:pPr>
    </w:p>
    <w:p w14:paraId="67A09573" w14:textId="7EB17D49" w:rsidR="00EE21A4" w:rsidRPr="00EE21A4" w:rsidRDefault="00EE21A4" w:rsidP="00EE21A4">
      <w:pPr>
        <w:jc w:val="center"/>
        <w:rPr>
          <w:rFonts w:ascii="Georgia" w:hAnsi="Georgia"/>
          <w:color w:val="000000" w:themeColor="text1"/>
          <w:sz w:val="28"/>
          <w:szCs w:val="28"/>
        </w:rPr>
      </w:pPr>
      <w:r w:rsidRPr="00EE21A4">
        <w:rPr>
          <w:rFonts w:ascii="Georgia" w:hAnsi="Georgia"/>
          <w:color w:val="000000" w:themeColor="text1"/>
          <w:sz w:val="28"/>
          <w:szCs w:val="28"/>
        </w:rPr>
        <w:t>The ‘WHY’ behind our project: Wandering</w:t>
      </w:r>
    </w:p>
    <w:p w14:paraId="139C890C" w14:textId="77777777" w:rsidR="00EE21A4" w:rsidRDefault="00EE21A4" w:rsidP="00EE21A4">
      <w:pPr>
        <w:ind w:left="1440"/>
        <w:jc w:val="center"/>
        <w:rPr>
          <w:rFonts w:ascii="Georgia" w:hAnsi="Georgia"/>
          <w:sz w:val="28"/>
          <w:szCs w:val="28"/>
          <w:u w:val="single"/>
        </w:rPr>
      </w:pPr>
    </w:p>
    <w:p w14:paraId="471360CA" w14:textId="675B86B1" w:rsidR="00EE21A4" w:rsidRPr="00EE21A4" w:rsidRDefault="00EE21A4" w:rsidP="00EE21A4">
      <w:pPr>
        <w:rPr>
          <w:rFonts w:ascii="Georgia" w:hAnsi="Georgia"/>
          <w:highlight w:val="cyan"/>
        </w:rPr>
      </w:pPr>
      <w:r w:rsidRPr="00EE21A4">
        <w:rPr>
          <w:rFonts w:ascii="Georgia" w:hAnsi="Georgia"/>
          <w:highlight w:val="cyan"/>
        </w:rPr>
        <w:t xml:space="preserve">Patients with dementia often exhibit a </w:t>
      </w:r>
      <w:r w:rsidRPr="00EE21A4">
        <w:rPr>
          <w:rFonts w:ascii="Georgia" w:hAnsi="Georgia"/>
          <w:b/>
          <w:bCs/>
          <w:highlight w:val="cyan"/>
        </w:rPr>
        <w:t>tendency to wander</w:t>
      </w:r>
      <w:r w:rsidRPr="00EE21A4">
        <w:rPr>
          <w:rFonts w:ascii="Georgia" w:hAnsi="Georgia"/>
          <w:highlight w:val="cyan"/>
        </w:rPr>
        <w:t xml:space="preserve">, which is one of the most significant safety concerns faced by caregivers and healthcare providers. </w:t>
      </w:r>
    </w:p>
    <w:p w14:paraId="4D7503F1" w14:textId="09DFBE7A" w:rsidR="00EE21A4" w:rsidRDefault="00EE21A4" w:rsidP="00EE21A4">
      <w:pPr>
        <w:rPr>
          <w:rFonts w:ascii="Georgia" w:hAnsi="Georgia"/>
        </w:rPr>
      </w:pPr>
      <w:r w:rsidRPr="00EE21A4">
        <w:rPr>
          <w:rFonts w:ascii="Georgia" w:hAnsi="Georgia"/>
          <w:highlight w:val="cyan"/>
        </w:rPr>
        <w:t xml:space="preserve">Studies indicate that approximately </w:t>
      </w:r>
      <w:r w:rsidRPr="00EE21A4">
        <w:rPr>
          <w:rFonts w:ascii="Georgia" w:hAnsi="Georgia"/>
          <w:b/>
          <w:bCs/>
          <w:highlight w:val="cyan"/>
        </w:rPr>
        <w:t>60% of people with dementia will wander at least once during the course of their illness</w:t>
      </w:r>
      <w:r w:rsidRPr="00EE21A4">
        <w:rPr>
          <w:rFonts w:ascii="Georgia" w:hAnsi="Georgia"/>
          <w:highlight w:val="cyan"/>
        </w:rPr>
        <w:t>, with the risk increasing as cognitive impairment progresses</w:t>
      </w:r>
      <w:r w:rsidRPr="00EE21A4">
        <w:rPr>
          <w:rFonts w:ascii="Georgia" w:hAnsi="Georgia"/>
        </w:rPr>
        <w:t xml:space="preserve"> Research has also shown that if a missing dementia patient is not found within 24 hours, the likelihood of serious injury or death rises significantly.</w:t>
      </w:r>
    </w:p>
    <w:p w14:paraId="3FFA0848" w14:textId="77777777" w:rsidR="00EE21A4" w:rsidRPr="00EE21A4" w:rsidRDefault="00EE21A4" w:rsidP="00EE21A4">
      <w:pPr>
        <w:rPr>
          <w:rFonts w:ascii="Georgia" w:hAnsi="Georgia"/>
        </w:rPr>
      </w:pPr>
    </w:p>
    <w:p w14:paraId="32F914BE" w14:textId="2146171E" w:rsidR="00EE21A4" w:rsidRPr="00EE21A4" w:rsidRDefault="00EE21A4" w:rsidP="00EE21A4">
      <w:pPr>
        <w:rPr>
          <w:rFonts w:ascii="Georgia" w:hAnsi="Georgia"/>
          <w:b/>
          <w:bCs/>
          <w:color w:val="153D63" w:themeColor="text2" w:themeTint="E6"/>
        </w:rPr>
      </w:pPr>
      <w:r w:rsidRPr="00EE21A4">
        <w:rPr>
          <w:rFonts w:ascii="Georgia" w:hAnsi="Georgia"/>
          <w:b/>
          <w:bCs/>
          <w:color w:val="153D63" w:themeColor="text2" w:themeTint="E6"/>
        </w:rPr>
        <w:t>Why Do Dementia Patients Wander?</w:t>
      </w:r>
    </w:p>
    <w:p w14:paraId="189D7C7E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Memory loss and confusion:</w:t>
      </w:r>
      <w:r w:rsidRPr="00EE21A4">
        <w:rPr>
          <w:rFonts w:ascii="Georgia" w:hAnsi="Georgia"/>
        </w:rPr>
        <w:t xml:space="preserve"> Patients may forget where they are or where</w:t>
      </w:r>
      <w:r w:rsidRPr="00EE21A4">
        <w:rPr>
          <w:rFonts w:ascii="Georgia" w:hAnsi="Georgia"/>
          <w:u w:val="single"/>
        </w:rPr>
        <w:t xml:space="preserve"> </w:t>
      </w:r>
      <w:r w:rsidRPr="00EE21A4">
        <w:rPr>
          <w:rFonts w:ascii="Georgia" w:hAnsi="Georgia"/>
        </w:rPr>
        <w:t xml:space="preserve">they intended to go. </w:t>
      </w:r>
    </w:p>
    <w:p w14:paraId="6CBD9B7A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Disorientation:</w:t>
      </w:r>
      <w:r w:rsidRPr="00EE21A4">
        <w:rPr>
          <w:rFonts w:ascii="Georgia" w:hAnsi="Georgia"/>
        </w:rPr>
        <w:t xml:space="preserve"> Difficulty recognizing familiar places or understanding time and location. </w:t>
      </w:r>
    </w:p>
    <w:p w14:paraId="41028FE1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Restlessness and anxiety:</w:t>
      </w:r>
      <w:r w:rsidRPr="00EE21A4">
        <w:rPr>
          <w:rFonts w:ascii="Georgia" w:hAnsi="Georgia"/>
        </w:rPr>
        <w:t xml:space="preserve"> Feelings of stress, boredom, or agitation can trigger movement. </w:t>
      </w:r>
    </w:p>
    <w:p w14:paraId="1A568E9F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Searching for something familiar:</w:t>
      </w:r>
      <w:r w:rsidRPr="00EE21A4">
        <w:rPr>
          <w:rFonts w:ascii="Georgia" w:hAnsi="Georgia"/>
        </w:rPr>
        <w:t xml:space="preserve"> Patients may believe they need to go to work, pick up children, or return to a previous home. </w:t>
      </w:r>
    </w:p>
    <w:p w14:paraId="05AA221D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Physical activity needs:</w:t>
      </w:r>
      <w:r w:rsidRPr="00EE21A4">
        <w:rPr>
          <w:rFonts w:ascii="Georgia" w:hAnsi="Georgia"/>
        </w:rPr>
        <w:t xml:space="preserve"> Some individuals walk to satisfy an urge for movement or exercise. </w:t>
      </w:r>
    </w:p>
    <w:p w14:paraId="6AEB566C" w14:textId="77777777" w:rsidR="00EE21A4" w:rsidRPr="00EE21A4" w:rsidRDefault="00EE21A4" w:rsidP="00EE21A4">
      <w:pPr>
        <w:numPr>
          <w:ilvl w:val="0"/>
          <w:numId w:val="7"/>
        </w:numPr>
        <w:rPr>
          <w:rFonts w:ascii="Georgia" w:hAnsi="Georgia"/>
        </w:rPr>
      </w:pPr>
      <w:r w:rsidRPr="00EE21A4">
        <w:rPr>
          <w:rFonts w:ascii="Georgia" w:hAnsi="Georgia"/>
          <w:b/>
          <w:bCs/>
        </w:rPr>
        <w:t>Environmental triggers:</w:t>
      </w:r>
      <w:r w:rsidRPr="00EE21A4">
        <w:rPr>
          <w:rFonts w:ascii="Georgia" w:hAnsi="Georgia"/>
        </w:rPr>
        <w:t xml:space="preserve"> Noise, crowds, changes in routine, or unfamiliar surroundings may cause confusion and wandering. </w:t>
      </w:r>
    </w:p>
    <w:p w14:paraId="1C1F2A06" w14:textId="77777777" w:rsidR="00EE21A4" w:rsidRDefault="00EE21A4" w:rsidP="00EE21A4">
      <w:pPr>
        <w:ind w:left="1440"/>
        <w:rPr>
          <w:rFonts w:ascii="Georgia" w:hAnsi="Georgia"/>
          <w:b/>
          <w:bCs/>
          <w:u w:val="single"/>
        </w:rPr>
      </w:pPr>
    </w:p>
    <w:p w14:paraId="60520D2F" w14:textId="77777777" w:rsidR="00EE21A4" w:rsidRDefault="00EE21A4" w:rsidP="00EE21A4">
      <w:pPr>
        <w:ind w:left="1440"/>
        <w:rPr>
          <w:rFonts w:ascii="Georgia" w:hAnsi="Georgia"/>
          <w:b/>
          <w:bCs/>
          <w:u w:val="single"/>
        </w:rPr>
      </w:pPr>
    </w:p>
    <w:p w14:paraId="75C6B892" w14:textId="77777777" w:rsidR="00EE21A4" w:rsidRDefault="00EE21A4" w:rsidP="00EE21A4">
      <w:pPr>
        <w:rPr>
          <w:rFonts w:ascii="Georgia" w:hAnsi="Georgia"/>
          <w:b/>
          <w:bCs/>
          <w:u w:val="single"/>
        </w:rPr>
      </w:pPr>
    </w:p>
    <w:p w14:paraId="544A7E75" w14:textId="6968D7C6" w:rsidR="00EE21A4" w:rsidRPr="00EE21A4" w:rsidRDefault="00EE21A4" w:rsidP="00EE21A4">
      <w:pPr>
        <w:rPr>
          <w:rFonts w:ascii="Georgia" w:hAnsi="Georgia"/>
          <w:b/>
          <w:bCs/>
          <w:color w:val="153D63" w:themeColor="text2" w:themeTint="E6"/>
        </w:rPr>
      </w:pPr>
      <w:r w:rsidRPr="00EE21A4">
        <w:rPr>
          <w:rFonts w:ascii="Georgia" w:hAnsi="Georgia"/>
          <w:b/>
          <w:bCs/>
          <w:color w:val="153D63" w:themeColor="text2" w:themeTint="E6"/>
        </w:rPr>
        <w:t>Risks Associated with Wandering</w:t>
      </w:r>
      <w:r>
        <w:rPr>
          <w:rFonts w:ascii="Georgia" w:hAnsi="Georgia"/>
          <w:b/>
          <w:bCs/>
          <w:color w:val="153D63" w:themeColor="text2" w:themeTint="E6"/>
        </w:rPr>
        <w:t>:</w:t>
      </w:r>
    </w:p>
    <w:p w14:paraId="2A8B231A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Falls and physical injuries </w:t>
      </w:r>
    </w:p>
    <w:p w14:paraId="36CE7563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Traffic accidents </w:t>
      </w:r>
    </w:p>
    <w:p w14:paraId="297A21BF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Exposure to extreme weather conditions </w:t>
      </w:r>
    </w:p>
    <w:p w14:paraId="4D6D5A80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Dehydration and exhaustion </w:t>
      </w:r>
    </w:p>
    <w:p w14:paraId="7735D097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</w:rPr>
      </w:pPr>
      <w:r w:rsidRPr="00EE21A4">
        <w:rPr>
          <w:rFonts w:ascii="Georgia" w:hAnsi="Georgia"/>
        </w:rPr>
        <w:t xml:space="preserve">Getting lost in unfamiliar areas </w:t>
      </w:r>
    </w:p>
    <w:p w14:paraId="669026DE" w14:textId="77777777" w:rsidR="00EE21A4" w:rsidRPr="00EE21A4" w:rsidRDefault="00EE21A4" w:rsidP="00EE21A4">
      <w:pPr>
        <w:numPr>
          <w:ilvl w:val="0"/>
          <w:numId w:val="9"/>
        </w:numPr>
        <w:rPr>
          <w:rFonts w:ascii="Georgia" w:hAnsi="Georgia"/>
          <w:highlight w:val="cyan"/>
        </w:rPr>
      </w:pPr>
      <w:r w:rsidRPr="00EE21A4">
        <w:rPr>
          <w:rFonts w:ascii="Georgia" w:hAnsi="Georgia"/>
          <w:highlight w:val="cyan"/>
        </w:rPr>
        <w:t xml:space="preserve">Increased emotional distress for both patients and caregivers </w:t>
      </w:r>
    </w:p>
    <w:p w14:paraId="44D331DA" w14:textId="77777777" w:rsidR="00EE21A4" w:rsidRPr="00EE21A4" w:rsidRDefault="00EE21A4" w:rsidP="00EE21A4">
      <w:pPr>
        <w:ind w:left="1440"/>
        <w:rPr>
          <w:rFonts w:ascii="Georgia" w:hAnsi="Georgia"/>
          <w:sz w:val="28"/>
          <w:szCs w:val="28"/>
          <w:u w:val="single"/>
        </w:rPr>
      </w:pPr>
    </w:p>
    <w:p w14:paraId="56CD961C" w14:textId="77777777" w:rsidR="006E1620" w:rsidRPr="006E1620" w:rsidRDefault="006E1620" w:rsidP="006E1620">
      <w:pPr>
        <w:ind w:left="1440"/>
        <w:rPr>
          <w:rFonts w:ascii="Georgia" w:hAnsi="Georgia"/>
          <w:highlight w:val="green"/>
          <w:u w:val="single"/>
        </w:rPr>
      </w:pPr>
    </w:p>
    <w:p w14:paraId="6AE969BD" w14:textId="77777777" w:rsidR="006E1620" w:rsidRDefault="006E1620" w:rsidP="006E1620">
      <w:pPr>
        <w:rPr>
          <w:rFonts w:ascii="Georgia" w:hAnsi="Georgia"/>
          <w:u w:val="single"/>
          <w:lang w:val="en-US"/>
        </w:rPr>
      </w:pPr>
    </w:p>
    <w:p w14:paraId="63A51647" w14:textId="77777777" w:rsidR="006E1620" w:rsidRPr="006E1620" w:rsidRDefault="006E1620" w:rsidP="006E1620">
      <w:pPr>
        <w:jc w:val="center"/>
        <w:rPr>
          <w:rFonts w:ascii="Georgia" w:hAnsi="Georgia"/>
          <w:u w:val="single"/>
          <w:lang w:val="en-US"/>
        </w:rPr>
      </w:pPr>
    </w:p>
    <w:sectPr w:rsidR="006E1620" w:rsidRPr="006E162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F196" w14:textId="77777777" w:rsidR="00631498" w:rsidRDefault="00631498" w:rsidP="00EE21A4">
      <w:pPr>
        <w:spacing w:after="0" w:line="240" w:lineRule="auto"/>
      </w:pPr>
      <w:r>
        <w:separator/>
      </w:r>
    </w:p>
  </w:endnote>
  <w:endnote w:type="continuationSeparator" w:id="0">
    <w:p w14:paraId="6A7934CA" w14:textId="77777777" w:rsidR="00631498" w:rsidRDefault="00631498" w:rsidP="00EE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49BC" w14:textId="77777777" w:rsidR="00631498" w:rsidRDefault="00631498" w:rsidP="00EE21A4">
      <w:pPr>
        <w:spacing w:after="0" w:line="240" w:lineRule="auto"/>
      </w:pPr>
      <w:r>
        <w:separator/>
      </w:r>
    </w:p>
  </w:footnote>
  <w:footnote w:type="continuationSeparator" w:id="0">
    <w:p w14:paraId="5D1549E6" w14:textId="77777777" w:rsidR="00631498" w:rsidRDefault="00631498" w:rsidP="00EE2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A3F2" w14:textId="362EF618" w:rsidR="00EE21A4" w:rsidRDefault="000E33D2" w:rsidP="00EE21A4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The problem behind our solution: Dementia</w:t>
    </w:r>
  </w:p>
  <w:p w14:paraId="20D57783" w14:textId="77777777" w:rsidR="000E33D2" w:rsidRDefault="000E33D2" w:rsidP="000E33D2">
    <w:pPr>
      <w:pStyle w:val="Header"/>
      <w:rPr>
        <w:sz w:val="32"/>
        <w:szCs w:val="32"/>
        <w:lang w:val="en-US"/>
      </w:rPr>
    </w:pPr>
  </w:p>
  <w:p w14:paraId="685A2B41" w14:textId="77777777" w:rsidR="00EE21A4" w:rsidRPr="00EE21A4" w:rsidRDefault="00EE21A4" w:rsidP="00EE21A4">
    <w:pPr>
      <w:pStyle w:val="Header"/>
      <w:jc w:val="center"/>
      <w:rPr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818"/>
    <w:multiLevelType w:val="multilevel"/>
    <w:tmpl w:val="0BF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D75"/>
    <w:multiLevelType w:val="multilevel"/>
    <w:tmpl w:val="7A9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6596"/>
    <w:multiLevelType w:val="multilevel"/>
    <w:tmpl w:val="04A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7E9"/>
    <w:multiLevelType w:val="multilevel"/>
    <w:tmpl w:val="121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6335"/>
    <w:multiLevelType w:val="multilevel"/>
    <w:tmpl w:val="735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9DB"/>
    <w:multiLevelType w:val="multilevel"/>
    <w:tmpl w:val="F2C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0EAF"/>
    <w:multiLevelType w:val="multilevel"/>
    <w:tmpl w:val="0C3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13E70"/>
    <w:multiLevelType w:val="multilevel"/>
    <w:tmpl w:val="210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C51DA"/>
    <w:multiLevelType w:val="multilevel"/>
    <w:tmpl w:val="98C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23004">
    <w:abstractNumId w:val="5"/>
  </w:num>
  <w:num w:numId="2" w16cid:durableId="1101753614">
    <w:abstractNumId w:val="0"/>
  </w:num>
  <w:num w:numId="3" w16cid:durableId="88157602">
    <w:abstractNumId w:val="1"/>
  </w:num>
  <w:num w:numId="4" w16cid:durableId="1057586825">
    <w:abstractNumId w:val="4"/>
  </w:num>
  <w:num w:numId="5" w16cid:durableId="450512294">
    <w:abstractNumId w:val="3"/>
  </w:num>
  <w:num w:numId="6" w16cid:durableId="567377239">
    <w:abstractNumId w:val="6"/>
  </w:num>
  <w:num w:numId="7" w16cid:durableId="942761510">
    <w:abstractNumId w:val="7"/>
  </w:num>
  <w:num w:numId="8" w16cid:durableId="511723316">
    <w:abstractNumId w:val="2"/>
  </w:num>
  <w:num w:numId="9" w16cid:durableId="455493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20"/>
    <w:rsid w:val="000E33D2"/>
    <w:rsid w:val="00365769"/>
    <w:rsid w:val="00631498"/>
    <w:rsid w:val="006E1620"/>
    <w:rsid w:val="00B56172"/>
    <w:rsid w:val="00EE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C61F"/>
  <w15:chartTrackingRefBased/>
  <w15:docId w15:val="{7416DD63-01C6-4527-BE1F-F8717EBC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6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A4"/>
  </w:style>
  <w:style w:type="paragraph" w:styleId="Footer">
    <w:name w:val="footer"/>
    <w:basedOn w:val="Normal"/>
    <w:link w:val="FooterChar"/>
    <w:uiPriority w:val="99"/>
    <w:unhideWhenUsed/>
    <w:rsid w:val="00EE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MEGHASHREE NAMBIAR</dc:creator>
  <cp:keywords/>
  <dc:description/>
  <cp:lastModifiedBy>MEGHASHREE NAMBIAR</cp:lastModifiedBy>
  <cp:revision>3</cp:revision>
  <dcterms:created xsi:type="dcterms:W3CDTF">2026-05-30T06:07:00Z</dcterms:created>
  <dcterms:modified xsi:type="dcterms:W3CDTF">2026-05-30T06:08:00Z</dcterms:modified>
</cp:coreProperties>
</file>