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7DFD05">
      <w:pPr>
        <w:spacing w:after="100"/>
        <w:jc w:val="center"/>
      </w:pPr>
      <w:r>
        <w:rPr>
          <w:b/>
          <w:bCs/>
          <w:sz w:val="32"/>
          <w:szCs w:val="32"/>
        </w:rPr>
        <w:t>Data Acquisition &amp; Exploratory Data Analysis</w:t>
      </w:r>
    </w:p>
    <w:p w14:paraId="05936BF7">
      <w:pPr>
        <w:spacing w:after="60"/>
        <w:jc w:val="center"/>
      </w:pPr>
      <w:r>
        <w:rPr>
          <w:i/>
          <w:iCs/>
          <w:color w:val="555555"/>
          <w:sz w:val="24"/>
          <w:szCs w:val="24"/>
        </w:rPr>
        <w:t>Universal Diagnostic Model for the Big Six West African Staples</w:t>
      </w:r>
    </w:p>
    <w:p w14:paraId="33C45C4E">
      <w:pPr>
        <w:spacing w:after="400"/>
        <w:jc w:val="center"/>
      </w:pPr>
      <w:r>
        <w:rPr>
          <w:color w:val="777777"/>
          <w:sz w:val="20"/>
          <w:szCs w:val="20"/>
        </w:rPr>
        <w:t>Team Architects | ML/DL Research Paper Assignment | ICT 324</w:t>
      </w:r>
    </w:p>
    <w:p w14:paraId="5639623E">
      <w:pPr>
        <w:pStyle w:val="2"/>
        <w:spacing w:before="300" w:after="150"/>
      </w:pPr>
      <w:r>
        <w:t>1. Data Acquisition</w:t>
      </w:r>
    </w:p>
    <w:p w14:paraId="078AFCC6">
      <w:pPr>
        <w:spacing w:after="160"/>
      </w:pPr>
      <w:r>
        <w:t>Six crop-specific image datasets were sourced from three distinct repositories to support the “Universal Diagnostic Model for the Big Six West African Staples” research objective. Table 1 summarizes the source, class structure, and volume for each crop.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90"/>
        <w:gridCol w:w="3782"/>
        <w:gridCol w:w="1553"/>
        <w:gridCol w:w="2035"/>
      </w:tblGrid>
      <w:tr w14:paraId="28D42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2F5233"/>
          </w:tcPr>
          <w:p w14:paraId="11B20D6E">
            <w:r>
              <w:rPr>
                <w:b/>
                <w:bCs/>
                <w:color w:val="FFFFFF"/>
              </w:rPr>
              <w:t>Crop</w:t>
            </w:r>
          </w:p>
        </w:tc>
        <w:tc>
          <w:tcPr>
            <w:tcW w:w="4200" w:type="dxa"/>
            <w:shd w:val="clear" w:color="auto" w:fill="2F5233"/>
          </w:tcPr>
          <w:p w14:paraId="5C0D50E2"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1700" w:type="dxa"/>
            <w:shd w:val="clear" w:color="auto" w:fill="2F5233"/>
          </w:tcPr>
          <w:p w14:paraId="106137EA">
            <w:r>
              <w:rPr>
                <w:b/>
                <w:bCs/>
                <w:color w:val="FFFFFF"/>
              </w:rPr>
              <w:t>Classes</w:t>
            </w:r>
          </w:p>
        </w:tc>
        <w:tc>
          <w:tcPr>
            <w:tcW w:w="2260" w:type="dxa"/>
            <w:shd w:val="clear" w:color="auto" w:fill="2F5233"/>
          </w:tcPr>
          <w:p w14:paraId="5DCB62B0">
            <w:r>
              <w:rPr>
                <w:b/>
                <w:bCs/>
                <w:color w:val="FFFFFF"/>
              </w:rPr>
              <w:t>Images</w:t>
            </w:r>
          </w:p>
        </w:tc>
      </w:tr>
      <w:tr w14:paraId="664C7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</w:tcPr>
          <w:p w14:paraId="03B85E22">
            <w:r>
              <w:rPr>
                <w:b w:val="0"/>
                <w:bCs w:val="0"/>
                <w:color w:val="000000"/>
              </w:rPr>
              <w:t>Cassava</w:t>
            </w:r>
          </w:p>
        </w:tc>
        <w:tc>
          <w:tcPr>
            <w:tcW w:w="4200" w:type="dxa"/>
          </w:tcPr>
          <w:p w14:paraId="1FEADFC4">
            <w:r>
              <w:rPr>
                <w:b w:val="0"/>
                <w:bCs w:val="0"/>
                <w:color w:val="000000"/>
              </w:rPr>
              <w:t>Kaggle (Cassava Leaf Disease Classification)</w:t>
            </w:r>
          </w:p>
        </w:tc>
        <w:tc>
          <w:tcPr>
            <w:tcW w:w="1700" w:type="dxa"/>
          </w:tcPr>
          <w:p w14:paraId="20A7E546">
            <w:r>
              <w:rPr>
                <w:b w:val="0"/>
                <w:bCs w:val="0"/>
                <w:color w:val="000000"/>
              </w:rPr>
              <w:t>5</w:t>
            </w:r>
          </w:p>
        </w:tc>
        <w:tc>
          <w:tcPr>
            <w:tcW w:w="2260" w:type="dxa"/>
          </w:tcPr>
          <w:p w14:paraId="1E43B3FC">
            <w:r>
              <w:rPr>
                <w:b w:val="0"/>
                <w:bCs w:val="0"/>
                <w:color w:val="000000"/>
              </w:rPr>
              <w:t>21,397</w:t>
            </w:r>
          </w:p>
        </w:tc>
      </w:tr>
      <w:tr w14:paraId="52379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</w:tcPr>
          <w:p w14:paraId="455C0762">
            <w:r>
              <w:rPr>
                <w:b w:val="0"/>
                <w:bCs w:val="0"/>
                <w:color w:val="000000"/>
              </w:rPr>
              <w:t>Maize</w:t>
            </w:r>
          </w:p>
        </w:tc>
        <w:tc>
          <w:tcPr>
            <w:tcW w:w="4200" w:type="dxa"/>
          </w:tcPr>
          <w:p w14:paraId="4774591A">
            <w:r>
              <w:rPr>
                <w:b w:val="0"/>
                <w:bCs w:val="0"/>
                <w:color w:val="000000"/>
              </w:rPr>
              <w:t>Kaggle (aggregated multi-source)</w:t>
            </w:r>
          </w:p>
        </w:tc>
        <w:tc>
          <w:tcPr>
            <w:tcW w:w="1700" w:type="dxa"/>
          </w:tcPr>
          <w:p w14:paraId="636CE3E7">
            <w:r>
              <w:rPr>
                <w:b w:val="0"/>
                <w:bCs w:val="0"/>
                <w:color w:val="000000"/>
              </w:rPr>
              <w:t>4</w:t>
            </w:r>
          </w:p>
        </w:tc>
        <w:tc>
          <w:tcPr>
            <w:tcW w:w="2260" w:type="dxa"/>
          </w:tcPr>
          <w:p w14:paraId="1F1449E0">
            <w:r>
              <w:rPr>
                <w:b w:val="0"/>
                <w:bCs w:val="0"/>
                <w:color w:val="000000"/>
              </w:rPr>
              <w:t>4,188</w:t>
            </w:r>
          </w:p>
        </w:tc>
      </w:tr>
      <w:tr w14:paraId="04594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</w:tcPr>
          <w:p w14:paraId="7BE0AE03">
            <w:r>
              <w:rPr>
                <w:b w:val="0"/>
                <w:bCs w:val="0"/>
                <w:color w:val="000000"/>
              </w:rPr>
              <w:t>Taro</w:t>
            </w:r>
          </w:p>
        </w:tc>
        <w:tc>
          <w:tcPr>
            <w:tcW w:w="4200" w:type="dxa"/>
          </w:tcPr>
          <w:p w14:paraId="0287456B">
            <w:r>
              <w:rPr>
                <w:b w:val="0"/>
                <w:bCs w:val="0"/>
                <w:color w:val="000000"/>
              </w:rPr>
              <w:t>Mendeley Data (West African-collected; substituted for Yam)</w:t>
            </w:r>
          </w:p>
        </w:tc>
        <w:tc>
          <w:tcPr>
            <w:tcW w:w="1700" w:type="dxa"/>
          </w:tcPr>
          <w:p w14:paraId="3FE62068">
            <w:r>
              <w:rPr>
                <w:b w:val="0"/>
                <w:bCs w:val="0"/>
                <w:color w:val="000000"/>
              </w:rPr>
              <w:t>5</w:t>
            </w:r>
          </w:p>
        </w:tc>
        <w:tc>
          <w:tcPr>
            <w:tcW w:w="2260" w:type="dxa"/>
          </w:tcPr>
          <w:p w14:paraId="2DC77FBC">
            <w:r>
              <w:rPr>
                <w:b w:val="0"/>
                <w:bCs w:val="0"/>
                <w:color w:val="000000"/>
              </w:rPr>
              <w:t>21,220</w:t>
            </w:r>
          </w:p>
        </w:tc>
      </w:tr>
      <w:tr w14:paraId="142E0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</w:tcPr>
          <w:p w14:paraId="232FC34C">
            <w:r>
              <w:rPr>
                <w:b w:val="0"/>
                <w:bCs w:val="0"/>
                <w:color w:val="000000"/>
              </w:rPr>
              <w:t>Tomato</w:t>
            </w:r>
          </w:p>
        </w:tc>
        <w:tc>
          <w:tcPr>
            <w:tcW w:w="4200" w:type="dxa"/>
          </w:tcPr>
          <w:p w14:paraId="39DC82E5">
            <w:r>
              <w:rPr>
                <w:b w:val="0"/>
                <w:bCs w:val="0"/>
                <w:color w:val="000000"/>
              </w:rPr>
              <w:t>PlantVillage (Kaggle)</w:t>
            </w:r>
          </w:p>
        </w:tc>
        <w:tc>
          <w:tcPr>
            <w:tcW w:w="1700" w:type="dxa"/>
          </w:tcPr>
          <w:p w14:paraId="3F4C37A6">
            <w:r>
              <w:rPr>
                <w:b w:val="0"/>
                <w:bCs w:val="0"/>
                <w:color w:val="000000"/>
              </w:rPr>
              <w:t>10</w:t>
            </w:r>
          </w:p>
        </w:tc>
        <w:tc>
          <w:tcPr>
            <w:tcW w:w="2260" w:type="dxa"/>
          </w:tcPr>
          <w:p w14:paraId="686B87EA">
            <w:r>
              <w:rPr>
                <w:b w:val="0"/>
                <w:bCs w:val="0"/>
                <w:color w:val="000000"/>
              </w:rPr>
              <w:t>16,011</w:t>
            </w:r>
          </w:p>
        </w:tc>
      </w:tr>
      <w:tr w14:paraId="403FF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</w:tcPr>
          <w:p w14:paraId="0D01CB59">
            <w:r>
              <w:rPr>
                <w:b w:val="0"/>
                <w:bCs w:val="0"/>
                <w:color w:val="000000"/>
              </w:rPr>
              <w:t>Pepper</w:t>
            </w:r>
          </w:p>
        </w:tc>
        <w:tc>
          <w:tcPr>
            <w:tcW w:w="4200" w:type="dxa"/>
          </w:tcPr>
          <w:p w14:paraId="43F0554B">
            <w:r>
              <w:rPr>
                <w:b w:val="0"/>
                <w:bCs w:val="0"/>
                <w:color w:val="000000"/>
              </w:rPr>
              <w:t>PlantVillage (Kaggle)</w:t>
            </w:r>
          </w:p>
        </w:tc>
        <w:tc>
          <w:tcPr>
            <w:tcW w:w="1700" w:type="dxa"/>
          </w:tcPr>
          <w:p w14:paraId="63121386">
            <w:r>
              <w:rPr>
                <w:b w:val="0"/>
                <w:bCs w:val="0"/>
                <w:color w:val="000000"/>
              </w:rPr>
              <w:t>2</w:t>
            </w:r>
          </w:p>
        </w:tc>
        <w:tc>
          <w:tcPr>
            <w:tcW w:w="2260" w:type="dxa"/>
          </w:tcPr>
          <w:p w14:paraId="41BE9275">
            <w:r>
              <w:rPr>
                <w:b w:val="0"/>
                <w:bCs w:val="0"/>
                <w:color w:val="000000"/>
              </w:rPr>
              <w:t>2,475</w:t>
            </w:r>
          </w:p>
        </w:tc>
      </w:tr>
      <w:tr w14:paraId="74573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</w:tcPr>
          <w:p w14:paraId="25E7D8E2">
            <w:r>
              <w:rPr>
                <w:b w:val="0"/>
                <w:bCs w:val="0"/>
                <w:color w:val="000000"/>
              </w:rPr>
              <w:t>Potato</w:t>
            </w:r>
          </w:p>
        </w:tc>
        <w:tc>
          <w:tcPr>
            <w:tcW w:w="4200" w:type="dxa"/>
          </w:tcPr>
          <w:p w14:paraId="063901AF">
            <w:r>
              <w:rPr>
                <w:b w:val="0"/>
                <w:bCs w:val="0"/>
                <w:color w:val="000000"/>
              </w:rPr>
              <w:t>PlantVillage (Kaggle)</w:t>
            </w:r>
          </w:p>
        </w:tc>
        <w:tc>
          <w:tcPr>
            <w:tcW w:w="1700" w:type="dxa"/>
          </w:tcPr>
          <w:p w14:paraId="1D82502E">
            <w:r>
              <w:rPr>
                <w:b w:val="0"/>
                <w:bCs w:val="0"/>
                <w:color w:val="000000"/>
              </w:rPr>
              <w:t>3</w:t>
            </w:r>
          </w:p>
        </w:tc>
        <w:tc>
          <w:tcPr>
            <w:tcW w:w="2260" w:type="dxa"/>
          </w:tcPr>
          <w:p w14:paraId="4682D660">
            <w:r>
              <w:rPr>
                <w:b w:val="0"/>
                <w:bCs w:val="0"/>
                <w:color w:val="000000"/>
              </w:rPr>
              <w:t>2,152</w:t>
            </w:r>
          </w:p>
        </w:tc>
      </w:tr>
      <w:tr w14:paraId="587B2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2F5233"/>
          </w:tcPr>
          <w:p w14:paraId="4C621825">
            <w:r>
              <w:rPr>
                <w:b/>
                <w:bCs/>
                <w:color w:val="FFFFFF"/>
              </w:rPr>
              <w:t>Total</w:t>
            </w:r>
          </w:p>
        </w:tc>
        <w:tc>
          <w:tcPr>
            <w:tcW w:w="4200" w:type="dxa"/>
            <w:shd w:val="clear" w:color="auto" w:fill="2F5233"/>
          </w:tcPr>
          <w:p w14:paraId="2DC70B52"/>
        </w:tc>
        <w:tc>
          <w:tcPr>
            <w:tcW w:w="1700" w:type="dxa"/>
            <w:shd w:val="clear" w:color="auto" w:fill="2F5233"/>
          </w:tcPr>
          <w:p w14:paraId="2E2C59D0">
            <w:r>
              <w:rPr>
                <w:b/>
                <w:bCs/>
                <w:color w:val="FFFFFF"/>
              </w:rPr>
              <w:t>29</w:t>
            </w:r>
          </w:p>
        </w:tc>
        <w:tc>
          <w:tcPr>
            <w:tcW w:w="2260" w:type="dxa"/>
            <w:shd w:val="clear" w:color="auto" w:fill="2F5233"/>
          </w:tcPr>
          <w:p w14:paraId="6D75422A">
            <w:r>
              <w:rPr>
                <w:b/>
                <w:bCs/>
                <w:color w:val="FFFFFF"/>
              </w:rPr>
              <w:t>67,443</w:t>
            </w:r>
          </w:p>
        </w:tc>
      </w:tr>
    </w:tbl>
    <w:p w14:paraId="54554017"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>Table 1. Summary of acquired datasets by crop, source, class count, and image volume.</w:t>
      </w:r>
    </w:p>
    <w:p w14:paraId="28A03ED1">
      <w:pPr>
        <w:pStyle w:val="3"/>
        <w:spacing w:before="240" w:after="120"/>
      </w:pPr>
      <w:r>
        <w:t>1.1 Note on Yam Substitution</w:t>
      </w:r>
    </w:p>
    <w:p w14:paraId="6850780C">
      <w:pPr>
        <w:spacing w:after="160"/>
      </w:pPr>
      <w:r>
        <w:t>No publicly available, sufficiently large yam (Dioscorea spp.) leaf disease dataset was identified during the literature and data-sourcing search. Taro (cocoyam) was substituted as it is a comparable West African root/tuber staple, with a recent (2025), regionally-collected, and well-documented public dataset available via Mendeley Data. This substitution is itself a documented finding regarding the current data-availability gap for yam-specific disease research in the region, and is discussed further in the Limitations section of this paper.</w:t>
      </w:r>
    </w:p>
    <w:p w14:paraId="4833647B">
      <w:pPr>
        <w:pStyle w:val="2"/>
        <w:spacing w:before="300" w:after="150"/>
      </w:pPr>
      <w:r>
        <w:t>2. Data Validation</w:t>
      </w:r>
    </w:p>
    <w:p w14:paraId="6D2AF267">
      <w:pPr>
        <w:spacing w:after="160"/>
      </w:pPr>
      <w:r>
        <w:t>All 67,443 acquired images were programmatically verified for file integrity using Python's PIL library (Image.verify()). One corrupted, non-image artifact file (filename: svn-r6Yb5c, likely a packaging remnant from the source repository) was identified within the Tomato_YellowLeaf_Curl_Virus class and removed. The final validated dataset comprises 67,442 images across 29 classes.</w:t>
      </w:r>
    </w:p>
    <w:p w14:paraId="4D3371A0">
      <w:pPr>
        <w:pStyle w:val="2"/>
        <w:spacing w:before="300" w:after="150"/>
      </w:pPr>
      <w:r>
        <w:t>3. Class Distribution</w:t>
      </w:r>
    </w:p>
    <w:p w14:paraId="5C9334A2">
      <w:pPr>
        <w:spacing w:after="160"/>
      </w:pPr>
      <w:r>
        <w:t>Figure 1 presents the class distribution for each of the six crops. Distribution reveals substantial imbalance both between crops and within individual crops.</w:t>
      </w:r>
    </w:p>
    <w:p w14:paraId="3127F2C9">
      <w:pPr>
        <w:spacing w:before="200" w:after="100"/>
        <w:jc w:val="center"/>
      </w:pPr>
      <w:r>
        <w:drawing>
          <wp:inline distT="0" distB="0" distL="0" distR="0">
            <wp:extent cx="5943600" cy="3286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1C656"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>Figure 1. Class distribution across all six crops (Maize, Taro, Tomato, Pepper, Potato, Cassava).</w:t>
      </w:r>
    </w:p>
    <w:p w14:paraId="5AE86BDC">
      <w:pPr>
        <w:spacing w:before="100" w:after="80"/>
      </w:pPr>
      <w:r>
        <w:rPr>
          <w:b/>
          <w:bCs/>
        </w:rPr>
        <w:t>Key observations:</w:t>
      </w:r>
    </w:p>
    <w:p w14:paraId="59CB7567">
      <w:pPr>
        <w:pStyle w:val="16"/>
        <w:numPr>
          <w:ilvl w:val="0"/>
          <w:numId w:val="1"/>
        </w:numPr>
        <w:spacing w:after="80"/>
      </w:pPr>
      <w:r>
        <w:t>Between-crop imbalance: Cassava, Taro, and Tomato each contribute 16,000–21,000+ images, while Pepper and Potato contribute only ~2,000–2,500 images each.</w:t>
      </w:r>
    </w:p>
    <w:p w14:paraId="417A3001">
      <w:pPr>
        <w:pStyle w:val="16"/>
        <w:numPr>
          <w:ilvl w:val="0"/>
          <w:numId w:val="1"/>
        </w:numPr>
        <w:spacing w:after="80"/>
      </w:pPr>
      <w:r>
        <w:t>Within-crop imbalance (Cassava): Cassava_Mosaic_Disease (13,158 images) vastly outweighs Cassava_Bacterial_Blight (1,087 images), a ratio of roughly 12:1.</w:t>
      </w:r>
    </w:p>
    <w:p w14:paraId="6FDB3A8C">
      <w:pPr>
        <w:pStyle w:val="16"/>
        <w:numPr>
          <w:ilvl w:val="0"/>
          <w:numId w:val="1"/>
        </w:numPr>
        <w:spacing w:after="80"/>
      </w:pPr>
      <w:r>
        <w:t>Within-crop imbalance (Potato): Potato___healthy (152 images) is dramatically underrepresented relative to its two disease classes (~1,000 images each).</w:t>
      </w:r>
    </w:p>
    <w:p w14:paraId="0000C1D3">
      <w:pPr>
        <w:pStyle w:val="16"/>
        <w:numPr>
          <w:ilvl w:val="0"/>
          <w:numId w:val="1"/>
        </w:numPr>
        <w:spacing w:after="80"/>
      </w:pPr>
      <w:r>
        <w:t>Within-crop imbalance (Taro): Taro_Healthy (8,744 images) is disproportionately high relative to its four disease-stage classes.</w:t>
      </w:r>
    </w:p>
    <w:p w14:paraId="4377F67A">
      <w:pPr>
        <w:pStyle w:val="16"/>
        <w:numPr>
          <w:ilvl w:val="0"/>
          <w:numId w:val="1"/>
        </w:numPr>
        <w:spacing w:after="80"/>
      </w:pPr>
      <w:r>
        <w:t>This imbalance will be addressed during preprocessing via class weighting in the loss function and/or targeted augmentation of minority classes.</w:t>
      </w:r>
    </w:p>
    <w:p w14:paraId="36B71CAB">
      <w:pPr>
        <w:pStyle w:val="2"/>
        <w:spacing w:before="300" w:after="150"/>
      </w:pPr>
      <w:r>
        <w:t>4. Sample Verification</w:t>
      </w:r>
    </w:p>
    <w:p w14:paraId="4D73D7E3">
      <w:pPr>
        <w:spacing w:after="160"/>
      </w:pPr>
      <w:r>
        <w:t>A representative sample image was drawn from each of the 29 classes to visually confirm correct labeling and inspect image characteristics (Figure 2).</w:t>
      </w:r>
    </w:p>
    <w:p w14:paraId="3ED328EF">
      <w:pPr>
        <w:spacing w:before="200" w:after="100"/>
        <w:jc w:val="center"/>
      </w:pPr>
      <w:r>
        <w:drawing>
          <wp:inline distT="0" distB="0" distL="0" distR="0">
            <wp:extent cx="5943600" cy="44481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26495"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>Figure 2. Representative sample image from each of the 29 disease/health classes across all six crops.</w:t>
      </w:r>
    </w:p>
    <w:p w14:paraId="4176C80F">
      <w:pPr>
        <w:spacing w:after="160"/>
      </w:pPr>
      <w:r>
        <w:t>Visual inspection confirmed correct labeling across all classes. Notably, the three PlantVillage-sourced crops (Tomato, Pepper, Potato) share a consistent grey lab-background aesthetic, while Taro and Cassava consist of natural field photographs with varied backgrounds (soil, foliage, and in some cases a hand holding the leaf). This domain-shift between lab-controlled and field-collected imagery is flagged as a methodological consideration for the Discussion and Limitations sections, as a model trained on this combined set may partially learn background-associated features rather than purely disease-relevant features.</w:t>
      </w:r>
    </w:p>
    <w:p w14:paraId="628DC7C2">
      <w:pPr>
        <w:pStyle w:val="2"/>
        <w:spacing w:before="300" w:after="150"/>
      </w:pPr>
      <w:r>
        <w:t>5. Image Resolution Audit</w:t>
      </w:r>
    </w:p>
    <w:p w14:paraId="7B0113F4">
      <w:pPr>
        <w:spacing w:after="160"/>
      </w:pPr>
      <w:r>
        <w:t>Image dimensions were sampled and audited across all six crops to inform the preprocessing pipeline (Table 2).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77"/>
        <w:gridCol w:w="4683"/>
      </w:tblGrid>
      <w:tr w14:paraId="26D2A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180" w:type="dxa"/>
            <w:shd w:val="clear" w:color="auto" w:fill="2F5233"/>
          </w:tcPr>
          <w:p w14:paraId="0E44A273"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5180" w:type="dxa"/>
            <w:shd w:val="clear" w:color="auto" w:fill="2F5233"/>
          </w:tcPr>
          <w:p w14:paraId="1D2B59AD">
            <w:r>
              <w:rPr>
                <w:b/>
                <w:bCs/>
                <w:color w:val="FFFFFF"/>
              </w:rPr>
              <w:t>Resolution</w:t>
            </w:r>
          </w:p>
        </w:tc>
      </w:tr>
      <w:tr w14:paraId="633F6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180" w:type="dxa"/>
          </w:tcPr>
          <w:p w14:paraId="16D68EB0">
            <w:r>
              <w:rPr>
                <w:b w:val="0"/>
                <w:bCs w:val="0"/>
                <w:color w:val="000000"/>
              </w:rPr>
              <w:t>PlantVillage (Tomato, Pepper, Potato)</w:t>
            </w:r>
          </w:p>
        </w:tc>
        <w:tc>
          <w:tcPr>
            <w:tcW w:w="5180" w:type="dxa"/>
          </w:tcPr>
          <w:p w14:paraId="261559A1">
            <w:r>
              <w:rPr>
                <w:b w:val="0"/>
                <w:bCs w:val="0"/>
                <w:color w:val="000000"/>
              </w:rPr>
              <w:t>Uniform 256 x 256</w:t>
            </w:r>
          </w:p>
        </w:tc>
      </w:tr>
      <w:tr w14:paraId="4332E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180" w:type="dxa"/>
          </w:tcPr>
          <w:p w14:paraId="103EC80A">
            <w:r>
              <w:rPr>
                <w:b w:val="0"/>
                <w:bCs w:val="0"/>
                <w:color w:val="000000"/>
              </w:rPr>
              <w:t>Taro</w:t>
            </w:r>
          </w:p>
        </w:tc>
        <w:tc>
          <w:tcPr>
            <w:tcW w:w="5180" w:type="dxa"/>
          </w:tcPr>
          <w:p w14:paraId="2CB63B2B">
            <w:r>
              <w:rPr>
                <w:b w:val="0"/>
                <w:bCs w:val="0"/>
                <w:color w:val="000000"/>
              </w:rPr>
              <w:t>Uniform 640 x 640</w:t>
            </w:r>
          </w:p>
        </w:tc>
      </w:tr>
      <w:tr w14:paraId="58619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180" w:type="dxa"/>
          </w:tcPr>
          <w:p w14:paraId="29F54EAE">
            <w:r>
              <w:rPr>
                <w:b w:val="0"/>
                <w:bCs w:val="0"/>
                <w:color w:val="000000"/>
              </w:rPr>
              <w:t>Cassava</w:t>
            </w:r>
          </w:p>
        </w:tc>
        <w:tc>
          <w:tcPr>
            <w:tcW w:w="5180" w:type="dxa"/>
          </w:tcPr>
          <w:p w14:paraId="306FD48A">
            <w:r>
              <w:rPr>
                <w:b w:val="0"/>
                <w:bCs w:val="0"/>
                <w:color w:val="000000"/>
              </w:rPr>
              <w:t>Uniform 800 x 600</w:t>
            </w:r>
          </w:p>
        </w:tc>
      </w:tr>
      <w:tr w14:paraId="116C9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180" w:type="dxa"/>
          </w:tcPr>
          <w:p w14:paraId="3AE10425">
            <w:r>
              <w:rPr>
                <w:b w:val="0"/>
                <w:bCs w:val="0"/>
                <w:color w:val="000000"/>
              </w:rPr>
              <w:t>Maize</w:t>
            </w:r>
          </w:p>
        </w:tc>
        <w:tc>
          <w:tcPr>
            <w:tcW w:w="5180" w:type="dxa"/>
          </w:tcPr>
          <w:p w14:paraId="254E007F">
            <w:r>
              <w:rPr>
                <w:b w:val="0"/>
                <w:bCs w:val="0"/>
                <w:color w:val="000000"/>
              </w:rPr>
              <w:t>Variable (188px to 1920x1080), reflecting multi-source aggregation</w:t>
            </w:r>
          </w:p>
        </w:tc>
      </w:tr>
    </w:tbl>
    <w:p w14:paraId="6654A466"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>Table 2. Native image resolution by data source.</w:t>
      </w:r>
    </w:p>
    <w:p w14:paraId="28254A4C">
      <w:pPr>
        <w:spacing w:after="160"/>
      </w:pPr>
      <w:r>
        <w:t>Given the resolution inconsistency across and within sources, all images will be resized to a standardized 224 x 224 during preprocessing, matching the input requirements of the Vision Transformer architecture (Dosovitskiy et al., 2021).</w:t>
      </w:r>
    </w:p>
    <w:p w14:paraId="10068ECB">
      <w:pPr>
        <w:pStyle w:val="2"/>
        <w:spacing w:before="300" w:after="150"/>
      </w:pPr>
      <w:r>
        <w:t>6. Summary</w:t>
      </w:r>
    </w:p>
    <w:p w14:paraId="1EAFDE71">
      <w:pPr>
        <w:pStyle w:val="16"/>
        <w:numPr>
          <w:ilvl w:val="0"/>
          <w:numId w:val="1"/>
        </w:numPr>
        <w:spacing w:after="80"/>
      </w:pPr>
      <w:r>
        <w:t>Total validated images: 67,442 across 29 classes and six crops.</w:t>
      </w:r>
    </w:p>
    <w:p w14:paraId="57E7C804">
      <w:pPr>
        <w:pStyle w:val="16"/>
        <w:numPr>
          <w:ilvl w:val="0"/>
          <w:numId w:val="1"/>
        </w:numPr>
        <w:spacing w:after="80"/>
      </w:pPr>
      <w:r>
        <w:t>Zero corrupted files remaining after validation and cleanup.</w:t>
      </w:r>
    </w:p>
    <w:p w14:paraId="59B6010A">
      <w:pPr>
        <w:pStyle w:val="16"/>
        <w:numPr>
          <w:ilvl w:val="0"/>
          <w:numId w:val="1"/>
        </w:numPr>
        <w:spacing w:after="80"/>
      </w:pPr>
      <w:r>
        <w:t>Significant class imbalance identified and documented, both between and within crops — to be addressed via class weighting / augmentation.</w:t>
      </w:r>
    </w:p>
    <w:p w14:paraId="03D24DAE">
      <w:pPr>
        <w:pStyle w:val="16"/>
        <w:numPr>
          <w:ilvl w:val="0"/>
          <w:numId w:val="1"/>
        </w:numPr>
        <w:spacing w:after="80"/>
      </w:pPr>
      <w:r>
        <w:t>Resolution inconsistency identified across all three data sources — to be resolved via standardized resizing to 224 x 224.</w:t>
      </w:r>
    </w:p>
    <w:p w14:paraId="2BC5267D">
      <w:pPr>
        <w:pStyle w:val="16"/>
        <w:numPr>
          <w:ilvl w:val="0"/>
          <w:numId w:val="1"/>
        </w:numPr>
        <w:spacing w:after="80"/>
      </w:pPr>
      <w:r>
        <w:t>Domain-shift risk identified between lab-background (PlantVillage) and field-collected (Taro, Cassava) imagery — flagged for Discussion/Limitations.</w:t>
      </w:r>
    </w:p>
    <w:p w14:paraId="19246139">
      <w:pPr>
        <w:pStyle w:val="16"/>
        <w:numPr>
          <w:ilvl w:val="0"/>
          <w:numId w:val="1"/>
        </w:numPr>
        <w:spacing w:after="80"/>
      </w:pPr>
      <w:r>
        <w:t>Yam data-scarcity finding documented; Taro (cocoyam) substituted as the sixth staple crop.</w:t>
      </w:r>
    </w:p>
    <w:p w14:paraId="4963E063">
      <w:r>
        <w:br w:type="page"/>
      </w:r>
    </w:p>
    <w:p w14:paraId="41C78D0B">
      <w:pPr>
        <w:pStyle w:val="2"/>
        <w:spacing w:before="300" w:after="150"/>
      </w:pPr>
      <w:r>
        <w:t>Team Contribution Statement</w:t>
      </w:r>
    </w:p>
    <w:p w14:paraId="3B70FE97">
      <w:pPr>
        <w:numPr>
          <w:ilvl w:val="0"/>
          <w:numId w:val="2"/>
        </w:numPr>
        <w:spacing w:after="160"/>
        <w:rPr>
          <w:rFonts w:hint="default"/>
          <w:lang w:val="en-US"/>
        </w:rPr>
      </w:pPr>
      <w:r>
        <w:rPr>
          <w:rFonts w:hint="default"/>
          <w:lang w:val="en-US"/>
        </w:rPr>
        <w:t>Makinde Ayomide Daniel (2023/12127) - Team Lead and Head Project Research</w:t>
      </w:r>
    </w:p>
    <w:p w14:paraId="02AB7D2F">
      <w:pPr>
        <w:numPr>
          <w:ilvl w:val="0"/>
          <w:numId w:val="2"/>
        </w:numPr>
        <w:spacing w:after="160"/>
        <w:rPr>
          <w:rFonts w:hint="default"/>
          <w:lang w:val="en-US"/>
        </w:rPr>
      </w:pPr>
      <w:r>
        <w:rPr>
          <w:rFonts w:hint="default"/>
          <w:lang w:val="en-US"/>
        </w:rPr>
        <w:t>Sanni Smaiat Ajoke ()</w:t>
      </w:r>
      <w:bookmarkStart w:id="0" w:name="_GoBack"/>
      <w:bookmarkEnd w:id="0"/>
      <w:r>
        <w:rPr>
          <w:rFonts w:hint="default"/>
          <w:lang w:val="en-US"/>
        </w:rPr>
        <w:br w:type="textWrapping"/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268C56C2"/>
    <w:multiLevelType w:val="singleLevel"/>
    <w:tmpl w:val="268C56C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98959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3</TotalTime>
  <ScaleCrop>false</ScaleCrop>
  <LinksUpToDate>false</LinksUpToDate>
  <Application>WPS Office_12.2.0.23203_F1E327BC-269C-435d-A152-05C5408002CA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2026-07-13T00:38:00Z</dcterms:created>
  <dc:creator>Un-named</dc:creator>
  <cp:lastModifiedBy>WPS_1715328761</cp:lastModifiedBy>
  <dcterms:modified xsi:type="dcterms:W3CDTF">2026-07-13T00:42:16Z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025ACEE914074CFDB10F93DD66AF78D4_12</vt:lpwstr>
  </property>
</Properties>
</file>