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pStyle w:val="Title"/>
        <w:spacing w:after="400"/>
        <w:jc w:val="center"/>
      </w:pPr>
      <w:r>
        <w:t xml:space="preserve">Unified Multi-Crop Vision Transformer for West African Agricultural Disease Diagnosis</w:t>
      </w:r>
    </w:p>
    <w:p>
      <w:pPr>
        <w:pStyle w:val="Heading2"/>
        <w:spacing w:after="600"/>
        <w:jc w:val="center"/>
      </w:pPr>
      <w:r>
        <w:t xml:space="preserve">A Vision Transformer Approach to Cross-Crop Plant Disease Classification Across Six West African Staples</w:t>
      </w:r>
    </w:p>
    <w:p>
      <w:pPr>
        <w:spacing w:after="150"/>
        <w:jc w:val="both"/>
      </w:pPr>
      <w:r>
        <w:t xml:space="preserve">Makinde Ayomide Daniel (2023/12127), Sanni Samiat Ajoke, Sodamade Ismail, Nweze Sharon, Shittu Qais Ayomide</w:t>
      </w:r>
    </w:p>
    <w:p>
      <w:pPr>
        <w:spacing w:after="800"/>
        <w:jc w:val="center"/>
      </w:pPr>
      <w:r>
        <w:rPr>
          <w:i/>
          <w:iCs/>
        </w:rPr>
        <w:t xml:space="preserve">Department of Computer Science, Bells University of Technology, Ota</w:t>
      </w:r>
    </w:p>
    <w:p>
      <w:r>
        <w:br w:type="page"/>
      </w:r>
    </w:p>
    <w:p>
      <w:pPr>
        <w:pStyle w:val="Heading1"/>
        <w:spacing w:after="150" w:before="300"/>
      </w:pPr>
      <w:r>
        <w:t xml:space="preserve">Abstract</w:t>
      </w:r>
    </w:p>
    <w:p>
      <w:pPr>
        <w:spacing w:after="150"/>
        <w:jc w:val="both"/>
      </w:pPr>
      <w:r>
        <w:t xml:space="preserve">Plant disease remains a major threat to food security across West Africa, where staple crops such as cassava, maize, and root tubers sustain rural livelihoods. Existing deep learning approaches to disease detection are overwhelmingly single-crop specialists, an assumption that does not reflect the intercropped reality of smallholder farms in the region. This study develops a Unified Multi-Crop Vision Transformer (ViT) capable of diagnosing disease across six economically important West African staples — Cassava, Maize, Taro (substituting Yam due to documented data scarcity), Tomato, Pepper, and Potato — using a single shared architecture. A combined dataset of 67,443 images was assembled, validated, and split into stratified train, validation, and test sets. A classical machine learning baseline (58.97% test accuracy) was compared against a custom ViT-based classifier, which achieved a final test accuracy of 81.21%, a 22.24 percentage-point improvement. Per-class analysis revealed strong performance on well-represented, laboratory-sourced classes (Tomato, Pepper, Potato) and weaker performance on underrepresented, field-collected Taro disease stages, directly reflecting the data scarcity that motivated the project's Yam-to-Taro substitution. These findings support the feasibility of unified, cross-crop ViT-based diagnosis while highlighting the continued need for regionally-collected, balanced datasets for West Africa's under-resourced root crops.</w:t>
      </w:r>
    </w:p>
    <w:p>
      <w:r>
        <w:br w:type="page"/>
      </w:r>
    </w:p>
    <w:p>
      <w:pPr>
        <w:pStyle w:val="Heading1"/>
        <w:spacing w:after="150" w:before="300"/>
      </w:pPr>
      <w:r>
        <w:t xml:space="preserve">1. Introduction</w:t>
      </w:r>
    </w:p>
    <w:p>
      <w:pPr>
        <w:pStyle w:val="Heading2"/>
        <w:spacing w:after="100" w:before="200"/>
      </w:pPr>
      <w:r>
        <w:t xml:space="preserve">1.1 Background</w:t>
      </w:r>
    </w:p>
    <w:p>
      <w:pPr>
        <w:spacing w:after="150"/>
        <w:jc w:val="both"/>
      </w:pPr>
      <w:r>
        <w:t xml:space="preserve">West African agriculture, particularly in regional hubs such as Nigeria and Ghana, is anchored by a triad of starch-rich staples: cassava, maize, and root crops such as yam. These crops are primary drivers of food security and rural livelihoods. However, their productivity is severely compromised by viral, bacterial, and fungal pathogens that cause devastating yield losses. Cassava Mosaic Disease alone contributes to annual economic damage of up to USD 2.7 billion in Sub-Saharan Africa, while fungal infections such as anthracnose can lead to yield losses between 50% and 90% in yam cultivation. Traditionally, disease monitoring has relied on manual visual inspection, a process limited by human subjectivity, high labour demands, and an inability to detect asymptomatic infections before irreversible crop destruction occurs.</w:t>
      </w:r>
    </w:p>
    <w:p>
      <w:pPr>
        <w:pStyle w:val="Heading2"/>
        <w:spacing w:after="100" w:before="200"/>
      </w:pPr>
      <w:r>
        <w:t xml:space="preserve">1.2 The Literature Gap: The Single-Crop Specialist Bottleneck</w:t>
      </w:r>
    </w:p>
    <w:p>
      <w:pPr>
        <w:spacing w:after="150"/>
        <w:jc w:val="both"/>
      </w:pPr>
      <w:r>
        <w:t xml:space="preserve">A systematic review of contemporary literature reveals a significant deployment gap in agricultural artificial intelligence. Most state-of-the-art models are engineered as specialists for isolated crop species. For instance, high-performance frameworks such as FormerLeaf (Thai et al., 2023) focus exclusively on cassava, while attention-based architectures such as that of Chen et al. (2021) are tailored specifically for maize foliar symptoms. While effective in laboratory settings, these single-crop approaches fail to reflect the reality of West African smallholder farms, where intercropping and diverse plots are the norm. Furthermore, many current models are computationally heavy, presenting a barrier to real-time deployment on the resource-constrained edge devices common among the region's farmers.</w:t>
      </w:r>
    </w:p>
    <w:p>
      <w:pPr>
        <w:spacing w:after="150"/>
        <w:jc w:val="both"/>
      </w:pPr>
      <w:r>
        <w:t xml:space="preserve">This specialization is more pronounced, and more consequential, for West African root crops. Nwaneto et al. (2025) developed a dedicated, regionally-collected object detection system for Taro Leaf Blight using Nigerian and Ghanaian field data, while Etaba et al. (2025) attempted an equivalent system for yam — but reported only 17.84% accuracy using a dated LeNet-5 architecture, exposing both the scarcity and the technical immaturity of existing yam-specific work relative to modern approaches. Notably, none of the reviewed papers apply the Vision Transformer architecture (Dosovitskiy et al., 2021) to more than one crop species within a single unified model. This gap between a growing body of single-crop or general-purpose solutions and the near-total absence of a unified, multi-crop, ViT-based approach explicitly grounded in West African smallholder agriculture motivates the present study.</w:t>
      </w:r>
    </w:p>
    <w:p>
      <w:pPr>
        <w:pStyle w:val="Heading2"/>
        <w:spacing w:after="100" w:before="200"/>
      </w:pPr>
      <w:r>
        <w:t xml:space="preserve">1.3 Root Crop Substitution: Yam to Taro</w:t>
      </w:r>
    </w:p>
    <w:p>
      <w:pPr>
        <w:spacing w:after="150"/>
        <w:jc w:val="both"/>
      </w:pPr>
      <w:r>
        <w:t xml:space="preserve">This study specifically addresses the orphan-crop diagnostic gap for West African root crops. Due to the acute scarcity of publicly available, high-quality West African yam datasets, Taro (Cocoyam) is used as a functional substitute. This substitution is academically justified by their shared status as primary regional starch staples and their overlapping pathological profiles, such as leaf blight, which remains a critical threat to both species in West African sub-regions.</w:t>
      </w:r>
    </w:p>
    <w:p>
      <w:pPr>
        <w:pStyle w:val="Heading2"/>
        <w:spacing w:after="100" w:before="200"/>
      </w:pPr>
      <w:r>
        <w:t xml:space="preserve">1.4 Research Objectives and Contribution</w:t>
      </w:r>
    </w:p>
    <w:p>
      <w:pPr>
        <w:spacing w:after="150"/>
        <w:jc w:val="both"/>
      </w:pPr>
      <w:r>
        <w:t xml:space="preserve">The objective of this research is to move beyond single-crop specialization by developing a Unified Multi-Crop Vision Transformer capable of identifying diseases across six disparate plant species — Cassava, Maize, Taro, Tomato, Pepper, and Potato — simultaneously. This is achieved through three contributions: (1) multi-class generalization across six crop species within a single architecture; (2) a rigorous head-to-head comparison between the custom ViT and a classical machine learning baseline, quantifying the diagnostic gains achieved through self-attention mechanisms; and (3) an honest evaluation of field robustness, examining how performance varies between clean, laboratory-sourced benchmark data (PlantVillage) and the more complex, naturally varied field imagery typical of West African agronomic environments (Cassava, Taro).</w:t>
      </w:r>
    </w:p>
    <w:p>
      <w:r>
        <w:br w:type="page"/>
      </w:r>
    </w:p>
    <w:p>
      <w:pPr>
        <w:pStyle w:val="Heading1"/>
        <w:spacing w:after="150" w:before="300"/>
      </w:pPr>
      <w:r>
        <w:t xml:space="preserve">2. Literature Review</w:t>
      </w:r>
    </w:p>
    <w:p>
      <w:pPr>
        <w:spacing w:after="150"/>
        <w:jc w:val="both"/>
      </w:pPr>
      <w:r>
        <w:t xml:space="preserve">This review is organized around four themes reflecting the structure of the fifty-paper source base underpinning this study: cassava disease diagnostics, maize foliar pathology, root crop pathology (taro and yam), and multi-crop or Vision Transformer methods more broadly.</w:t>
      </w:r>
    </w:p>
    <w:p>
      <w:pPr>
        <w:pStyle w:val="Heading2"/>
        <w:spacing w:after="100" w:before="200"/>
      </w:pPr>
      <w:r>
        <w:t xml:space="preserve">2.1 Cassava Disease Diagnostics</w:t>
      </w:r>
    </w:p>
    <w:p>
      <w:pPr>
        <w:spacing w:after="150"/>
        <w:jc w:val="both"/>
      </w:pPr>
      <w:r>
        <w:t xml:space="preserve">Cassava has received substantial research attention relative to other West African staples. Thai et al.'s (2023) FormerLeaf applies attention pruning and sparse matrix multiplication to a Vision Transformer, reducing model size by 28% and evaluation time by 15% while improving accuracy by approximately 3% over baseline — a genuine advance for field deployment, though evaluated on cassava alone. Lilhore et al. (2022) similarly enhanced a convolutional architecture specifically for cassava classification. Riaz et al. (2022) and Kiruthika et al. (2024) each contribute further cassava-specific deep learning pipelines, the latter using ensembles of lightweight models, though a prior DOI associated with this paper resolved to an unrelated publication during verification and should be treated with appropriate caution pending direct confirmation. Across this sub-literature, the consistent pattern is architectural sophistication applied within a single-crop scope.</w:t>
      </w:r>
    </w:p>
    <w:p>
      <w:pPr>
        <w:pStyle w:val="Heading2"/>
        <w:spacing w:after="100" w:before="200"/>
      </w:pPr>
      <w:r>
        <w:t xml:space="preserve">2.2 Maize Foliar Pathology</w:t>
      </w:r>
    </w:p>
    <w:p>
      <w:pPr>
        <w:spacing w:after="150"/>
        <w:jc w:val="both"/>
      </w:pPr>
      <w:r>
        <w:t xml:space="preserve">Maize disease detection follows a similar trajectory. Chen et al. (2021) proposed Mobile-DANet, combining DenseNet-style depthwise separable convolutions with an attention module, validated on both public and locally-collected Chinese maize datasets. Mayo et al. (2024) extended this line of work specifically to Tanzanian conditions, targeting maize streak virus and maize lethal necrosis — a rare example of regionally-grounded African agricultural deep learning, though still confined to one crop and one geography.</w:t>
      </w:r>
    </w:p>
    <w:p>
      <w:pPr>
        <w:pStyle w:val="Heading2"/>
        <w:spacing w:after="100" w:before="200"/>
      </w:pPr>
      <w:r>
        <w:t xml:space="preserve">2.3 Root Crop Pathology: Taro and Yam</w:t>
      </w:r>
    </w:p>
    <w:p>
      <w:pPr>
        <w:spacing w:after="150"/>
        <w:jc w:val="both"/>
      </w:pPr>
      <w:r>
        <w:t xml:space="preserve">Root crop literature is comparatively sparse. Nwaneto et al. (2025) represent the strongest available regional work, applying YOLOv8-based object detection to Taro Leaf Blight using a purpose-built dataset collected across Nigerian and Ghanaian farms — the same dataset employed in the present study. By contrast, Etaba et al.'s (2025) yam-specific study, while a rare direct attempt at yam disease detection, reported only 17.84% accuracy using LeNet-5, a shallow architecture by current standards. This asymmetry between taro and yam-specific research quality directly informed this study's decision to substitute taro for yam.</w:t>
      </w:r>
    </w:p>
    <w:p>
      <w:pPr>
        <w:pStyle w:val="Heading2"/>
        <w:spacing w:after="100" w:before="200"/>
      </w:pPr>
      <w:r>
        <w:t xml:space="preserve">2.4 Multi-Crop, ViT Methods, and Related Staples</w:t>
      </w:r>
    </w:p>
    <w:p>
      <w:pPr>
        <w:spacing w:after="150"/>
        <w:jc w:val="both"/>
      </w:pPr>
      <w:r>
        <w:t xml:space="preserve">The foundational Vision Transformer architecture (Dosovitskiy et al., 2021) underpins the present study's methodology, demonstrating that pure self-attention, given sufficient pretraining, can match or exceed convolutional approaches for image classification. Subsequent work has explored hybrid CNN-ViT architectures: Shaheed et al. (2023) combined ResNet-50 and ViT for potato disease classification (EfficientRMT-Net), while Aboelenin et al. (2025) proposed a broader ensemble of VGG16, Inception-V3, DenseNet201, and ViT for general plant disease classification. Shehu et al. (2025) applied YOLO-based detection to Tuta absoluta-induced tomato disease using Nigerian field data, offering a directly regional point of comparison. Ahmed et al.'s (2026) review of UAV-based deployment further highlights that real-world field conditions — lighting variability, occlusion, background clutter — remain inadequately addressed even for well-studied crops such as cassava.</w:t>
      </w:r>
    </w:p>
    <w:p>
      <w:pPr>
        <w:spacing w:after="150"/>
        <w:jc w:val="both"/>
      </w:pPr>
      <w:r>
        <w:t xml:space="preserve">Across all four themes, the reviewed literature converges on a single structural gap: architectural innovation has consistently been applied within single-crop or general-purpose scopes, and no reviewed work applies a Vision Transformer to a defined, regionally-grounded set of multiple West African staple crops simultaneously. This gap directly motivates the present study.</w:t>
      </w:r>
    </w:p>
    <w:p>
      <w:r>
        <w:br w:type="page"/>
      </w:r>
    </w:p>
    <w:p>
      <w:pPr>
        <w:pStyle w:val="Heading1"/>
        <w:spacing w:after="150" w:before="300"/>
      </w:pPr>
      <w:r>
        <w:t xml:space="preserve">3. Methodology</w:t>
      </w:r>
    </w:p>
    <w:p>
      <w:pPr>
        <w:pStyle w:val="Heading2"/>
        <w:spacing w:after="100" w:before="200"/>
      </w:pPr>
      <w:r>
        <w:t xml:space="preserve">3.1 Dataset Acquisition</w:t>
      </w:r>
    </w:p>
    <w:p>
      <w:pPr>
        <w:spacing w:after="150"/>
        <w:jc w:val="both"/>
      </w:pPr>
      <w:r>
        <w:t xml:space="preserve">A combined dataset of 67,443 images was assembled from three sources: the Kaggle Cassava Leaf Disease Classification competition dataset, a Mendeley-hosted Taro Leaf Blight dataset collected across Nigeria and Ghana (used as a substitute for Yam per Section 1.3), and the PlantVillage dataset (Maize, Tomato, Pepper, Potato). Table 1 summarizes the composition of the final dataset.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00"/>
      </w:tblGrid>
      <w:tr>
        <w:tc>
          <w:tcPr>
            <w:tcW w:type="dxa" w:w="2500"/>
            <w:shd w:fill="1F4E3D" w:val="clear"/>
          </w:tcPr>
          <w:p>
            <w:pPr>
              <w:jc w:val="left"/>
            </w:pPr>
            <w:r>
              <w:rPr>
                <w:b/>
                <w:bCs/>
                <w:color w:val="FFFFFF"/>
                <w:sz w:val="20"/>
                <w:szCs w:val="20"/>
              </w:rPr>
              <w:t xml:space="preserve">Crop</w:t>
            </w:r>
          </w:p>
        </w:tc>
        <w:tc>
          <w:tcPr>
            <w:tcW w:type="dxa" w:w="2000"/>
            <w:shd w:fill="1F4E3D" w:val="clear"/>
          </w:tcPr>
          <w:p>
            <w:pPr>
              <w:jc w:val="left"/>
            </w:pPr>
            <w:r>
              <w:rPr>
                <w:b/>
                <w:bCs/>
                <w:color w:val="FFFFFF"/>
                <w:sz w:val="20"/>
                <w:szCs w:val="20"/>
              </w:rPr>
              <w:t xml:space="preserve">Source</w:t>
            </w:r>
          </w:p>
        </w:tc>
        <w:tc>
          <w:tcPr>
            <w:tcW w:type="dxa" w:w="2000"/>
            <w:shd w:fill="1F4E3D" w:val="clear"/>
          </w:tcPr>
          <w:p>
            <w:pPr>
              <w:jc w:val="center"/>
            </w:pPr>
            <w:r>
              <w:rPr>
                <w:b/>
                <w:bCs/>
                <w:color w:val="FFFFFF"/>
                <w:sz w:val="20"/>
                <w:szCs w:val="20"/>
              </w:rPr>
              <w:t xml:space="preserve">Classes</w:t>
            </w:r>
          </w:p>
        </w:tc>
        <w:tc>
          <w:tcPr>
            <w:tcW w:type="dxa" w:w="2500"/>
            <w:shd w:fill="1F4E3D" w:val="clear"/>
          </w:tcPr>
          <w:p>
            <w:pPr>
              <w:jc w:val="center"/>
            </w:pPr>
            <w:r>
              <w:rPr>
                <w:b/>
                <w:bCs/>
                <w:color w:val="FFFFFF"/>
                <w:sz w:val="20"/>
                <w:szCs w:val="20"/>
              </w:rPr>
              <w:t xml:space="preserve">Images</w:t>
            </w:r>
          </w:p>
        </w:tc>
      </w:tr>
      <w:tr>
        <w:tc>
          <w:tcPr>
            <w:tcW w:type="dxa" w:w="2500"/>
          </w:tcPr>
          <w:p>
            <w:pPr>
              <w:jc w:val="left"/>
            </w:pPr>
            <w:r>
              <w:rPr>
                <w:b w:val="false"/>
                <w:bCs w:val="false"/>
                <w:color w:val="000000"/>
                <w:sz w:val="20"/>
                <w:szCs w:val="20"/>
              </w:rPr>
              <w:t xml:space="preserve">Cassava</w:t>
            </w:r>
          </w:p>
        </w:tc>
        <w:tc>
          <w:tcPr>
            <w:tcW w:type="dxa" w:w="2000"/>
          </w:tcPr>
          <w:p>
            <w:pPr>
              <w:jc w:val="left"/>
            </w:pPr>
            <w:r>
              <w:rPr>
                <w:b w:val="false"/>
                <w:bCs w:val="false"/>
                <w:color w:val="000000"/>
                <w:sz w:val="20"/>
                <w:szCs w:val="20"/>
              </w:rPr>
              <w:t xml:space="preserve">Kaggle</w:t>
            </w:r>
          </w:p>
        </w:tc>
        <w:tc>
          <w:tcPr>
            <w:tcW w:type="dxa" w:w="2000"/>
          </w:tcPr>
          <w:p>
            <w:pPr>
              <w:jc w:val="center"/>
            </w:pPr>
            <w:r>
              <w:rPr>
                <w:b w:val="false"/>
                <w:bCs w:val="false"/>
                <w:color w:val="000000"/>
                <w:sz w:val="20"/>
                <w:szCs w:val="20"/>
              </w:rPr>
              <w:t xml:space="preserve">5</w:t>
            </w:r>
          </w:p>
        </w:tc>
        <w:tc>
          <w:tcPr>
            <w:tcW w:type="dxa" w:w="2500"/>
          </w:tcPr>
          <w:p>
            <w:pPr>
              <w:jc w:val="center"/>
            </w:pPr>
            <w:r>
              <w:rPr>
                <w:b w:val="false"/>
                <w:bCs w:val="false"/>
                <w:color w:val="000000"/>
                <w:sz w:val="20"/>
                <w:szCs w:val="20"/>
              </w:rPr>
              <w:t xml:space="preserve">21,397</w:t>
            </w:r>
          </w:p>
        </w:tc>
      </w:tr>
      <w:tr>
        <w:tc>
          <w:tcPr>
            <w:tcW w:type="dxa" w:w="2500"/>
          </w:tcPr>
          <w:p>
            <w:pPr>
              <w:jc w:val="left"/>
            </w:pPr>
            <w:r>
              <w:rPr>
                <w:b w:val="false"/>
                <w:bCs w:val="false"/>
                <w:color w:val="000000"/>
                <w:sz w:val="20"/>
                <w:szCs w:val="20"/>
              </w:rPr>
              <w:t xml:space="preserve">Maize</w:t>
            </w:r>
          </w:p>
        </w:tc>
        <w:tc>
          <w:tcPr>
            <w:tcW w:type="dxa" w:w="2000"/>
          </w:tcPr>
          <w:p>
            <w:pPr>
              <w:jc w:val="left"/>
            </w:pPr>
            <w:r>
              <w:rPr>
                <w:b w:val="false"/>
                <w:bCs w:val="false"/>
                <w:color w:val="000000"/>
                <w:sz w:val="20"/>
                <w:szCs w:val="20"/>
              </w:rPr>
              <w:t xml:space="preserve">Kaggle</w:t>
            </w:r>
          </w:p>
        </w:tc>
        <w:tc>
          <w:tcPr>
            <w:tcW w:type="dxa" w:w="2000"/>
          </w:tcPr>
          <w:p>
            <w:pPr>
              <w:jc w:val="center"/>
            </w:pPr>
            <w:r>
              <w:rPr>
                <w:b w:val="false"/>
                <w:bCs w:val="false"/>
                <w:color w:val="000000"/>
                <w:sz w:val="20"/>
                <w:szCs w:val="20"/>
              </w:rPr>
              <w:t xml:space="preserve">4</w:t>
            </w:r>
          </w:p>
        </w:tc>
        <w:tc>
          <w:tcPr>
            <w:tcW w:type="dxa" w:w="2500"/>
          </w:tcPr>
          <w:p>
            <w:pPr>
              <w:jc w:val="center"/>
            </w:pPr>
            <w:r>
              <w:rPr>
                <w:b w:val="false"/>
                <w:bCs w:val="false"/>
                <w:color w:val="000000"/>
                <w:sz w:val="20"/>
                <w:szCs w:val="20"/>
              </w:rPr>
              <w:t xml:space="preserve">4,188</w:t>
            </w:r>
          </w:p>
        </w:tc>
      </w:tr>
      <w:tr>
        <w:tc>
          <w:tcPr>
            <w:tcW w:type="dxa" w:w="2500"/>
          </w:tcPr>
          <w:p>
            <w:pPr>
              <w:jc w:val="left"/>
            </w:pPr>
            <w:r>
              <w:rPr>
                <w:b w:val="false"/>
                <w:bCs w:val="false"/>
                <w:color w:val="000000"/>
                <w:sz w:val="20"/>
                <w:szCs w:val="20"/>
              </w:rPr>
              <w:t xml:space="preserve">Taro (substitute for Yam)</w:t>
            </w:r>
          </w:p>
        </w:tc>
        <w:tc>
          <w:tcPr>
            <w:tcW w:type="dxa" w:w="2000"/>
          </w:tcPr>
          <w:p>
            <w:pPr>
              <w:jc w:val="left"/>
            </w:pPr>
            <w:r>
              <w:rPr>
                <w:b w:val="false"/>
                <w:bCs w:val="false"/>
                <w:color w:val="000000"/>
                <w:sz w:val="20"/>
                <w:szCs w:val="20"/>
              </w:rPr>
              <w:t xml:space="preserve">Mendeley Data</w:t>
            </w:r>
          </w:p>
        </w:tc>
        <w:tc>
          <w:tcPr>
            <w:tcW w:type="dxa" w:w="2000"/>
          </w:tcPr>
          <w:p>
            <w:pPr>
              <w:jc w:val="center"/>
            </w:pPr>
            <w:r>
              <w:rPr>
                <w:b w:val="false"/>
                <w:bCs w:val="false"/>
                <w:color w:val="000000"/>
                <w:sz w:val="20"/>
                <w:szCs w:val="20"/>
              </w:rPr>
              <w:t xml:space="preserve">5</w:t>
            </w:r>
          </w:p>
        </w:tc>
        <w:tc>
          <w:tcPr>
            <w:tcW w:type="dxa" w:w="2500"/>
          </w:tcPr>
          <w:p>
            <w:pPr>
              <w:jc w:val="center"/>
            </w:pPr>
            <w:r>
              <w:rPr>
                <w:b w:val="false"/>
                <w:bCs w:val="false"/>
                <w:color w:val="000000"/>
                <w:sz w:val="20"/>
                <w:szCs w:val="20"/>
              </w:rPr>
              <w:t xml:space="preserve">21,220</w:t>
            </w:r>
          </w:p>
        </w:tc>
      </w:tr>
      <w:tr>
        <w:tc>
          <w:tcPr>
            <w:tcW w:type="dxa" w:w="2500"/>
          </w:tcPr>
          <w:p>
            <w:pPr>
              <w:jc w:val="left"/>
            </w:pPr>
            <w:r>
              <w:rPr>
                <w:b w:val="false"/>
                <w:bCs w:val="false"/>
                <w:color w:val="000000"/>
                <w:sz w:val="20"/>
                <w:szCs w:val="20"/>
              </w:rPr>
              <w:t xml:space="preserve">Tomato</w:t>
            </w:r>
          </w:p>
        </w:tc>
        <w:tc>
          <w:tcPr>
            <w:tcW w:type="dxa" w:w="2000"/>
          </w:tcPr>
          <w:p>
            <w:pPr>
              <w:jc w:val="left"/>
            </w:pPr>
            <w:r>
              <w:rPr>
                <w:b w:val="false"/>
                <w:bCs w:val="false"/>
                <w:color w:val="000000"/>
                <w:sz w:val="20"/>
                <w:szCs w:val="20"/>
              </w:rPr>
              <w:t xml:space="preserve">PlantVillage</w:t>
            </w:r>
          </w:p>
        </w:tc>
        <w:tc>
          <w:tcPr>
            <w:tcW w:type="dxa" w:w="2000"/>
          </w:tcPr>
          <w:p>
            <w:pPr>
              <w:jc w:val="center"/>
            </w:pPr>
            <w:r>
              <w:rPr>
                <w:b w:val="false"/>
                <w:bCs w:val="false"/>
                <w:color w:val="000000"/>
                <w:sz w:val="20"/>
                <w:szCs w:val="20"/>
              </w:rPr>
              <w:t xml:space="preserve">10</w:t>
            </w:r>
          </w:p>
        </w:tc>
        <w:tc>
          <w:tcPr>
            <w:tcW w:type="dxa" w:w="2500"/>
          </w:tcPr>
          <w:p>
            <w:pPr>
              <w:jc w:val="center"/>
            </w:pPr>
            <w:r>
              <w:rPr>
                <w:b w:val="false"/>
                <w:bCs w:val="false"/>
                <w:color w:val="000000"/>
                <w:sz w:val="20"/>
                <w:szCs w:val="20"/>
              </w:rPr>
              <w:t xml:space="preserve">16,011</w:t>
            </w:r>
          </w:p>
        </w:tc>
      </w:tr>
      <w:tr>
        <w:tc>
          <w:tcPr>
            <w:tcW w:type="dxa" w:w="2500"/>
          </w:tcPr>
          <w:p>
            <w:pPr>
              <w:jc w:val="left"/>
            </w:pPr>
            <w:r>
              <w:rPr>
                <w:b w:val="false"/>
                <w:bCs w:val="false"/>
                <w:color w:val="000000"/>
                <w:sz w:val="20"/>
                <w:szCs w:val="20"/>
              </w:rPr>
              <w:t xml:space="preserve">Pepper</w:t>
            </w:r>
          </w:p>
        </w:tc>
        <w:tc>
          <w:tcPr>
            <w:tcW w:type="dxa" w:w="2000"/>
          </w:tcPr>
          <w:p>
            <w:pPr>
              <w:jc w:val="left"/>
            </w:pPr>
            <w:r>
              <w:rPr>
                <w:b w:val="false"/>
                <w:bCs w:val="false"/>
                <w:color w:val="000000"/>
                <w:sz w:val="20"/>
                <w:szCs w:val="20"/>
              </w:rPr>
              <w:t xml:space="preserve">PlantVillage</w:t>
            </w:r>
          </w:p>
        </w:tc>
        <w:tc>
          <w:tcPr>
            <w:tcW w:type="dxa" w:w="2000"/>
          </w:tcPr>
          <w:p>
            <w:pPr>
              <w:jc w:val="center"/>
            </w:pPr>
            <w:r>
              <w:rPr>
                <w:b w:val="false"/>
                <w:bCs w:val="false"/>
                <w:color w:val="000000"/>
                <w:sz w:val="20"/>
                <w:szCs w:val="20"/>
              </w:rPr>
              <w:t xml:space="preserve">2</w:t>
            </w:r>
          </w:p>
        </w:tc>
        <w:tc>
          <w:tcPr>
            <w:tcW w:type="dxa" w:w="2500"/>
          </w:tcPr>
          <w:p>
            <w:pPr>
              <w:jc w:val="center"/>
            </w:pPr>
            <w:r>
              <w:rPr>
                <w:b w:val="false"/>
                <w:bCs w:val="false"/>
                <w:color w:val="000000"/>
                <w:sz w:val="20"/>
                <w:szCs w:val="20"/>
              </w:rPr>
              <w:t xml:space="preserve">2,475</w:t>
            </w:r>
          </w:p>
        </w:tc>
      </w:tr>
      <w:tr>
        <w:tc>
          <w:tcPr>
            <w:tcW w:type="dxa" w:w="2500"/>
          </w:tcPr>
          <w:p>
            <w:pPr>
              <w:jc w:val="left"/>
            </w:pPr>
            <w:r>
              <w:rPr>
                <w:b w:val="false"/>
                <w:bCs w:val="false"/>
                <w:color w:val="000000"/>
                <w:sz w:val="20"/>
                <w:szCs w:val="20"/>
              </w:rPr>
              <w:t xml:space="preserve">Potato</w:t>
            </w:r>
          </w:p>
        </w:tc>
        <w:tc>
          <w:tcPr>
            <w:tcW w:type="dxa" w:w="2000"/>
          </w:tcPr>
          <w:p>
            <w:pPr>
              <w:jc w:val="left"/>
            </w:pPr>
            <w:r>
              <w:rPr>
                <w:b w:val="false"/>
                <w:bCs w:val="false"/>
                <w:color w:val="000000"/>
                <w:sz w:val="20"/>
                <w:szCs w:val="20"/>
              </w:rPr>
              <w:t xml:space="preserve">PlantVillage</w:t>
            </w:r>
          </w:p>
        </w:tc>
        <w:tc>
          <w:tcPr>
            <w:tcW w:type="dxa" w:w="2000"/>
          </w:tcPr>
          <w:p>
            <w:pPr>
              <w:jc w:val="center"/>
            </w:pPr>
            <w:r>
              <w:rPr>
                <w:b w:val="false"/>
                <w:bCs w:val="false"/>
                <w:color w:val="000000"/>
                <w:sz w:val="20"/>
                <w:szCs w:val="20"/>
              </w:rPr>
              <w:t xml:space="preserve">3</w:t>
            </w:r>
          </w:p>
        </w:tc>
        <w:tc>
          <w:tcPr>
            <w:tcW w:type="dxa" w:w="2500"/>
          </w:tcPr>
          <w:p>
            <w:pPr>
              <w:jc w:val="center"/>
            </w:pPr>
            <w:r>
              <w:rPr>
                <w:b w:val="false"/>
                <w:bCs w:val="false"/>
                <w:color w:val="000000"/>
                <w:sz w:val="20"/>
                <w:szCs w:val="20"/>
              </w:rPr>
              <w:t xml:space="preserve">2,152</w:t>
            </w:r>
          </w:p>
        </w:tc>
      </w:tr>
      <w:tr>
        <w:tc>
          <w:tcPr>
            <w:tcW w:type="dxa" w:w="2500"/>
            <w:shd w:fill="1F4E3D" w:val="clear"/>
          </w:tcPr>
          <w:p>
            <w:pPr>
              <w:jc w:val="left"/>
            </w:pPr>
            <w:r>
              <w:rPr>
                <w:b/>
                <w:bCs/>
                <w:color w:val="FFFFFF"/>
                <w:sz w:val="20"/>
                <w:szCs w:val="20"/>
              </w:rPr>
              <w:t xml:space="preserve">Total</w:t>
            </w:r>
          </w:p>
        </w:tc>
        <w:tc>
          <w:tcPr>
            <w:tcW w:type="dxa" w:w="2000"/>
            <w:shd w:fill="1F4E3D" w:val="clear"/>
          </w:tcPr>
          <w:p>
            <w:pPr>
              <w:jc w:val="left"/>
            </w:pPr>
            <w:r>
              <w:rPr>
                <w:b/>
                <w:bCs/>
                <w:color w:val="FFFFFF"/>
                <w:sz w:val="20"/>
                <w:szCs w:val="20"/>
              </w:rPr>
              <w:t xml:space="preserve"/>
            </w:r>
          </w:p>
        </w:tc>
        <w:tc>
          <w:tcPr>
            <w:tcW w:type="dxa" w:w="2000"/>
            <w:shd w:fill="1F4E3D" w:val="clear"/>
          </w:tcPr>
          <w:p>
            <w:pPr>
              <w:jc w:val="center"/>
            </w:pPr>
            <w:r>
              <w:rPr>
                <w:b/>
                <w:bCs/>
                <w:color w:val="FFFFFF"/>
                <w:sz w:val="20"/>
                <w:szCs w:val="20"/>
              </w:rPr>
              <w:t xml:space="preserve">29</w:t>
            </w:r>
          </w:p>
        </w:tc>
        <w:tc>
          <w:tcPr>
            <w:tcW w:type="dxa" w:w="2500"/>
            <w:shd w:fill="1F4E3D" w:val="clear"/>
          </w:tcPr>
          <w:p>
            <w:pPr>
              <w:jc w:val="center"/>
            </w:pPr>
            <w:r>
              <w:rPr>
                <w:b/>
                <w:bCs/>
                <w:color w:val="FFFFFF"/>
                <w:sz w:val="20"/>
                <w:szCs w:val="20"/>
              </w:rPr>
              <w:t xml:space="preserve">67,443</w:t>
            </w:r>
          </w:p>
        </w:tc>
      </w:tr>
    </w:tbl>
    <w:p>
      <w:pPr>
        <w:spacing w:after="200" w:before="80"/>
      </w:pPr>
      <w:r>
        <w:rPr>
          <w:i/>
          <w:iCs/>
          <w:sz w:val="20"/>
          <w:szCs w:val="20"/>
        </w:rPr>
        <w:t xml:space="preserve">Table 1. Dataset composition by crop, source, class count, and image count.</w:t>
      </w:r>
    </w:p>
    <w:p>
      <w:pPr>
        <w:pStyle w:val="Heading2"/>
        <w:spacing w:after="100" w:before="200"/>
      </w:pPr>
      <w:r>
        <w:t xml:space="preserve">3.2 Data Validation and Exploratory Analysis</w:t>
      </w:r>
    </w:p>
    <w:p>
      <w:pPr>
        <w:spacing w:after="150"/>
        <w:jc w:val="both"/>
      </w:pPr>
      <w:r>
        <w:t xml:space="preserve">All images were programmatically verified for file integrity; one corrupted file was identified and removed, yielding a final validated count of 67,442 usable images. Exploratory analysis revealed substantial class imbalance both between crops (Cassava, Taro, and Tomato ranging from 16,000–21,000 images versus Pepper and Potato at 2,000–2,500) and within individual crops (for example, Cassava_Mosaic_Disease at 13,158 images versus Cassava_Bacterial_Blight at 1,087). Image resolution also varied by source: PlantVillage-derived crops were uniformly 256×256, Taro images were 640×640, Cassava images were 800×600, and Maize images varied considerably (188px–1920×1080), reflecting the dataset's multi-source aggregation. All images were subsequently resized to a standardized 224×224 to match Vision Transformer input requirements.</w:t>
      </w:r>
    </w:p>
    <w:p>
      <w:pPr>
        <w:pStyle w:val="Heading2"/>
        <w:spacing w:after="100" w:before="200"/>
      </w:pPr>
      <w:r>
        <w:t xml:space="preserve">3.3 Data Partitioning</w:t>
      </w:r>
    </w:p>
    <w:p>
      <w:pPr>
        <w:spacing w:after="150"/>
        <w:jc w:val="both"/>
      </w:pPr>
      <w:r>
        <w:t xml:space="preserve">The dataset was split into training, validation, and test sets using a stratified 70/15/15 split, preserving class proportions across all three partitions to protect minority classes such as Potato_healthy (152 images) from being underrepresented or absent in any split.</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shd w:fill="1F4E3D" w:val="clear"/>
          </w:tcPr>
          <w:p>
            <w:pPr>
              <w:jc w:val="left"/>
            </w:pPr>
            <w:r>
              <w:rPr>
                <w:b/>
                <w:bCs/>
                <w:color w:val="FFFFFF"/>
                <w:sz w:val="20"/>
                <w:szCs w:val="20"/>
              </w:rPr>
              <w:t xml:space="preserve">Split</w:t>
            </w:r>
          </w:p>
        </w:tc>
        <w:tc>
          <w:tcPr>
            <w:tcW w:type="dxa" w:w="3000"/>
            <w:shd w:fill="1F4E3D" w:val="clear"/>
          </w:tcPr>
          <w:p>
            <w:pPr>
              <w:jc w:val="center"/>
            </w:pPr>
            <w:r>
              <w:rPr>
                <w:b/>
                <w:bCs/>
                <w:color w:val="FFFFFF"/>
                <w:sz w:val="20"/>
                <w:szCs w:val="20"/>
              </w:rPr>
              <w:t xml:space="preserve">Images</w:t>
            </w:r>
          </w:p>
        </w:tc>
      </w:tr>
      <w:tr>
        <w:tc>
          <w:tcPr>
            <w:tcW w:type="dxa" w:w="3000"/>
          </w:tcPr>
          <w:p>
            <w:pPr>
              <w:jc w:val="left"/>
            </w:pPr>
            <w:r>
              <w:rPr>
                <w:b w:val="false"/>
                <w:bCs w:val="false"/>
                <w:color w:val="000000"/>
                <w:sz w:val="20"/>
                <w:szCs w:val="20"/>
              </w:rPr>
              <w:t xml:space="preserve">Train (70%)</w:t>
            </w:r>
          </w:p>
        </w:tc>
        <w:tc>
          <w:tcPr>
            <w:tcW w:type="dxa" w:w="3000"/>
          </w:tcPr>
          <w:p>
            <w:pPr>
              <w:jc w:val="center"/>
            </w:pPr>
            <w:r>
              <w:rPr>
                <w:b w:val="false"/>
                <w:bCs w:val="false"/>
                <w:color w:val="000000"/>
                <w:sz w:val="20"/>
                <w:szCs w:val="20"/>
              </w:rPr>
              <w:t xml:space="preserve">47,210</w:t>
            </w:r>
          </w:p>
        </w:tc>
      </w:tr>
      <w:tr>
        <w:tc>
          <w:tcPr>
            <w:tcW w:type="dxa" w:w="3000"/>
          </w:tcPr>
          <w:p>
            <w:pPr>
              <w:jc w:val="left"/>
            </w:pPr>
            <w:r>
              <w:rPr>
                <w:b w:val="false"/>
                <w:bCs w:val="false"/>
                <w:color w:val="000000"/>
                <w:sz w:val="20"/>
                <w:szCs w:val="20"/>
              </w:rPr>
              <w:t xml:space="preserve">Validation (15%)</w:t>
            </w:r>
          </w:p>
        </w:tc>
        <w:tc>
          <w:tcPr>
            <w:tcW w:type="dxa" w:w="3000"/>
          </w:tcPr>
          <w:p>
            <w:pPr>
              <w:jc w:val="center"/>
            </w:pPr>
            <w:r>
              <w:rPr>
                <w:b w:val="false"/>
                <w:bCs w:val="false"/>
                <w:color w:val="000000"/>
                <w:sz w:val="20"/>
                <w:szCs w:val="20"/>
              </w:rPr>
              <w:t xml:space="preserve">10,116</w:t>
            </w:r>
          </w:p>
        </w:tc>
      </w:tr>
      <w:tr>
        <w:tc>
          <w:tcPr>
            <w:tcW w:type="dxa" w:w="3000"/>
          </w:tcPr>
          <w:p>
            <w:pPr>
              <w:jc w:val="left"/>
            </w:pPr>
            <w:r>
              <w:rPr>
                <w:b w:val="false"/>
                <w:bCs w:val="false"/>
                <w:color w:val="000000"/>
                <w:sz w:val="20"/>
                <w:szCs w:val="20"/>
              </w:rPr>
              <w:t xml:space="preserve">Test (15%)</w:t>
            </w:r>
          </w:p>
        </w:tc>
        <w:tc>
          <w:tcPr>
            <w:tcW w:type="dxa" w:w="3000"/>
          </w:tcPr>
          <w:p>
            <w:pPr>
              <w:jc w:val="center"/>
            </w:pPr>
            <w:r>
              <w:rPr>
                <w:b w:val="false"/>
                <w:bCs w:val="false"/>
                <w:color w:val="000000"/>
                <w:sz w:val="20"/>
                <w:szCs w:val="20"/>
              </w:rPr>
              <w:t xml:space="preserve">10,117</w:t>
            </w:r>
          </w:p>
        </w:tc>
      </w:tr>
    </w:tbl>
    <w:p>
      <w:pPr>
        <w:spacing w:after="200" w:before="80"/>
      </w:pPr>
      <w:r>
        <w:rPr>
          <w:i/>
          <w:iCs/>
          <w:sz w:val="20"/>
          <w:szCs w:val="20"/>
        </w:rPr>
        <w:t xml:space="preserve">Table 2. Train/validation/test split sizes.</w:t>
      </w:r>
    </w:p>
    <w:p>
      <w:pPr>
        <w:pStyle w:val="Heading2"/>
        <w:spacing w:after="100" w:before="200"/>
      </w:pPr>
      <w:r>
        <w:t xml:space="preserve">3.4 Classical Machine Learning Baseline</w:t>
      </w:r>
    </w:p>
    <w:p>
      <w:pPr>
        <w:spacing w:after="150"/>
        <w:jc w:val="both"/>
      </w:pPr>
      <w:r>
        <w:t xml:space="preserve">A classical baseline was constructed using hand-crafted image features: colour histograms (8 bins per RGB channel) and Gray-Level Co-occurrence Matrix (GLCM) texture descriptors (contrast, homogeneity, energy, and correlation), combined with basic colour statistics, yielding 34 features per image. Features were extracted from a stratified sample of up to 300 images per class from the training set and used to train a classical classifier, establishing a baseline test accuracy of 58.97%.</w:t>
      </w:r>
    </w:p>
    <w:p>
      <w:pPr>
        <w:pStyle w:val="Heading2"/>
        <w:spacing w:after="100" w:before="200"/>
      </w:pPr>
      <w:r>
        <w:t xml:space="preserve">3.5 Custom Vision Transformer Architecture</w:t>
      </w:r>
    </w:p>
    <w:p>
      <w:pPr>
        <w:spacing w:after="150"/>
        <w:jc w:val="both"/>
      </w:pPr>
      <w:r>
        <w:t xml:space="preserve">The proposed model employs a ViT-Base (patch size 16, 224×224 input) backbone, initialized with pretrained weights and fine-tuned with a custom classification head consisting of Layer Normalization, a linear projection to 512 dimensions, GELU activation, dropout (p=0.3), and a final linear classification layer mapping to the 29 target classes. The model was trained using the Adam optimizer (learning rate 1×10⁻⁴) and cross-entropy loss, with batch size 32.</w:t>
      </w:r>
    </w:p>
    <w:p>
      <w:pPr>
        <w:pStyle w:val="Heading2"/>
        <w:spacing w:after="100" w:before="200"/>
      </w:pPr>
      <w:r>
        <w:t xml:space="preserve">3.6 Training Procedure</w:t>
      </w:r>
    </w:p>
    <w:p>
      <w:pPr>
        <w:spacing w:after="150"/>
        <w:jc w:val="both"/>
      </w:pPr>
      <w:r>
        <w:t xml:space="preserve">Training was conducted on a free-tier cloud GPU environment, necessitating a checkpointed training procedure to accommodate session interruptions and GPU quota limits. The model was trained for four epochs, with validation accuracy monitored after each epoch to guide stopping. Training was halted at epoch 4 when the widening gap between training and validation accuracy indicated diminishing returns from continued training, consistent with early-stage overfitting.</w:t>
      </w:r>
    </w:p>
    <w:p>
      <w:r>
        <w:br w:type="page"/>
      </w:r>
    </w:p>
    <w:p>
      <w:pPr>
        <w:pStyle w:val="Heading1"/>
        <w:spacing w:after="150" w:before="300"/>
      </w:pPr>
      <w:r>
        <w:t xml:space="preserve">4. Results</w:t>
      </w:r>
    </w:p>
    <w:p>
      <w:pPr>
        <w:pStyle w:val="Heading2"/>
        <w:spacing w:after="100" w:before="200"/>
      </w:pPr>
      <w:r>
        <w:t xml:space="preserve">4.1 Baseline vs. Proposed Model Performance</w:t>
      </w:r>
    </w:p>
    <w:p>
      <w:pPr>
        <w:spacing w:after="150"/>
        <w:jc w:val="both"/>
      </w:pPr>
      <w:r>
        <w:t xml:space="preserve">Table 3 compares the classical machine learning baseline against the proposed Vision Transformer model across training, validation, and held-out test sets.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shd w:fill="1F4E3D" w:val="clear"/>
          </w:tcPr>
          <w:p>
            <w:pPr>
              <w:jc w:val="left"/>
            </w:pPr>
            <w:r>
              <w:rPr>
                <w:b/>
                <w:bCs/>
                <w:color w:val="FFFFFF"/>
                <w:sz w:val="20"/>
                <w:szCs w:val="20"/>
              </w:rPr>
              <w:t xml:space="preserve">Model</w:t>
            </w:r>
          </w:p>
        </w:tc>
        <w:tc>
          <w:tcPr>
            <w:tcW w:type="dxa" w:w="1800"/>
            <w:shd w:fill="1F4E3D" w:val="clear"/>
          </w:tcPr>
          <w:p>
            <w:pPr>
              <w:jc w:val="center"/>
            </w:pPr>
            <w:r>
              <w:rPr>
                <w:b/>
                <w:bCs/>
                <w:color w:val="FFFFFF"/>
                <w:sz w:val="20"/>
                <w:szCs w:val="20"/>
              </w:rPr>
              <w:t xml:space="preserve">Train Acc.</w:t>
            </w:r>
          </w:p>
        </w:tc>
        <w:tc>
          <w:tcPr>
            <w:tcW w:type="dxa" w:w="1800"/>
            <w:shd w:fill="1F4E3D" w:val="clear"/>
          </w:tcPr>
          <w:p>
            <w:pPr>
              <w:jc w:val="center"/>
            </w:pPr>
            <w:r>
              <w:rPr>
                <w:b/>
                <w:bCs/>
                <w:color w:val="FFFFFF"/>
                <w:sz w:val="20"/>
                <w:szCs w:val="20"/>
              </w:rPr>
              <w:t xml:space="preserve">Validation Acc.</w:t>
            </w:r>
          </w:p>
        </w:tc>
        <w:tc>
          <w:tcPr>
            <w:tcW w:type="dxa" w:w="1800"/>
            <w:shd w:fill="1F4E3D" w:val="clear"/>
          </w:tcPr>
          <w:p>
            <w:pPr>
              <w:jc w:val="center"/>
            </w:pPr>
            <w:r>
              <w:rPr>
                <w:b/>
                <w:bCs/>
                <w:color w:val="FFFFFF"/>
                <w:sz w:val="20"/>
                <w:szCs w:val="20"/>
              </w:rPr>
              <w:t xml:space="preserve">Test Acc.</w:t>
            </w:r>
          </w:p>
        </w:tc>
      </w:tr>
      <w:tr>
        <w:tc>
          <w:tcPr>
            <w:tcW w:type="dxa" w:w="3600"/>
          </w:tcPr>
          <w:p>
            <w:pPr>
              <w:jc w:val="left"/>
            </w:pPr>
            <w:r>
              <w:rPr>
                <w:b w:val="false"/>
                <w:bCs w:val="false"/>
                <w:color w:val="000000"/>
                <w:sz w:val="20"/>
                <w:szCs w:val="20"/>
              </w:rPr>
              <w:t xml:space="preserve">Classical ML Baseline (SVM/RF on GLCM + colour histogram features)</w:t>
            </w:r>
          </w:p>
        </w:tc>
        <w:tc>
          <w:tcPr>
            <w:tcW w:type="dxa" w:w="1800"/>
          </w:tcPr>
          <w:p>
            <w:pPr>
              <w:jc w:val="center"/>
            </w:pPr>
            <w:r>
              <w:rPr>
                <w:b w:val="false"/>
                <w:bCs w:val="false"/>
                <w:color w:val="000000"/>
                <w:sz w:val="20"/>
                <w:szCs w:val="20"/>
              </w:rPr>
              <w:t xml:space="preserve">—</w:t>
            </w:r>
          </w:p>
        </w:tc>
        <w:tc>
          <w:tcPr>
            <w:tcW w:type="dxa" w:w="1800"/>
          </w:tcPr>
          <w:p>
            <w:pPr>
              <w:jc w:val="center"/>
            </w:pPr>
            <w:r>
              <w:rPr>
                <w:b w:val="false"/>
                <w:bCs w:val="false"/>
                <w:color w:val="000000"/>
                <w:sz w:val="20"/>
                <w:szCs w:val="20"/>
              </w:rPr>
              <w:t xml:space="preserve">—</w:t>
            </w:r>
          </w:p>
        </w:tc>
        <w:tc>
          <w:tcPr>
            <w:tcW w:type="dxa" w:w="1800"/>
          </w:tcPr>
          <w:p>
            <w:pPr>
              <w:jc w:val="center"/>
            </w:pPr>
            <w:r>
              <w:rPr>
                <w:b w:val="false"/>
                <w:bCs w:val="false"/>
                <w:color w:val="000000"/>
                <w:sz w:val="20"/>
                <w:szCs w:val="20"/>
              </w:rPr>
              <w:t xml:space="preserve">58.97%</w:t>
            </w:r>
          </w:p>
        </w:tc>
      </w:tr>
      <w:tr>
        <w:tc>
          <w:tcPr>
            <w:tcW w:type="dxa" w:w="3600"/>
          </w:tcPr>
          <w:p>
            <w:pPr>
              <w:jc w:val="left"/>
            </w:pPr>
            <w:r>
              <w:rPr>
                <w:b w:val="false"/>
                <w:bCs w:val="false"/>
                <w:color w:val="000000"/>
                <w:sz w:val="20"/>
                <w:szCs w:val="20"/>
              </w:rPr>
              <w:t xml:space="preserve">Custom Vision Transformer (Epoch 4, final)</w:t>
            </w:r>
          </w:p>
        </w:tc>
        <w:tc>
          <w:tcPr>
            <w:tcW w:type="dxa" w:w="1800"/>
          </w:tcPr>
          <w:p>
            <w:pPr>
              <w:jc w:val="center"/>
            </w:pPr>
            <w:r>
              <w:rPr>
                <w:b w:val="false"/>
                <w:bCs w:val="false"/>
                <w:color w:val="000000"/>
                <w:sz w:val="20"/>
                <w:szCs w:val="20"/>
              </w:rPr>
              <w:t xml:space="preserve">88.13%</w:t>
            </w:r>
          </w:p>
        </w:tc>
        <w:tc>
          <w:tcPr>
            <w:tcW w:type="dxa" w:w="1800"/>
          </w:tcPr>
          <w:p>
            <w:pPr>
              <w:jc w:val="center"/>
            </w:pPr>
            <w:r>
              <w:rPr>
                <w:b w:val="false"/>
                <w:bCs w:val="false"/>
                <w:color w:val="000000"/>
                <w:sz w:val="20"/>
                <w:szCs w:val="20"/>
              </w:rPr>
              <w:t xml:space="preserve">81.36%</w:t>
            </w:r>
          </w:p>
        </w:tc>
        <w:tc>
          <w:tcPr>
            <w:tcW w:type="dxa" w:w="1800"/>
          </w:tcPr>
          <w:p>
            <w:pPr>
              <w:jc w:val="center"/>
            </w:pPr>
            <w:r>
              <w:rPr>
                <w:b w:val="false"/>
                <w:bCs w:val="false"/>
                <w:color w:val="000000"/>
                <w:sz w:val="20"/>
                <w:szCs w:val="20"/>
              </w:rPr>
              <w:t xml:space="preserve">81.21%</w:t>
            </w:r>
          </w:p>
        </w:tc>
      </w:tr>
    </w:tbl>
    <w:p>
      <w:pPr>
        <w:spacing w:after="200" w:before="80"/>
      </w:pPr>
      <w:r>
        <w:rPr>
          <w:i/>
          <w:iCs/>
          <w:sz w:val="20"/>
          <w:szCs w:val="20"/>
        </w:rPr>
        <w:t xml:space="preserve">Table 3. Baseline vs. proposed model performance. Train/validation accuracy for the classical baseline were not separately tracked, as the baseline was evaluated directly on the held-out test set.</w:t>
      </w:r>
    </w:p>
    <w:p>
      <w:pPr>
        <w:spacing w:after="150"/>
        <w:jc w:val="both"/>
      </w:pPr>
      <w:r>
        <w:t xml:space="preserve">The proposed ViT model achieved a final test accuracy of 81.21%, representing an improvement of 22.24 percentage points over the classical baseline. Notably, test accuracy (81.21%) closely tracks validation accuracy (81.36%), a difference of only 0.15 points, indicating the model generalizes to genuinely unseen data rather than having overfit to the validation set used during training. Training was halted at four epochs, as the widening gap between training accuracy (88.13%) and validation accuracy (81.36%) — 6.77 percentage points, up from 1.39 points after epoch 1 — indicated diminishing marginal returns from continued training.</w:t>
      </w:r>
    </w:p>
    <w:p>
      <w:pPr>
        <w:pStyle w:val="Heading2"/>
        <w:spacing w:after="100" w:before="200"/>
      </w:pPr>
      <w:r>
        <w:t xml:space="preserve">4.2 Per-Class Performance</w:t>
      </w:r>
    </w:p>
    <w:p>
      <w:pPr>
        <w:spacing w:after="150"/>
        <w:jc w:val="both"/>
      </w:pPr>
      <w:r>
        <w:t xml:space="preserve">While overall accuracy provides a useful summary metric, per-class precision, recall, and F1-score reveal substantial variation across the 29 disease classes spanning six crops. Table 4 presents representative classes illustrating the range of performance observed.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400"/>
        <w:gridCol w:w="1400"/>
        <w:gridCol w:w="1400"/>
      </w:tblGrid>
      <w:tr>
        <w:tc>
          <w:tcPr>
            <w:tcW w:type="dxa" w:w="3400"/>
            <w:shd w:fill="1F4E3D" w:val="clear"/>
          </w:tcPr>
          <w:p>
            <w:pPr>
              <w:jc w:val="left"/>
            </w:pPr>
            <w:r>
              <w:rPr>
                <w:b/>
                <w:bCs/>
                <w:color w:val="FFFFFF"/>
                <w:sz w:val="20"/>
                <w:szCs w:val="20"/>
              </w:rPr>
              <w:t xml:space="preserve">Class</w:t>
            </w:r>
          </w:p>
        </w:tc>
        <w:tc>
          <w:tcPr>
            <w:tcW w:type="dxa" w:w="1400"/>
            <w:shd w:fill="1F4E3D" w:val="clear"/>
          </w:tcPr>
          <w:p>
            <w:pPr>
              <w:jc w:val="center"/>
            </w:pPr>
            <w:r>
              <w:rPr>
                <w:b/>
                <w:bCs/>
                <w:color w:val="FFFFFF"/>
                <w:sz w:val="20"/>
                <w:szCs w:val="20"/>
              </w:rPr>
              <w:t xml:space="preserve">Precision</w:t>
            </w:r>
          </w:p>
        </w:tc>
        <w:tc>
          <w:tcPr>
            <w:tcW w:type="dxa" w:w="1400"/>
            <w:shd w:fill="1F4E3D" w:val="clear"/>
          </w:tcPr>
          <w:p>
            <w:pPr>
              <w:jc w:val="center"/>
            </w:pPr>
            <w:r>
              <w:rPr>
                <w:b/>
                <w:bCs/>
                <w:color w:val="FFFFFF"/>
                <w:sz w:val="20"/>
                <w:szCs w:val="20"/>
              </w:rPr>
              <w:t xml:space="preserve">Recall</w:t>
            </w:r>
          </w:p>
        </w:tc>
        <w:tc>
          <w:tcPr>
            <w:tcW w:type="dxa" w:w="1400"/>
            <w:shd w:fill="1F4E3D" w:val="clear"/>
          </w:tcPr>
          <w:p>
            <w:pPr>
              <w:jc w:val="center"/>
            </w:pPr>
            <w:r>
              <w:rPr>
                <w:b/>
                <w:bCs/>
                <w:color w:val="FFFFFF"/>
                <w:sz w:val="20"/>
                <w:szCs w:val="20"/>
              </w:rPr>
              <w:t xml:space="preserve">F1-Score</w:t>
            </w:r>
          </w:p>
        </w:tc>
        <w:tc>
          <w:tcPr>
            <w:tcW w:type="dxa" w:w="1400"/>
            <w:shd w:fill="1F4E3D" w:val="clear"/>
          </w:tcPr>
          <w:p>
            <w:pPr>
              <w:jc w:val="center"/>
            </w:pPr>
            <w:r>
              <w:rPr>
                <w:b/>
                <w:bCs/>
                <w:color w:val="FFFFFF"/>
                <w:sz w:val="20"/>
                <w:szCs w:val="20"/>
              </w:rPr>
              <w:t xml:space="preserve">Support</w:t>
            </w:r>
          </w:p>
        </w:tc>
      </w:tr>
      <w:tr>
        <w:tc>
          <w:tcPr>
            <w:tcW w:type="dxa" w:w="3400"/>
          </w:tcPr>
          <w:p>
            <w:pPr>
              <w:jc w:val="left"/>
            </w:pPr>
            <w:r>
              <w:rPr>
                <w:b w:val="false"/>
                <w:bCs w:val="false"/>
                <w:color w:val="000000"/>
                <w:sz w:val="20"/>
                <w:szCs w:val="20"/>
              </w:rPr>
              <w:t xml:space="preserve">Cassava_Mosaic_Disease</w:t>
            </w:r>
          </w:p>
        </w:tc>
        <w:tc>
          <w:tcPr>
            <w:tcW w:type="dxa" w:w="1400"/>
          </w:tcPr>
          <w:p>
            <w:pPr>
              <w:jc w:val="center"/>
            </w:pPr>
            <w:r>
              <w:rPr>
                <w:b w:val="false"/>
                <w:bCs w:val="false"/>
                <w:color w:val="000000"/>
                <w:sz w:val="20"/>
                <w:szCs w:val="20"/>
              </w:rPr>
              <w:t xml:space="preserve">0.8598</w:t>
            </w:r>
          </w:p>
        </w:tc>
        <w:tc>
          <w:tcPr>
            <w:tcW w:type="dxa" w:w="1400"/>
          </w:tcPr>
          <w:p>
            <w:pPr>
              <w:jc w:val="center"/>
            </w:pPr>
            <w:r>
              <w:rPr>
                <w:b w:val="false"/>
                <w:bCs w:val="false"/>
                <w:color w:val="000000"/>
                <w:sz w:val="20"/>
                <w:szCs w:val="20"/>
              </w:rPr>
              <w:t xml:space="preserve">0.9630</w:t>
            </w:r>
          </w:p>
        </w:tc>
        <w:tc>
          <w:tcPr>
            <w:tcW w:type="dxa" w:w="1400"/>
          </w:tcPr>
          <w:p>
            <w:pPr>
              <w:jc w:val="center"/>
            </w:pPr>
            <w:r>
              <w:rPr>
                <w:b w:val="false"/>
                <w:bCs w:val="false"/>
                <w:color w:val="000000"/>
                <w:sz w:val="20"/>
                <w:szCs w:val="20"/>
              </w:rPr>
              <w:t xml:space="preserve">0.9085</w:t>
            </w:r>
          </w:p>
        </w:tc>
        <w:tc>
          <w:tcPr>
            <w:tcW w:type="dxa" w:w="1400"/>
          </w:tcPr>
          <w:p>
            <w:pPr>
              <w:jc w:val="center"/>
            </w:pPr>
            <w:r>
              <w:rPr>
                <w:b w:val="false"/>
                <w:bCs w:val="false"/>
                <w:color w:val="000000"/>
                <w:sz w:val="20"/>
                <w:szCs w:val="20"/>
              </w:rPr>
              <w:t xml:space="preserve">1974</w:t>
            </w:r>
          </w:p>
        </w:tc>
      </w:tr>
      <w:tr>
        <w:tc>
          <w:tcPr>
            <w:tcW w:type="dxa" w:w="3400"/>
          </w:tcPr>
          <w:p>
            <w:pPr>
              <w:jc w:val="left"/>
            </w:pPr>
            <w:r>
              <w:rPr>
                <w:b w:val="false"/>
                <w:bCs w:val="false"/>
                <w:color w:val="000000"/>
                <w:sz w:val="20"/>
                <w:szCs w:val="20"/>
              </w:rPr>
              <w:t xml:space="preserve">Cassava_Bacterial_Blight</w:t>
            </w:r>
          </w:p>
        </w:tc>
        <w:tc>
          <w:tcPr>
            <w:tcW w:type="dxa" w:w="1400"/>
          </w:tcPr>
          <w:p>
            <w:pPr>
              <w:jc w:val="center"/>
            </w:pPr>
            <w:r>
              <w:rPr>
                <w:b w:val="false"/>
                <w:bCs w:val="false"/>
                <w:color w:val="000000"/>
                <w:sz w:val="20"/>
                <w:szCs w:val="20"/>
              </w:rPr>
              <w:t xml:space="preserve">0.4839</w:t>
            </w:r>
          </w:p>
        </w:tc>
        <w:tc>
          <w:tcPr>
            <w:tcW w:type="dxa" w:w="1400"/>
          </w:tcPr>
          <w:p>
            <w:pPr>
              <w:jc w:val="center"/>
            </w:pPr>
            <w:r>
              <w:rPr>
                <w:b w:val="false"/>
                <w:bCs w:val="false"/>
                <w:color w:val="000000"/>
                <w:sz w:val="20"/>
                <w:szCs w:val="20"/>
              </w:rPr>
              <w:t xml:space="preserve">0.5521</w:t>
            </w:r>
          </w:p>
        </w:tc>
        <w:tc>
          <w:tcPr>
            <w:tcW w:type="dxa" w:w="1400"/>
          </w:tcPr>
          <w:p>
            <w:pPr>
              <w:jc w:val="center"/>
            </w:pPr>
            <w:r>
              <w:rPr>
                <w:b w:val="false"/>
                <w:bCs w:val="false"/>
                <w:color w:val="000000"/>
                <w:sz w:val="20"/>
                <w:szCs w:val="20"/>
              </w:rPr>
              <w:t xml:space="preserve">0.5158</w:t>
            </w:r>
          </w:p>
        </w:tc>
        <w:tc>
          <w:tcPr>
            <w:tcW w:type="dxa" w:w="1400"/>
          </w:tcPr>
          <w:p>
            <w:pPr>
              <w:jc w:val="center"/>
            </w:pPr>
            <w:r>
              <w:rPr>
                <w:b w:val="false"/>
                <w:bCs w:val="false"/>
                <w:color w:val="000000"/>
                <w:sz w:val="20"/>
                <w:szCs w:val="20"/>
              </w:rPr>
              <w:t xml:space="preserve">163</w:t>
            </w:r>
          </w:p>
        </w:tc>
      </w:tr>
      <w:tr>
        <w:tc>
          <w:tcPr>
            <w:tcW w:type="dxa" w:w="3400"/>
          </w:tcPr>
          <w:p>
            <w:pPr>
              <w:jc w:val="left"/>
            </w:pPr>
            <w:r>
              <w:rPr>
                <w:b w:val="false"/>
                <w:bCs w:val="false"/>
                <w:color w:val="000000"/>
                <w:sz w:val="20"/>
                <w:szCs w:val="20"/>
              </w:rPr>
              <w:t xml:space="preserve">Taro_Healthy</w:t>
            </w:r>
          </w:p>
        </w:tc>
        <w:tc>
          <w:tcPr>
            <w:tcW w:type="dxa" w:w="1400"/>
          </w:tcPr>
          <w:p>
            <w:pPr>
              <w:jc w:val="center"/>
            </w:pPr>
            <w:r>
              <w:rPr>
                <w:b w:val="false"/>
                <w:bCs w:val="false"/>
                <w:color w:val="000000"/>
                <w:sz w:val="20"/>
                <w:szCs w:val="20"/>
              </w:rPr>
              <w:t xml:space="preserve">0.7970</w:t>
            </w:r>
          </w:p>
        </w:tc>
        <w:tc>
          <w:tcPr>
            <w:tcW w:type="dxa" w:w="1400"/>
          </w:tcPr>
          <w:p>
            <w:pPr>
              <w:jc w:val="center"/>
            </w:pPr>
            <w:r>
              <w:rPr>
                <w:b w:val="false"/>
                <w:bCs w:val="false"/>
                <w:color w:val="000000"/>
                <w:sz w:val="20"/>
                <w:szCs w:val="20"/>
              </w:rPr>
              <w:t xml:space="preserve">0.9428</w:t>
            </w:r>
          </w:p>
        </w:tc>
        <w:tc>
          <w:tcPr>
            <w:tcW w:type="dxa" w:w="1400"/>
          </w:tcPr>
          <w:p>
            <w:pPr>
              <w:jc w:val="center"/>
            </w:pPr>
            <w:r>
              <w:rPr>
                <w:b w:val="false"/>
                <w:bCs w:val="false"/>
                <w:color w:val="000000"/>
                <w:sz w:val="20"/>
                <w:szCs w:val="20"/>
              </w:rPr>
              <w:t xml:space="preserve">0.8638</w:t>
            </w:r>
          </w:p>
        </w:tc>
        <w:tc>
          <w:tcPr>
            <w:tcW w:type="dxa" w:w="1400"/>
          </w:tcPr>
          <w:p>
            <w:pPr>
              <w:jc w:val="center"/>
            </w:pPr>
            <w:r>
              <w:rPr>
                <w:b w:val="false"/>
                <w:bCs w:val="false"/>
                <w:color w:val="000000"/>
                <w:sz w:val="20"/>
                <w:szCs w:val="20"/>
              </w:rPr>
              <w:t xml:space="preserve">1312</w:t>
            </w:r>
          </w:p>
        </w:tc>
      </w:tr>
      <w:tr>
        <w:tc>
          <w:tcPr>
            <w:tcW w:type="dxa" w:w="3400"/>
          </w:tcPr>
          <w:p>
            <w:pPr>
              <w:jc w:val="left"/>
            </w:pPr>
            <w:r>
              <w:rPr>
                <w:b w:val="false"/>
                <w:bCs w:val="false"/>
                <w:color w:val="000000"/>
                <w:sz w:val="20"/>
                <w:szCs w:val="20"/>
              </w:rPr>
              <w:t xml:space="preserve">Taro_Mid_Blight</w:t>
            </w:r>
          </w:p>
        </w:tc>
        <w:tc>
          <w:tcPr>
            <w:tcW w:type="dxa" w:w="1400"/>
          </w:tcPr>
          <w:p>
            <w:pPr>
              <w:jc w:val="center"/>
            </w:pPr>
            <w:r>
              <w:rPr>
                <w:b w:val="false"/>
                <w:bCs w:val="false"/>
                <w:color w:val="000000"/>
                <w:sz w:val="20"/>
                <w:szCs w:val="20"/>
              </w:rPr>
              <w:t xml:space="preserve">0.7550</w:t>
            </w:r>
          </w:p>
        </w:tc>
        <w:tc>
          <w:tcPr>
            <w:tcW w:type="dxa" w:w="1400"/>
          </w:tcPr>
          <w:p>
            <w:pPr>
              <w:jc w:val="center"/>
            </w:pPr>
            <w:r>
              <w:rPr>
                <w:b w:val="false"/>
                <w:bCs w:val="false"/>
                <w:color w:val="000000"/>
                <w:sz w:val="20"/>
                <w:szCs w:val="20"/>
              </w:rPr>
              <w:t xml:space="preserve">0.2253</w:t>
            </w:r>
          </w:p>
        </w:tc>
        <w:tc>
          <w:tcPr>
            <w:tcW w:type="dxa" w:w="1400"/>
          </w:tcPr>
          <w:p>
            <w:pPr>
              <w:jc w:val="center"/>
            </w:pPr>
            <w:r>
              <w:rPr>
                <w:b w:val="false"/>
                <w:bCs w:val="false"/>
                <w:color w:val="000000"/>
                <w:sz w:val="20"/>
                <w:szCs w:val="20"/>
              </w:rPr>
              <w:t xml:space="preserve">0.3470</w:t>
            </w:r>
          </w:p>
        </w:tc>
        <w:tc>
          <w:tcPr>
            <w:tcW w:type="dxa" w:w="1400"/>
          </w:tcPr>
          <w:p>
            <w:pPr>
              <w:jc w:val="center"/>
            </w:pPr>
            <w:r>
              <w:rPr>
                <w:b w:val="false"/>
                <w:bCs w:val="false"/>
                <w:color w:val="000000"/>
                <w:sz w:val="20"/>
                <w:szCs w:val="20"/>
              </w:rPr>
              <w:t xml:space="preserve">506</w:t>
            </w:r>
          </w:p>
        </w:tc>
      </w:tr>
      <w:tr>
        <w:tc>
          <w:tcPr>
            <w:tcW w:type="dxa" w:w="3400"/>
          </w:tcPr>
          <w:p>
            <w:pPr>
              <w:jc w:val="left"/>
            </w:pPr>
            <w:r>
              <w:rPr>
                <w:b w:val="false"/>
                <w:bCs w:val="false"/>
                <w:color w:val="000000"/>
                <w:sz w:val="20"/>
                <w:szCs w:val="20"/>
              </w:rPr>
              <w:t xml:space="preserve">Taro_Late_Blight</w:t>
            </w:r>
          </w:p>
        </w:tc>
        <w:tc>
          <w:tcPr>
            <w:tcW w:type="dxa" w:w="1400"/>
          </w:tcPr>
          <w:p>
            <w:pPr>
              <w:jc w:val="center"/>
            </w:pPr>
            <w:r>
              <w:rPr>
                <w:b w:val="false"/>
                <w:bCs w:val="false"/>
                <w:color w:val="000000"/>
                <w:sz w:val="20"/>
                <w:szCs w:val="20"/>
              </w:rPr>
              <w:t xml:space="preserve">0.3158</w:t>
            </w:r>
          </w:p>
        </w:tc>
        <w:tc>
          <w:tcPr>
            <w:tcW w:type="dxa" w:w="1400"/>
          </w:tcPr>
          <w:p>
            <w:pPr>
              <w:jc w:val="center"/>
            </w:pPr>
            <w:r>
              <w:rPr>
                <w:b w:val="false"/>
                <w:bCs w:val="false"/>
                <w:color w:val="000000"/>
                <w:sz w:val="20"/>
                <w:szCs w:val="20"/>
              </w:rPr>
              <w:t xml:space="preserve">0.0316</w:t>
            </w:r>
          </w:p>
        </w:tc>
        <w:tc>
          <w:tcPr>
            <w:tcW w:type="dxa" w:w="1400"/>
          </w:tcPr>
          <w:p>
            <w:pPr>
              <w:jc w:val="center"/>
            </w:pPr>
            <w:r>
              <w:rPr>
                <w:b w:val="false"/>
                <w:bCs w:val="false"/>
                <w:color w:val="000000"/>
                <w:sz w:val="20"/>
                <w:szCs w:val="20"/>
              </w:rPr>
              <w:t xml:space="preserve">0.0574</w:t>
            </w:r>
          </w:p>
        </w:tc>
        <w:tc>
          <w:tcPr>
            <w:tcW w:type="dxa" w:w="1400"/>
          </w:tcPr>
          <w:p>
            <w:pPr>
              <w:jc w:val="center"/>
            </w:pPr>
            <w:r>
              <w:rPr>
                <w:b w:val="false"/>
                <w:bCs w:val="false"/>
                <w:color w:val="000000"/>
                <w:sz w:val="20"/>
                <w:szCs w:val="20"/>
              </w:rPr>
              <w:t xml:space="preserve">190</w:t>
            </w:r>
          </w:p>
        </w:tc>
      </w:tr>
      <w:tr>
        <w:tc>
          <w:tcPr>
            <w:tcW w:type="dxa" w:w="3400"/>
          </w:tcPr>
          <w:p>
            <w:pPr>
              <w:jc w:val="left"/>
            </w:pPr>
            <w:r>
              <w:rPr>
                <w:b w:val="false"/>
                <w:bCs w:val="false"/>
                <w:color w:val="000000"/>
                <w:sz w:val="20"/>
                <w:szCs w:val="20"/>
              </w:rPr>
              <w:t xml:space="preserve">Tomato_Tomato_mosaic_virus</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56</w:t>
            </w:r>
          </w:p>
        </w:tc>
      </w:tr>
      <w:tr>
        <w:tc>
          <w:tcPr>
            <w:tcW w:type="dxa" w:w="3400"/>
          </w:tcPr>
          <w:p>
            <w:pPr>
              <w:jc w:val="left"/>
            </w:pPr>
            <w:r>
              <w:rPr>
                <w:b w:val="false"/>
                <w:bCs w:val="false"/>
                <w:color w:val="000000"/>
                <w:sz w:val="20"/>
                <w:szCs w:val="20"/>
              </w:rPr>
              <w:t xml:space="preserve">Pepper__bell___healthy</w:t>
            </w:r>
          </w:p>
        </w:tc>
        <w:tc>
          <w:tcPr>
            <w:tcW w:type="dxa" w:w="1400"/>
          </w:tcPr>
          <w:p>
            <w:pPr>
              <w:jc w:val="center"/>
            </w:pPr>
            <w:r>
              <w:rPr>
                <w:b w:val="false"/>
                <w:bCs w:val="false"/>
                <w:color w:val="000000"/>
                <w:sz w:val="20"/>
                <w:szCs w:val="20"/>
              </w:rPr>
              <w:t xml:space="preserve">0.9910</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0.9955</w:t>
            </w:r>
          </w:p>
        </w:tc>
        <w:tc>
          <w:tcPr>
            <w:tcW w:type="dxa" w:w="1400"/>
          </w:tcPr>
          <w:p>
            <w:pPr>
              <w:jc w:val="center"/>
            </w:pPr>
            <w:r>
              <w:rPr>
                <w:b w:val="false"/>
                <w:bCs w:val="false"/>
                <w:color w:val="000000"/>
                <w:sz w:val="20"/>
                <w:szCs w:val="20"/>
              </w:rPr>
              <w:t xml:space="preserve">221</w:t>
            </w:r>
          </w:p>
        </w:tc>
      </w:tr>
      <w:tr>
        <w:tc>
          <w:tcPr>
            <w:tcW w:type="dxa" w:w="3400"/>
          </w:tcPr>
          <w:p>
            <w:pPr>
              <w:jc w:val="left"/>
            </w:pPr>
            <w:r>
              <w:rPr>
                <w:b w:val="false"/>
                <w:bCs w:val="false"/>
                <w:color w:val="000000"/>
                <w:sz w:val="20"/>
                <w:szCs w:val="20"/>
              </w:rPr>
              <w:t xml:space="preserve">Potato___Early_blight</w:t>
            </w:r>
          </w:p>
        </w:tc>
        <w:tc>
          <w:tcPr>
            <w:tcW w:type="dxa" w:w="1400"/>
          </w:tcPr>
          <w:p>
            <w:pPr>
              <w:jc w:val="center"/>
            </w:pPr>
            <w:r>
              <w:rPr>
                <w:b w:val="false"/>
                <w:bCs w:val="false"/>
                <w:color w:val="000000"/>
                <w:sz w:val="20"/>
                <w:szCs w:val="20"/>
              </w:rPr>
              <w:t xml:space="preserve">0.9868</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0.9934</w:t>
            </w:r>
          </w:p>
        </w:tc>
        <w:tc>
          <w:tcPr>
            <w:tcW w:type="dxa" w:w="1400"/>
          </w:tcPr>
          <w:p>
            <w:pPr>
              <w:jc w:val="center"/>
            </w:pPr>
            <w:r>
              <w:rPr>
                <w:b w:val="false"/>
                <w:bCs w:val="false"/>
                <w:color w:val="000000"/>
                <w:sz w:val="20"/>
                <w:szCs w:val="20"/>
              </w:rPr>
              <w:t xml:space="preserve">150</w:t>
            </w:r>
          </w:p>
        </w:tc>
      </w:tr>
      <w:tr>
        <w:tc>
          <w:tcPr>
            <w:tcW w:type="dxa" w:w="3400"/>
          </w:tcPr>
          <w:p>
            <w:pPr>
              <w:jc w:val="left"/>
            </w:pPr>
            <w:r>
              <w:rPr>
                <w:b w:val="false"/>
                <w:bCs w:val="false"/>
                <w:color w:val="000000"/>
                <w:sz w:val="20"/>
                <w:szCs w:val="20"/>
              </w:rPr>
              <w:t xml:space="preserve">Maize_Healthy</w:t>
            </w:r>
          </w:p>
        </w:tc>
        <w:tc>
          <w:tcPr>
            <w:tcW w:type="dxa" w:w="1400"/>
          </w:tcPr>
          <w:p>
            <w:pPr>
              <w:jc w:val="center"/>
            </w:pPr>
            <w:r>
              <w:rPr>
                <w:b w:val="false"/>
                <w:bCs w:val="false"/>
                <w:color w:val="000000"/>
                <w:sz w:val="20"/>
                <w:szCs w:val="20"/>
              </w:rPr>
              <w:t xml:space="preserve">0.9255</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0.9613</w:t>
            </w:r>
          </w:p>
        </w:tc>
        <w:tc>
          <w:tcPr>
            <w:tcW w:type="dxa" w:w="1400"/>
          </w:tcPr>
          <w:p>
            <w:pPr>
              <w:jc w:val="center"/>
            </w:pPr>
            <w:r>
              <w:rPr>
                <w:b w:val="false"/>
                <w:bCs w:val="false"/>
                <w:color w:val="000000"/>
                <w:sz w:val="20"/>
                <w:szCs w:val="20"/>
              </w:rPr>
              <w:t xml:space="preserve">174</w:t>
            </w:r>
          </w:p>
        </w:tc>
      </w:tr>
    </w:tbl>
    <w:p>
      <w:pPr>
        <w:spacing w:after="200" w:before="80"/>
      </w:pPr>
      <w:r>
        <w:rPr>
          <w:i/>
          <w:iCs/>
          <w:sz w:val="20"/>
          <w:szCs w:val="20"/>
        </w:rPr>
        <w:t xml:space="preserve">Table 4. Selected per-class performance metrics on the held-out test set (10,117 images), illustrating the strongest and weakest classes.</w:t>
      </w:r>
    </w:p>
    <w:p>
      <w:pPr>
        <w:spacing w:after="150"/>
        <w:jc w:val="both"/>
      </w:pPr>
      <w:r>
        <w:t xml:space="preserve">Performance was strongest and most consistent for Tomato (10 classes, F1-scores 0.93–1.00), Pepper (2 classes, F1-scores 0.99), and Potato (3 classes, F1-scores 0.95–0.99), all sourced from the PlantVillage dataset. Maize similarly achieved strong results (F1-scores 0.84–0.96) across its four classes. Cassava and Taro classes showed markedly greater variability: while Cassava_Mosaic_Disease (the majority class, 13,158 training images) achieved an F1-score of 0.9085, the minority Cassava_Bacterial_Blight class (1,087 training images) achieved only 0.5158. This pattern was more severe within Taro: Taro_Healthy (8,744 training images) achieved an F1-score of 0.8638, while Taro_Late_Blight (1,270 training images) achieved a recall of only 3.16% and an F1-score of 0.0574, the weakest result across the entire model.</w:t>
      </w:r>
    </w:p>
    <w:p>
      <w:pPr>
        <w:pStyle w:val="Heading2"/>
        <w:spacing w:after="100" w:before="200"/>
      </w:pPr>
      <w:r>
        <w:t xml:space="preserve">4.3 Discussion of Class-Level Performance</w:t>
      </w:r>
    </w:p>
    <w:p>
      <w:pPr>
        <w:spacing w:after="150"/>
        <w:jc w:val="both"/>
      </w:pPr>
      <w:r>
        <w:t xml:space="preserve">The disparity in per-class performance corresponds closely to the class imbalance identified during exploratory analysis. Classes with strong training representation consistently achieved high precision and recall, while the model's weakest classes (Taro_Late_Blight, Taro_Mid_Blight, Cassava_Bacterial_Blight) were also its most underrepresented. A second contributing factor is likely inter-class visual similarity: Taro_Late_Blight, Taro_Mid_Blight, and Taro_Not_Early represent progressive stages of the same underlying disease process, and model confusion is plausibly concentrated among these adjacent stages. This finding is not incidental to the study's broader argument — the comparative weakness of Taro-specific classification directly reflects the data scarcity motivating the Yam-to-Taro substitution, reinforcing the orphan-crop gap identified in the literature review.</w:t>
      </w:r>
    </w:p>
    <w:p>
      <w:r>
        <w:br w:type="page"/>
      </w:r>
    </w:p>
    <w:p>
      <w:pPr>
        <w:pStyle w:val="Heading1"/>
        <w:spacing w:after="150" w:before="300"/>
      </w:pPr>
      <w:r>
        <w:t xml:space="preserve">5. Discussion</w:t>
      </w:r>
    </w:p>
    <w:p>
      <w:pPr>
        <w:pStyle w:val="Heading2"/>
        <w:spacing w:after="100" w:before="200"/>
      </w:pPr>
      <w:r>
        <w:t xml:space="preserve">5.1 Interpretation of Findings</w:t>
      </w:r>
    </w:p>
    <w:p>
      <w:pPr>
        <w:spacing w:after="150"/>
        <w:jc w:val="both"/>
      </w:pPr>
      <w:r>
        <w:t xml:space="preserve">The results support the central hypothesis motivating this study: a single Vision Transformer architecture can achieve strong diagnostic performance across six botanically and pathologically distinct crop species, substantially outperforming a classical machine learning baseline. The 22.24 percentage-point improvement demonstrates the practical value of self-attention mechanisms for this task, consistent with the broader literature on ViT performance in image classification (Dosovitskiy et al., 2021).</w:t>
      </w:r>
    </w:p>
    <w:p>
      <w:pPr>
        <w:spacing w:after="150"/>
        <w:jc w:val="both"/>
      </w:pPr>
      <w:r>
        <w:t xml:space="preserve">However, the per-class results complicate any straightforward claim of success. Aggregate accuracy figures conceal meaningful weaknesses concentrated in specific, underrepresented classes — most severely within Taro, the crop most directly tied to this study's core motivating gap. This is a genuinely important finding: it demonstrates empirically, not just through literature review, that the data scarcity affecting West African root crops has direct, measurable consequences for model performance, even when that data is incorporated into a broader, otherwise well-performing system.</w:t>
      </w:r>
    </w:p>
    <w:p>
      <w:pPr>
        <w:pStyle w:val="Heading2"/>
        <w:spacing w:after="100" w:before="200"/>
      </w:pPr>
      <w:r>
        <w:t xml:space="preserve">5.2 Comparison with Existing Literature</w:t>
      </w:r>
    </w:p>
    <w:p>
      <w:pPr>
        <w:spacing w:after="150"/>
        <w:jc w:val="both"/>
      </w:pPr>
      <w:r>
        <w:t xml:space="preserve">The overall test accuracy achieved here (81.21%) is lower than the near-ceiling accuracies reported by several single-crop specialist studies reviewed in Section 2 — for instance, Shaheed et al. (2023) and other PlantVillage-based potato studies frequently report accuracies exceeding 99%. This gap is expected and informative rather than a weakness of the approach: single-crop models trained and evaluated on a single, often laboratory-controlled dataset face a substantially easier classification problem than a single model asked to distinguish among 29 classes spanning six visually and botanically distinct species, several of which include naturally varied field imagery. The appropriate comparison is not against single-crop specialists in isolation, but against the practical alternative of deploying six separate specialist models in the field — an alternative this study's introduction argues is poorly suited to the intercropped reality of West African smallholder agriculture.</w:t>
      </w:r>
    </w:p>
    <w:p>
      <w:pPr>
        <w:pStyle w:val="Heading2"/>
        <w:spacing w:after="100" w:before="200"/>
      </w:pPr>
      <w:r>
        <w:t xml:space="preserve">5.3 Limitations</w:t>
      </w:r>
    </w:p>
    <w:p>
      <w:pPr>
        <w:pStyle w:val="ListParagraph"/>
        <w:numPr>
          <w:ilvl w:val="0"/>
          <w:numId w:val="1"/>
        </w:numPr>
        <w:spacing w:after="80"/>
      </w:pPr>
      <w:r>
        <w:t xml:space="preserve">Single train/validation/test split: this study used one stratified 70/15/15 split rather than k-fold cross-validation. This is a standard and defensible approach for datasets of this scale, but results should be interpreted as a single-split estimate rather than a cross-validated one.</w:t>
      </w:r>
    </w:p>
    <w:p>
      <w:pPr>
        <w:pStyle w:val="ListParagraph"/>
        <w:numPr>
          <w:ilvl w:val="0"/>
          <w:numId w:val="1"/>
        </w:numPr>
        <w:spacing w:after="80"/>
      </w:pPr>
      <w:r>
        <w:t xml:space="preserve">Limited training duration: due to free-tier GPU quota constraints, training was limited to four epochs. It remains possible that additional epochs, combined with stronger regularization or learning rate scheduling, could improve performance further, particularly for underrepresented classes.</w:t>
      </w:r>
    </w:p>
    <w:p>
      <w:pPr>
        <w:pStyle w:val="ListParagraph"/>
        <w:numPr>
          <w:ilvl w:val="0"/>
          <w:numId w:val="1"/>
        </w:numPr>
        <w:spacing w:after="80"/>
      </w:pPr>
      <w:r>
        <w:t xml:space="preserve">Taro as a Yam substitute: while academically justified (Section 1.3), Taro and Yam are botanically distinct species, and findings regarding Taro disease classification should not be assumed to transfer directly to Yam.</w:t>
      </w:r>
    </w:p>
    <w:p>
      <w:pPr>
        <w:pStyle w:val="ListParagraph"/>
        <w:numPr>
          <w:ilvl w:val="0"/>
          <w:numId w:val="1"/>
        </w:numPr>
        <w:spacing w:after="80"/>
      </w:pPr>
      <w:r>
        <w:t xml:space="preserve">Class imbalance: no class-balancing technique (oversampling, class-weighted loss, or targeted augmentation) was applied during training. The per-class weaknesses identified in Section 4 are a direct, unmitigated consequence of this.</w:t>
      </w:r>
    </w:p>
    <w:p>
      <w:pPr>
        <w:pStyle w:val="ListParagraph"/>
        <w:numPr>
          <w:ilvl w:val="0"/>
          <w:numId w:val="1"/>
        </w:numPr>
        <w:spacing w:after="80"/>
      </w:pPr>
      <w:r>
        <w:t xml:space="preserve">Source heterogeneity: the combination of laboratory-controlled (PlantVillage) and field-collected (Cassava, Taro) imagery introduces a domain-shift risk; strong performance on laboratory-sourced classes may not fully generalize to comparably varied field conditions for those same crops.</w:t>
      </w:r>
    </w:p>
    <w:p>
      <w:pPr>
        <w:pStyle w:val="Heading2"/>
        <w:spacing w:after="100" w:before="200"/>
      </w:pPr>
      <w:r>
        <w:t xml:space="preserve">5.4 Future Work</w:t>
      </w:r>
    </w:p>
    <w:p>
      <w:pPr>
        <w:pStyle w:val="ListParagraph"/>
        <w:numPr>
          <w:ilvl w:val="0"/>
          <w:numId w:val="1"/>
        </w:numPr>
        <w:spacing w:after="80"/>
      </w:pPr>
      <w:r>
        <w:t xml:space="preserve">Apply targeted class-imbalance mitigation (oversampling or class-weighted loss) specifically to Taro_Late_Blight and Taro_Mid_Blight, and re-evaluate.</w:t>
      </w:r>
    </w:p>
    <w:p>
      <w:pPr>
        <w:pStyle w:val="ListParagraph"/>
        <w:numPr>
          <w:ilvl w:val="0"/>
          <w:numId w:val="1"/>
        </w:numPr>
        <w:spacing w:after="80"/>
      </w:pPr>
      <w:r>
        <w:t xml:space="preserve">Extend training beyond four epochs with stronger regularization, given additional GPU resources.</w:t>
      </w:r>
    </w:p>
    <w:p>
      <w:pPr>
        <w:pStyle w:val="ListParagraph"/>
        <w:numPr>
          <w:ilvl w:val="0"/>
          <w:numId w:val="1"/>
        </w:numPr>
        <w:spacing w:after="80"/>
      </w:pPr>
      <w:r>
        <w:t xml:space="preserve">Pursue direct collection or partnership-based acquisition of a dedicated West African Yam disease dataset, to test whether findings generalize beyond the Taro substitute.</w:t>
      </w:r>
    </w:p>
    <w:p>
      <w:pPr>
        <w:pStyle w:val="ListParagraph"/>
        <w:numPr>
          <w:ilvl w:val="0"/>
          <w:numId w:val="1"/>
        </w:numPr>
        <w:spacing w:after="80"/>
      </w:pPr>
      <w:r>
        <w:t xml:space="preserve">Evaluate model robustness under field-deployment conditions (varied lighting, occlusion, mobile camera quality) rather than curated test imagery alone.</w:t>
      </w:r>
    </w:p>
    <w:p>
      <w:r>
        <w:br w:type="page"/>
      </w:r>
    </w:p>
    <w:p>
      <w:pPr>
        <w:pStyle w:val="Heading1"/>
        <w:spacing w:after="150" w:before="300"/>
      </w:pPr>
      <w:r>
        <w:t xml:space="preserve">6. Conclusion</w:t>
      </w:r>
    </w:p>
    <w:p>
      <w:pPr>
        <w:spacing w:after="150"/>
        <w:jc w:val="both"/>
      </w:pPr>
      <w:r>
        <w:t xml:space="preserve">This study set out to address a specific, well-evidenced gap in agricultural deep learning literature: the near-universal single-crop specialization of existing plant disease detection models, and the particular scarcity of research addressing West African root crops. A Unified Multi-Crop Vision Transformer was developed and evaluated across six economically important West African staple crops, achieving a final held-out test accuracy of 81.21%, a substantial improvement over a classical machine learning baseline. This confirms that a single, shared architecture can meaningfully generalize disease diagnosis across botanically diverse crop species, offering a more field-realistic alternative to deploying multiple single-crop specialist models.</w:t>
      </w:r>
    </w:p>
    <w:p>
      <w:pPr>
        <w:spacing w:after="150"/>
        <w:jc w:val="both"/>
      </w:pPr>
      <w:r>
        <w:t xml:space="preserve">At the same time, the study's own per-class results provide direct empirical evidence for the data scarcity problem that motivated it in the first place: performance on the Taro classes most closely tied to the project's root-crop substitution was markedly weaker than on well-resourced, laboratory-sourced crops. Rather than undermining the study's contribution, this finding reinforces its central argument — that closing the literature gap for West Africa's under-resourced staple crops requires not only unified modelling approaches, but continued investment in regionally-collected, balanced datasets. Future work extending training duration, applying class-imbalance mitigation, and pursuing dedicated Yam data collection would directly address the limitations identified here.</w:t>
      </w:r>
    </w:p>
    <w:p>
      <w:r>
        <w:br w:type="page"/>
      </w:r>
    </w:p>
    <w:p>
      <w:pPr>
        <w:pStyle w:val="Heading1"/>
        <w:spacing w:after="150" w:before="300"/>
      </w:pPr>
      <w:r>
        <w:t xml:space="preserve">Team Contribution Statement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shd w:fill="1F4E3D" w:val="clear"/>
          </w:tcPr>
          <w:p>
            <w:pPr>
              <w:jc w:val="left"/>
            </w:pPr>
            <w:r>
              <w:rPr>
                <w:b/>
                <w:bCs/>
                <w:color w:val="FFFFFF"/>
                <w:sz w:val="20"/>
                <w:szCs w:val="20"/>
              </w:rPr>
              <w:t xml:space="preserve">Role</w:t>
            </w:r>
          </w:p>
        </w:tc>
        <w:tc>
          <w:tcPr>
            <w:tcW w:type="dxa" w:w="2500"/>
            <w:shd w:fill="1F4E3D" w:val="clear"/>
          </w:tcPr>
          <w:p>
            <w:pPr>
              <w:jc w:val="left"/>
            </w:pPr>
            <w:r>
              <w:rPr>
                <w:b/>
                <w:bCs/>
                <w:color w:val="FFFFFF"/>
                <w:sz w:val="20"/>
                <w:szCs w:val="20"/>
              </w:rPr>
              <w:t xml:space="preserve">Member</w:t>
            </w:r>
          </w:p>
        </w:tc>
        <w:tc>
          <w:tcPr>
            <w:tcW w:type="dxa" w:w="4000"/>
            <w:shd w:fill="1F4E3D" w:val="clear"/>
          </w:tcPr>
          <w:p>
            <w:pPr>
              <w:jc w:val="left"/>
            </w:pPr>
            <w:r>
              <w:rPr>
                <w:b/>
                <w:bCs/>
                <w:color w:val="FFFFFF"/>
                <w:sz w:val="20"/>
                <w:szCs w:val="20"/>
              </w:rPr>
              <w:t xml:space="preserve">Responsibilities</w:t>
            </w:r>
          </w:p>
        </w:tc>
      </w:tr>
      <w:tr>
        <w:tc>
          <w:tcPr>
            <w:tcW w:type="dxa" w:w="2500"/>
          </w:tcPr>
          <w:p>
            <w:pPr>
              <w:jc w:val="left"/>
            </w:pPr>
            <w:r>
              <w:rPr>
                <w:b w:val="false"/>
                <w:bCs w:val="false"/>
                <w:color w:val="000000"/>
                <w:sz w:val="20"/>
                <w:szCs w:val="20"/>
              </w:rPr>
              <w:t xml:space="preserve">Team Lead &amp; Implementation Lead</w:t>
            </w:r>
          </w:p>
        </w:tc>
        <w:tc>
          <w:tcPr>
            <w:tcW w:type="dxa" w:w="2500"/>
          </w:tcPr>
          <w:p>
            <w:pPr>
              <w:jc w:val="left"/>
            </w:pPr>
            <w:r>
              <w:rPr>
                <w:b w:val="false"/>
                <w:bCs w:val="false"/>
                <w:color w:val="000000"/>
                <w:sz w:val="20"/>
                <w:szCs w:val="20"/>
              </w:rPr>
              <w:t xml:space="preserve">Makinde Ayomide Daniel</w:t>
            </w:r>
          </w:p>
        </w:tc>
        <w:tc>
          <w:tcPr>
            <w:tcW w:type="dxa" w:w="4000"/>
          </w:tcPr>
          <w:p>
            <w:pPr>
              <w:jc w:val="left"/>
            </w:pPr>
            <w:r>
              <w:rPr>
                <w:b w:val="false"/>
                <w:bCs w:val="false"/>
                <w:color w:val="000000"/>
                <w:sz w:val="20"/>
                <w:szCs w:val="20"/>
              </w:rPr>
              <w:t xml:space="preserve">Timeline coordination, instructor liaison, data acquisition, preprocessing, model implementation, code repository</w:t>
            </w:r>
          </w:p>
        </w:tc>
      </w:tr>
      <w:tr>
        <w:tc>
          <w:tcPr>
            <w:tcW w:type="dxa" w:w="2500"/>
          </w:tcPr>
          <w:p>
            <w:pPr>
              <w:jc w:val="left"/>
            </w:pPr>
            <w:r>
              <w:rPr>
                <w:b w:val="false"/>
                <w:bCs w:val="false"/>
                <w:color w:val="000000"/>
                <w:sz w:val="20"/>
                <w:szCs w:val="20"/>
              </w:rPr>
              <w:t xml:space="preserve">Literature Reviewer</w:t>
            </w:r>
          </w:p>
        </w:tc>
        <w:tc>
          <w:tcPr>
            <w:tcW w:type="dxa" w:w="2500"/>
          </w:tcPr>
          <w:p>
            <w:pPr>
              <w:jc w:val="left"/>
            </w:pPr>
            <w:r>
              <w:rPr>
                <w:b w:val="false"/>
                <w:bCs w:val="false"/>
                <w:color w:val="000000"/>
                <w:sz w:val="20"/>
                <w:szCs w:val="20"/>
              </w:rPr>
              <w:t xml:space="preserve">Sanni Samiat Ajoke</w:t>
            </w:r>
          </w:p>
        </w:tc>
        <w:tc>
          <w:tcPr>
            <w:tcW w:type="dxa" w:w="4000"/>
          </w:tcPr>
          <w:p>
            <w:pPr>
              <w:jc w:val="left"/>
            </w:pPr>
            <w:r>
              <w:rPr>
                <w:b w:val="false"/>
                <w:bCs w:val="false"/>
                <w:color w:val="000000"/>
                <w:sz w:val="20"/>
                <w:szCs w:val="20"/>
              </w:rPr>
              <w:t xml:space="preserve">Data and research paper sourcing</w:t>
            </w:r>
          </w:p>
        </w:tc>
      </w:tr>
      <w:tr>
        <w:tc>
          <w:tcPr>
            <w:tcW w:type="dxa" w:w="2500"/>
          </w:tcPr>
          <w:p>
            <w:pPr>
              <w:jc w:val="left"/>
            </w:pPr>
            <w:r>
              <w:rPr>
                <w:b w:val="false"/>
                <w:bCs w:val="false"/>
                <w:color w:val="000000"/>
                <w:sz w:val="20"/>
                <w:szCs w:val="20"/>
              </w:rPr>
              <w:t xml:space="preserve">Writing Coordinator</w:t>
            </w:r>
          </w:p>
        </w:tc>
        <w:tc>
          <w:tcPr>
            <w:tcW w:type="dxa" w:w="2500"/>
          </w:tcPr>
          <w:p>
            <w:pPr>
              <w:jc w:val="left"/>
            </w:pPr>
            <w:r>
              <w:rPr>
                <w:b w:val="false"/>
                <w:bCs w:val="false"/>
                <w:color w:val="000000"/>
                <w:sz w:val="20"/>
                <w:szCs w:val="20"/>
              </w:rPr>
              <w:t xml:space="preserve">Sodamade Ismail</w:t>
            </w:r>
          </w:p>
        </w:tc>
        <w:tc>
          <w:tcPr>
            <w:tcW w:type="dxa" w:w="4000"/>
          </w:tcPr>
          <w:p>
            <w:pPr>
              <w:jc w:val="left"/>
            </w:pPr>
            <w:r>
              <w:rPr>
                <w:b w:val="false"/>
                <w:bCs w:val="false"/>
                <w:color w:val="000000"/>
                <w:sz w:val="20"/>
                <w:szCs w:val="20"/>
              </w:rPr>
              <w:t xml:space="preserve">Research paper sourcing, proofreading</w:t>
            </w:r>
          </w:p>
        </w:tc>
      </w:tr>
      <w:tr>
        <w:tc>
          <w:tcPr>
            <w:tcW w:type="dxa" w:w="2500"/>
          </w:tcPr>
          <w:p>
            <w:pPr>
              <w:jc w:val="left"/>
            </w:pPr>
            <w:r>
              <w:rPr>
                <w:b w:val="false"/>
                <w:bCs w:val="false"/>
                <w:color w:val="000000"/>
                <w:sz w:val="20"/>
                <w:szCs w:val="20"/>
              </w:rPr>
              <w:t xml:space="preserve">Visualisation Specialist</w:t>
            </w:r>
          </w:p>
        </w:tc>
        <w:tc>
          <w:tcPr>
            <w:tcW w:type="dxa" w:w="2500"/>
          </w:tcPr>
          <w:p>
            <w:pPr>
              <w:jc w:val="left"/>
            </w:pPr>
            <w:r>
              <w:rPr>
                <w:b w:val="false"/>
                <w:bCs w:val="false"/>
                <w:color w:val="000000"/>
                <w:sz w:val="20"/>
                <w:szCs w:val="20"/>
              </w:rPr>
              <w:t xml:space="preserve">Nweze Sharon</w:t>
            </w:r>
          </w:p>
        </w:tc>
        <w:tc>
          <w:tcPr>
            <w:tcW w:type="dxa" w:w="4000"/>
          </w:tcPr>
          <w:p>
            <w:pPr>
              <w:jc w:val="left"/>
            </w:pPr>
            <w:r>
              <w:rPr>
                <w:b w:val="false"/>
                <w:bCs w:val="false"/>
                <w:color w:val="000000"/>
                <w:sz w:val="20"/>
                <w:szCs w:val="20"/>
              </w:rPr>
              <w:t xml:space="preserve">Figures, tables, captions</w:t>
            </w:r>
          </w:p>
        </w:tc>
      </w:tr>
      <w:tr>
        <w:tc>
          <w:tcPr>
            <w:tcW w:type="dxa" w:w="2500"/>
          </w:tcPr>
          <w:p>
            <w:pPr>
              <w:jc w:val="left"/>
            </w:pPr>
            <w:r>
              <w:rPr>
                <w:b w:val="false"/>
                <w:bCs w:val="false"/>
                <w:color w:val="000000"/>
                <w:sz w:val="20"/>
                <w:szCs w:val="20"/>
              </w:rPr>
              <w:t xml:space="preserve">Documentation Support</w:t>
            </w:r>
          </w:p>
        </w:tc>
        <w:tc>
          <w:tcPr>
            <w:tcW w:type="dxa" w:w="2500"/>
          </w:tcPr>
          <w:p>
            <w:pPr>
              <w:jc w:val="left"/>
            </w:pPr>
            <w:r>
              <w:rPr>
                <w:b w:val="false"/>
                <w:bCs w:val="false"/>
                <w:color w:val="000000"/>
                <w:sz w:val="20"/>
                <w:szCs w:val="20"/>
              </w:rPr>
              <w:t xml:space="preserve">Shittu Qais Ayomide</w:t>
            </w:r>
          </w:p>
        </w:tc>
        <w:tc>
          <w:tcPr>
            <w:tcW w:type="dxa" w:w="4000"/>
          </w:tcPr>
          <w:p>
            <w:pPr>
              <w:jc w:val="left"/>
            </w:pPr>
            <w:r>
              <w:rPr>
                <w:b w:val="false"/>
                <w:bCs w:val="false"/>
                <w:color w:val="000000"/>
                <w:sz w:val="20"/>
                <w:szCs w:val="20"/>
              </w:rPr>
              <w:t xml:space="preserve">Formatting, notes, general documentation</w:t>
            </w:r>
          </w:p>
        </w:tc>
      </w:tr>
    </w:tbl>
    <w:p>
      <w:r>
        <w:br w:type="page"/>
      </w:r>
    </w:p>
    <w:p>
      <w:pPr>
        <w:pStyle w:val="Heading1"/>
        <w:spacing w:after="150" w:before="300"/>
      </w:pPr>
      <w:r>
        <w:t xml:space="preserve">References</w:t>
      </w:r>
    </w:p>
    <w:p>
      <w:pPr>
        <w:spacing w:after="140"/>
        <w:ind w:left="720" w:hanging="720"/>
      </w:pPr>
      <w:r>
        <w:rPr>
          <w:sz w:val="21"/>
          <w:szCs w:val="21"/>
        </w:rPr>
        <w:t xml:space="preserve">Aboelenin, S., Elbasheer, F. A., Eltoukhy, M. M., El-Hady, W. M., &amp; Hosny, K. M. (2025). A hybrid framework for plant leaf disease detection and classification using convolutional neural networks and vision transformer. Complex &amp; Intelligent Systems, 11(2), 142. https://doi.org/10.1007/s40747-024-01764-x</w:t>
      </w:r>
    </w:p>
    <w:p>
      <w:pPr>
        <w:spacing w:after="140"/>
        <w:ind w:left="720" w:hanging="720"/>
      </w:pPr>
      <w:r>
        <w:rPr>
          <w:sz w:val="21"/>
          <w:szCs w:val="21"/>
        </w:rPr>
        <w:t xml:space="preserve">Advancing multi-label tomato leaf disease identification using vision transformer and EfficientNet with explainable AI techniques. (2025). Electronics, 14(23). https://doi.org/10.3390/electronics14234762</w:t>
      </w:r>
    </w:p>
    <w:p>
      <w:pPr>
        <w:spacing w:after="140"/>
        <w:ind w:left="720" w:hanging="720"/>
      </w:pPr>
      <w:r>
        <w:rPr>
          <w:sz w:val="21"/>
          <w:szCs w:val="21"/>
        </w:rPr>
        <w:t xml:space="preserve">Ahmed, W. A., Abiola, O. A., Yan, D., &amp; Olatoyinbo, S. F. (2026). Integrating UAVs and deep learning for plant disease detection: A review of techniques, datasets, and field challenges with examples from cassava. Horticulturae, 12(1). https://doi.org/10.3390/horticulturae12010087</w:t>
      </w:r>
    </w:p>
    <w:p>
      <w:pPr>
        <w:spacing w:after="140"/>
        <w:ind w:left="720" w:hanging="720"/>
      </w:pPr>
      <w:r>
        <w:rPr>
          <w:sz w:val="21"/>
          <w:szCs w:val="21"/>
        </w:rPr>
        <w:t xml:space="preserve">Alzahrani, M. S., &amp; Alsaade, F. W. (2023). Transform and deep learning algorithms for the early detection and recognition of tomato leaf disease. Agronomy, 13(5), 1184. https://doi.org/10.3390/agronomy13051184</w:t>
      </w:r>
    </w:p>
    <w:p>
      <w:pPr>
        <w:spacing w:after="140"/>
        <w:ind w:left="720" w:hanging="720"/>
      </w:pPr>
      <w:r>
        <w:rPr>
          <w:sz w:val="21"/>
          <w:szCs w:val="21"/>
        </w:rPr>
        <w:t xml:space="preserve">Bhavani, G. D., &amp; Chalapathi, M. M. V. (2025). A hybrid deep learning framework for accurate and efficient detection of potato leaf diseases. Journal of Theoretical and Applied Information Technology, 103(7).</w:t>
      </w:r>
    </w:p>
    <w:p>
      <w:pPr>
        <w:spacing w:after="140"/>
        <w:ind w:left="720" w:hanging="720"/>
      </w:pPr>
      <w:r>
        <w:rPr>
          <w:sz w:val="21"/>
          <w:szCs w:val="21"/>
        </w:rPr>
        <w:t xml:space="preserve">Chen, J., Wang, W., Zhang, D., Zeb, A., &amp; Nanehkaran, Y. A. (2021). Attention embedded lightweight network for maize disease recognition. Plant Pathology, 70(3), 630–642. https://doi.org/10.1111/ppa.13322</w:t>
      </w:r>
    </w:p>
    <w:p>
      <w:pPr>
        <w:spacing w:after="140"/>
        <w:ind w:left="720" w:hanging="720"/>
      </w:pPr>
      <w:r>
        <w:rPr>
          <w:sz w:val="21"/>
          <w:szCs w:val="21"/>
        </w:rPr>
        <w:t xml:space="preserve">Diakite, S., Norman, P. E., Kamara, L., Pehlivan, N., &amp; Zargar, M. (2026). Genetic enhancement of root, tuber and cereal crops via pangenomics, multi-omics integration and AI-driven prediction. Frontiers in Plant Science. https://doi.org/10.3389/fpls.2026.1793924</w:t>
      </w:r>
    </w:p>
    <w:p>
      <w:pPr>
        <w:spacing w:after="140"/>
        <w:ind w:left="720" w:hanging="720"/>
      </w:pPr>
      <w:r>
        <w:rPr>
          <w:sz w:val="21"/>
          <w:szCs w:val="21"/>
        </w:rPr>
        <w:t xml:space="preserve">Dosovitskiy, A., Beyer, L., Kolesnikov, A., Weissenborn, D., Zhai, X., Unterthiner, T., Dehghani, M., Minderer, M., Heigold, G., Gelly, S., Uszkoreit, J., &amp; Houlsby, N. (2021). An image is worth 16x16 words: Transformers for image recognition at scale. International Conference on Learning Representations. https://arxiv.org/abs/2010.11929</w:t>
      </w:r>
    </w:p>
    <w:p>
      <w:pPr>
        <w:spacing w:after="140"/>
        <w:ind w:left="720" w:hanging="720"/>
      </w:pPr>
      <w:r>
        <w:rPr>
          <w:sz w:val="21"/>
          <w:szCs w:val="21"/>
        </w:rPr>
        <w:t xml:space="preserve">Dosset, A., Dang, L. M., Alharbi, F., Habib, S., Alam, N., Park, H. Y., &amp; Moon, H. (2025). Cassava disease detection using a lightweight modified soft attention network. Pest Management Science. https://doi.org/10.1002/ps.8456</w:t>
      </w:r>
    </w:p>
    <w:p>
      <w:pPr>
        <w:spacing w:after="140"/>
        <w:ind w:left="720" w:hanging="720"/>
      </w:pPr>
      <w:r>
        <w:rPr>
          <w:sz w:val="21"/>
          <w:szCs w:val="21"/>
        </w:rPr>
        <w:t xml:space="preserve">Etaba, O. P., Abubakar, J. J. A., Ishaya, G. A., &amp; Enyetere, A. (2025). Adapting deep-learning in early yam disease detection using LeNet-5 (Adam optimizer) CNN architecture. International Journal of Current Science Research and Review, 8(1). https://doi.org/10.47191/ijcsrr/V8-i1-24</w:t>
      </w:r>
    </w:p>
    <w:p>
      <w:pPr>
        <w:spacing w:after="140"/>
        <w:ind w:left="720" w:hanging="720"/>
      </w:pPr>
      <w:r>
        <w:rPr>
          <w:sz w:val="21"/>
          <w:szCs w:val="21"/>
        </w:rPr>
        <w:t xml:space="preserve">Hamza, M. M. (2026). CAJU: An explainable hybrid CNN–Transformer framework for cashew leaf disease detection and practical deployment [Preprint]. Research Square. https://doi.org/10.21203/rs.3.rs-9529800/v1</w:t>
      </w:r>
    </w:p>
    <w:p>
      <w:pPr>
        <w:spacing w:after="140"/>
        <w:ind w:left="720" w:hanging="720"/>
      </w:pPr>
      <w:r>
        <w:rPr>
          <w:sz w:val="21"/>
          <w:szCs w:val="21"/>
        </w:rPr>
        <w:t xml:space="preserve">Hybrid deep learning model for maize leaf disease classification with explainable AI. (2025). New Zealand Journal of Crop and Horticultural Science. https://doi.org/10.1080/01140671.2025.2519570</w:t>
      </w:r>
    </w:p>
    <w:p>
      <w:pPr>
        <w:spacing w:after="140"/>
        <w:ind w:left="720" w:hanging="720"/>
      </w:pPr>
      <w:r>
        <w:rPr>
          <w:sz w:val="21"/>
          <w:szCs w:val="21"/>
        </w:rPr>
        <w:t xml:space="preserve">Ismail, A., et al. (2026). Classification of rice plant diseases using efficient DenseNet121. Scientific Reports. https://doi.org/10.1038/s41598-026-38078-6</w:t>
      </w:r>
    </w:p>
    <w:p>
      <w:pPr>
        <w:spacing w:after="140"/>
        <w:ind w:left="720" w:hanging="720"/>
      </w:pPr>
      <w:r>
        <w:rPr>
          <w:sz w:val="21"/>
          <w:szCs w:val="21"/>
        </w:rPr>
        <w:t xml:space="preserve">Jadesha, G., et al. (2026). Artificial intelligence-driven detection and decision support system for precision management of maize downy mildew. PLOS ONE. https://doi.org/10.1371/journal.pone.0343517</w:t>
      </w:r>
    </w:p>
    <w:p>
      <w:pPr>
        <w:spacing w:after="140"/>
        <w:ind w:left="720" w:hanging="720"/>
      </w:pPr>
      <w:r>
        <w:rPr>
          <w:sz w:val="21"/>
          <w:szCs w:val="21"/>
        </w:rPr>
        <w:t xml:space="preserve">John, C. N., Nwokonkwo, O. C., Otuonye, A. I., &amp; Ayogu, I. I. (2025). A deep learning approach to multi-class and multi-label cassava leaf disease detection using MobileNetV2 and image augmentation. International Journal of Progressive Sciences and Technologies. https://ijpsat.org/index.php/ijpsat/article/view/7405</w:t>
      </w:r>
    </w:p>
    <w:p>
      <w:pPr>
        <w:spacing w:after="140"/>
        <w:ind w:left="720" w:hanging="720"/>
      </w:pPr>
      <w:r>
        <w:rPr>
          <w:sz w:val="21"/>
          <w:szCs w:val="21"/>
        </w:rPr>
        <w:t xml:space="preserve">Kalezhi, J., et al. (2025). Cassava crop disease prediction and localization using object detection. Crop Protection. https://doi.org/10.1016/j.cropro.2024.107001</w:t>
      </w:r>
    </w:p>
    <w:p>
      <w:pPr>
        <w:spacing w:after="140"/>
        <w:ind w:left="720" w:hanging="720"/>
      </w:pPr>
      <w:r>
        <w:rPr>
          <w:sz w:val="21"/>
          <w:szCs w:val="21"/>
        </w:rPr>
        <w:t xml:space="preserve">Kalunga, Kunda, &amp; Zimba. (2026). ZamYOLO-maize: A YOLOv8n-based deep learning framework for automated detection and classification of maize leaf diseases in field conditions in Zambia. Frontiers in Artificial Intelligence. https://doi.org/10.3389/frai.2026.1764283</w:t>
      </w:r>
    </w:p>
    <w:p>
      <w:pPr>
        <w:spacing w:after="140"/>
        <w:ind w:left="720" w:hanging="720"/>
      </w:pPr>
      <w:r>
        <w:rPr>
          <w:sz w:val="21"/>
          <w:szCs w:val="21"/>
        </w:rPr>
        <w:t xml:space="preserve">Kiruthika, V., Shoba, S., Sendil, M., Nagarajan, K., &amp; Punetha, D. (2024). Automatic early classification of cassava leaf disease with ensemble of lightweight models. Heliyon. https://doi.org/10.1016/j.heliyon.2024.e24102</w:t>
      </w:r>
    </w:p>
    <w:p>
      <w:pPr>
        <w:spacing w:after="140"/>
        <w:ind w:left="720" w:hanging="720"/>
      </w:pPr>
      <w:r>
        <w:rPr>
          <w:sz w:val="21"/>
          <w:szCs w:val="21"/>
        </w:rPr>
        <w:t xml:space="preserve">Kumar, A., &amp; Patel, V. K. (2023). Classification and identification of disease in potato leaf using hierarchical based deep learning convolutional neural network. Multimedia Tools and Applications. https://doi.org/10.1007/s11042-023-14663-z</w:t>
      </w:r>
    </w:p>
    <w:p>
      <w:pPr>
        <w:spacing w:after="140"/>
        <w:ind w:left="720" w:hanging="720"/>
      </w:pPr>
      <w:r>
        <w:rPr>
          <w:sz w:val="21"/>
          <w:szCs w:val="21"/>
        </w:rPr>
        <w:t xml:space="preserve">Li, W., et al. (2024). PL-DINO: An improved transformer-based method for plant leaf disease detection. Agriculture, 14(5). https://doi.org/10.3390/agriculture14050691</w:t>
      </w:r>
    </w:p>
    <w:p>
      <w:pPr>
        <w:spacing w:after="140"/>
        <w:ind w:left="720" w:hanging="720"/>
      </w:pPr>
      <w:r>
        <w:rPr>
          <w:sz w:val="21"/>
          <w:szCs w:val="21"/>
        </w:rPr>
        <w:t xml:space="preserve">Lilhore, U. K., Imoize, A. L., Lee, C.-C., Simaiya, S., Pani, S. K., Goyal, N., Kumar, A., &amp; Li, C.-T. (2022). Enhanced convolutional neural network model for cassava leaf disease identification and classification. Mathematics, 10(4), 580. https://doi.org/10.3390/math10040580</w:t>
      </w:r>
    </w:p>
    <w:p>
      <w:pPr>
        <w:spacing w:after="140"/>
        <w:ind w:left="720" w:hanging="720"/>
      </w:pPr>
      <w:r>
        <w:rPr>
          <w:sz w:val="21"/>
          <w:szCs w:val="21"/>
        </w:rPr>
        <w:t xml:space="preserve">Ma, Z., et al. (2022). Maize leaf disease identification using deep transfer convolutional neural networks. International Journal of Agricultural and Biological Engineering. https://doi.org/10.25165/j.ijabe.20221505.6658</w:t>
      </w:r>
    </w:p>
    <w:p>
      <w:pPr>
        <w:spacing w:after="140"/>
        <w:ind w:left="720" w:hanging="720"/>
      </w:pPr>
      <w:r>
        <w:rPr>
          <w:sz w:val="21"/>
          <w:szCs w:val="21"/>
        </w:rPr>
        <w:t xml:space="preserve">Mayo, F., Maina, C., Mgala, M., &amp; Mduma, N. (2024). Deep learning models for the early detection of maize streak virus and maize lethal necrosis diseases in Tanzania. Frontiers in Artificial Intelligence. https://doi.org/10.3389/frai.2024.1384709</w:t>
      </w:r>
    </w:p>
    <w:p>
      <w:pPr>
        <w:spacing w:after="140"/>
        <w:ind w:left="720" w:hanging="720"/>
      </w:pPr>
      <w:r>
        <w:rPr>
          <w:sz w:val="21"/>
          <w:szCs w:val="21"/>
        </w:rPr>
        <w:t xml:space="preserve">Mhaned, A., et al. (2025). Plant disease detection using vision transformers for precision agriculture. International Journal of Electrical and Computer Engineering, 15(2), 2334–2344. https://doi.org/10.11591/ijece.v15i2.pp2334-2344</w:t>
      </w:r>
    </w:p>
    <w:p>
      <w:pPr>
        <w:spacing w:after="140"/>
        <w:ind w:left="720" w:hanging="720"/>
      </w:pPr>
      <w:r>
        <w:rPr>
          <w:sz w:val="21"/>
          <w:szCs w:val="21"/>
        </w:rPr>
        <w:t xml:space="preserve">Mugisha, S., et al. (2025). Hybrid knowledge transfer through attention and logit distillation for on-device vision systems in agricultural IoT [Preprint]. arXiv. https://arxiv.org/abs/2504.16128</w:t>
      </w:r>
    </w:p>
    <w:p>
      <w:pPr>
        <w:spacing w:after="140"/>
        <w:ind w:left="720" w:hanging="720"/>
      </w:pPr>
      <w:r>
        <w:rPr>
          <w:sz w:val="21"/>
          <w:szCs w:val="21"/>
        </w:rPr>
        <w:t xml:space="preserve">Muhammed, A. B., Bolarinwa, I. O., Abolade, O. A., Olamide, A. A., Jiddah, A. Y., &amp; Samuel, A. T. (2026). An AI-driven image recognition system for early detection of crop diseases using a convolutional neural network. African Journal of Agriculture and Allied Sciences. https://doi.org/10.70118/ajaas.032606010.02</w:t>
      </w:r>
    </w:p>
    <w:p>
      <w:pPr>
        <w:spacing w:after="140"/>
        <w:ind w:left="720" w:hanging="720"/>
      </w:pPr>
      <w:r>
        <w:rPr>
          <w:sz w:val="21"/>
          <w:szCs w:val="21"/>
        </w:rPr>
        <w:t xml:space="preserve">Nwaneto, C. B., Yinka-Banjo, C., &amp; Ugot, O. (2025). An object detection solution for early detection of taro leaf blight disease in the West African sub-region. Franklin Open. https://doi.org/10.1016/j.fraope.2024.100197</w:t>
      </w:r>
    </w:p>
    <w:p>
      <w:pPr>
        <w:spacing w:after="140"/>
        <w:ind w:left="720" w:hanging="720"/>
      </w:pPr>
      <w:r>
        <w:rPr>
          <w:sz w:val="21"/>
          <w:szCs w:val="21"/>
        </w:rPr>
        <w:t xml:space="preserve">Olotu, P. K., Balogun, T. E., Ajadi, S. T., &amp; Olubi, S. A. (2026). A mobile-integrated deep learning framework for early detection of maize diseases. International Journal of Education and Management Engineering, 16(2), 185–195. https://doi.org/10.5815/ijem.2026.02.12</w:t>
      </w:r>
    </w:p>
    <w:p>
      <w:pPr>
        <w:spacing w:after="140"/>
        <w:ind w:left="720" w:hanging="720"/>
      </w:pPr>
      <w:r>
        <w:rPr>
          <w:sz w:val="21"/>
          <w:szCs w:val="21"/>
        </w:rPr>
        <w:t xml:space="preserve">Paul, H., et al. (2023). A study and comparison of deep learning based potato leaf disease detection and classification techniques using explainable AI. Multimedia Tools and Applications. https://doi.org/10.1007/s11042-023-17235-3</w:t>
      </w:r>
    </w:p>
    <w:p>
      <w:pPr>
        <w:spacing w:after="140"/>
        <w:ind w:left="720" w:hanging="720"/>
      </w:pPr>
      <w:r>
        <w:rPr>
          <w:sz w:val="21"/>
          <w:szCs w:val="21"/>
        </w:rPr>
        <w:t xml:space="preserve">Preprint, ResearchGate. (2025). Pre-trained CNN architectures in yam diseases detection: A deep learning approach. https://www.researchgate.net/publication/388004707</w:t>
      </w:r>
    </w:p>
    <w:p>
      <w:pPr>
        <w:spacing w:after="140"/>
        <w:ind w:left="720" w:hanging="720"/>
      </w:pPr>
      <w:r>
        <w:rPr>
          <w:sz w:val="21"/>
          <w:szCs w:val="21"/>
        </w:rPr>
        <w:t xml:space="preserve">Raj, A., et al. (2025). YOLO-ODD: An improved YOLOv8s model for onion foliar disease detection. Frontiers in Plant Science. https://doi.org/10.3389/fpls.2025.1551794</w:t>
      </w:r>
    </w:p>
    <w:p>
      <w:pPr>
        <w:spacing w:after="140"/>
        <w:ind w:left="720" w:hanging="720"/>
      </w:pPr>
      <w:r>
        <w:rPr>
          <w:sz w:val="21"/>
          <w:szCs w:val="21"/>
        </w:rPr>
        <w:t xml:space="preserve">Rajput, R. (2025). AI-driven image classification for early detection of crop diseases. World Journal of Advanced Research and Reviews. https://doi.org/10.30574/wjarr.2025.27.1.2551</w:t>
      </w:r>
    </w:p>
    <w:p>
      <w:pPr>
        <w:spacing w:after="140"/>
        <w:ind w:left="720" w:hanging="720"/>
      </w:pPr>
      <w:r>
        <w:rPr>
          <w:sz w:val="21"/>
          <w:szCs w:val="21"/>
        </w:rPr>
        <w:t xml:space="preserve">Rezaei, M., et al. (2025). A transformer-based few-shot learning pipeline for barley disease detection from field-collected imagery. Computers and Electronics in Agriculture. https://doi.org/10.1016/j.compag.2024.109751</w:t>
      </w:r>
    </w:p>
    <w:p>
      <w:pPr>
        <w:spacing w:after="140"/>
        <w:ind w:left="720" w:hanging="720"/>
      </w:pPr>
      <w:r>
        <w:rPr>
          <w:sz w:val="21"/>
          <w:szCs w:val="21"/>
        </w:rPr>
        <w:t xml:space="preserve">Riaz, S. M., Ahsan, M., &amp; Akram, M. U. (2022). Diagnosis of cassava leaf diseases and classification using deep learning techniques. Proceedings of ICOSST 2022. https://doi.org/10.1109/ICOSST57195.2022.10016854</w:t>
      </w:r>
    </w:p>
    <w:p>
      <w:pPr>
        <w:spacing w:after="140"/>
        <w:ind w:left="720" w:hanging="720"/>
      </w:pPr>
      <w:r>
        <w:rPr>
          <w:sz w:val="21"/>
          <w:szCs w:val="21"/>
        </w:rPr>
        <w:t xml:space="preserve">Salihu, S. A., et al. (2025). Detection and classification of potato leaves diseases using convolutional neural network and Adam optimizer. Procedia Computer Science. https://doi.org/10.1016/j.procs.2025.04.159</w:t>
      </w:r>
    </w:p>
    <w:p>
      <w:pPr>
        <w:spacing w:after="140"/>
        <w:ind w:left="720" w:hanging="720"/>
      </w:pPr>
      <w:r>
        <w:rPr>
          <w:sz w:val="21"/>
          <w:szCs w:val="21"/>
        </w:rPr>
        <w:t xml:space="preserve">Saudi Society of Agricultural Sciences. (2025). Vision transformers for rice leaf disease detection and severity estimation. Journal of the Saudi Society of Agricultural Sciences. https://doi.org/10.1007/s44447-025-00007-w</w:t>
      </w:r>
    </w:p>
    <w:p>
      <w:pPr>
        <w:spacing w:after="140"/>
        <w:ind w:left="720" w:hanging="720"/>
      </w:pPr>
      <w:r>
        <w:rPr>
          <w:sz w:val="21"/>
          <w:szCs w:val="21"/>
        </w:rPr>
        <w:t xml:space="preserve">Shafik, W., et al. (2024). Using transfer learning-based plant disease classification for sustainable agriculture. BMC Plant Biology. https://doi.org/10.1186/s12870-024-04825-y</w:t>
      </w:r>
    </w:p>
    <w:p>
      <w:pPr>
        <w:spacing w:after="140"/>
        <w:ind w:left="720" w:hanging="720"/>
      </w:pPr>
      <w:r>
        <w:rPr>
          <w:sz w:val="21"/>
          <w:szCs w:val="21"/>
        </w:rPr>
        <w:t xml:space="preserve">Shaheed, K., Qureshi, I., Abbas, F., Jabbar, S., Abbas, Q., Ahmad, H., &amp; Sajid, M. Z. (2023). EfficientRMT-Net—An efficient ResNet-50 and Vision Transformers approach for classifying potato plant leaf diseases. Sensors, 23(23), 9516. https://doi.org/10.3390/s23239516</w:t>
      </w:r>
    </w:p>
    <w:p>
      <w:pPr>
        <w:spacing w:after="140"/>
        <w:ind w:left="720" w:hanging="720"/>
      </w:pPr>
      <w:r>
        <w:rPr>
          <w:sz w:val="21"/>
          <w:szCs w:val="21"/>
        </w:rPr>
        <w:t xml:space="preserve">Shandilya, G., et al. (2025). Enhanced maize leaf disease detection and classification using an integrated CNN-ViT model. Food Science &amp; Nutrition. https://doi.org/10.1002/fsn3.70513</w:t>
      </w:r>
    </w:p>
    <w:p>
      <w:pPr>
        <w:spacing w:after="140"/>
        <w:ind w:left="720" w:hanging="720"/>
      </w:pPr>
      <w:r>
        <w:rPr>
          <w:sz w:val="21"/>
          <w:szCs w:val="21"/>
        </w:rPr>
        <w:t xml:space="preserve">Shehu, H. A., Ackley, A., Mark, M., Eteng, O. E., Sharif, M. H., &amp; Kusetogullari, H. (2025). YOLO for early detection and management of Tuta absoluta-induced tomato leaf diseases. Frontiers in Plant Science. https://doi.org/10.3389/fpls.2025.1524630</w:t>
      </w:r>
    </w:p>
    <w:p>
      <w:pPr>
        <w:spacing w:after="140"/>
        <w:ind w:left="720" w:hanging="720"/>
      </w:pPr>
      <w:r>
        <w:rPr>
          <w:sz w:val="21"/>
          <w:szCs w:val="21"/>
        </w:rPr>
        <w:t xml:space="preserve">Tech Science Press. (2025). A systematic review of deep learning-based object detection in agriculture: Methods, challenges, and future directions. Computers, Materials &amp; Continua. https://doi.org/10.32604/cmc.2025.066056</w:t>
      </w:r>
    </w:p>
    <w:p>
      <w:pPr>
        <w:spacing w:after="140"/>
        <w:ind w:left="720" w:hanging="720"/>
      </w:pPr>
      <w:r>
        <w:rPr>
          <w:sz w:val="21"/>
          <w:szCs w:val="21"/>
        </w:rPr>
        <w:t xml:space="preserve">Thai, H. T., Le, K. H., &amp; Nguyen, N. L. T. (2023). FormerLeaf: An efficient vision transformer for cassava leaf disease detection. Computers and Electronics in Agriculture. https://doi.org/10.1016/j.compag.2022.107518</w:t>
      </w:r>
    </w:p>
    <w:p>
      <w:pPr>
        <w:spacing w:after="140"/>
        <w:ind w:left="720" w:hanging="720"/>
      </w:pPr>
      <w:r>
        <w:rPr>
          <w:sz w:val="21"/>
          <w:szCs w:val="21"/>
        </w:rPr>
        <w:t xml:space="preserve">Tonmoy, M. R., et al. (2025). MobilePlantViT: A mobile-friendly hybrid ViT for plant disease classification [Preprint]. arXiv. https://arxiv.org/abs/2503.16628</w:t>
      </w:r>
    </w:p>
    <w:p>
      <w:pPr>
        <w:spacing w:after="140"/>
        <w:ind w:left="720" w:hanging="720"/>
      </w:pPr>
      <w:r>
        <w:rPr>
          <w:sz w:val="21"/>
          <w:szCs w:val="21"/>
        </w:rPr>
        <w:t xml:space="preserve">Using a hybrid convolutional neural network with a transformer model for tomato leaf disease detection. (2024). Agronomy, 14(4). https://doi.org/10.3390/agronomy14040673</w:t>
      </w:r>
    </w:p>
    <w:p>
      <w:pPr>
        <w:spacing w:after="140"/>
        <w:ind w:left="720" w:hanging="720"/>
      </w:pPr>
      <w:r>
        <w:rPr>
          <w:sz w:val="21"/>
          <w:szCs w:val="21"/>
        </w:rPr>
        <w:t xml:space="preserve">Walid, A., et al. (2023). Deep learning-based potato leaf disease detection using CNN in the agricultural system. International Journal of Education and Management Engineering, 13(6). https://doi.org/10.5815/ijem.2023.06.02</w:t>
      </w:r>
    </w:p>
    <w:p>
      <w:pPr>
        <w:spacing w:after="140"/>
        <w:ind w:left="720" w:hanging="720"/>
      </w:pPr>
      <w:r>
        <w:rPr>
          <w:sz w:val="21"/>
          <w:szCs w:val="21"/>
        </w:rPr>
        <w:t xml:space="preserve">Wen, X., et al. (2025). A lightweight convolutional neural network for tea leaf disease and pest recognition. Plant Methods. https://doi.org/10.1186/s13007-025-01452-y</w:t>
      </w:r>
    </w:p>
    <w:p>
      <w:pPr>
        <w:spacing w:after="140"/>
        <w:ind w:left="720" w:hanging="720"/>
      </w:pPr>
      <w:r>
        <w:rPr>
          <w:sz w:val="21"/>
          <w:szCs w:val="21"/>
        </w:rPr>
        <w:t xml:space="preserve">Yu, S., et al. (2023). Inception convolutional vision transformers for plant disease identification. Internet of Things. https://doi.org/10.1016/j.iot.2022.100650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2026-08-20T02:00:07.189Z</dcterms:created>
  <dcterms:modified xsi:type="dcterms:W3CDTF">2026-08-20T02:00:07.203Z</dcterms:modified>
</cp:coreProperties>
</file>

<file path=docProps/custom.xml><?xml version="1.0" encoding="utf-8"?>
<Properties xmlns="http://schemas.openxmlformats.org/officeDocument/2006/custom-properties" xmlns:vt="http://schemas.openxmlformats.org/officeDocument/2006/docPropsVTypes"/>
</file>