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ICT 324 — Project Summary</w:t>
      </w:r>
    </w:p>
    <w:p>
      <w:pPr>
        <w:pStyle w:val="Heading2"/>
        <w:spacing w:after="300"/>
      </w:pPr>
      <w:r>
        <w:t xml:space="preserve">Unified Multi-Crop Vision Transformer for West African Agricultural Disease Diagnosis</w:t>
      </w:r>
    </w:p>
    <w:p>
      <w:pPr>
        <w:spacing w:after="150"/>
      </w:pPr>
      <w:r>
        <w:rPr>
          <w:b/>
          <w:bCs/>
        </w:rPr>
        <w:t xml:space="preserve">Student: Makinde Ayomide Daniel</w:t>
      </w:r>
    </w:p>
    <w:p>
      <w:pPr>
        <w:spacing w:after="150"/>
      </w:pPr>
      <w:r>
        <w:t xml:space="preserve">Matric Number: 2023/12127</w:t>
      </w:r>
    </w:p>
    <w:p>
      <w:pPr>
        <w:spacing w:after="150"/>
      </w:pPr>
      <w:r>
        <w:t xml:space="preserve">Department: Computer Science, Bells University of Technology, Ota</w:t>
      </w:r>
    </w:p>
    <w:p>
      <w:pPr>
        <w:spacing w:after="150"/>
      </w:pPr>
      <w:r>
        <w:t xml:space="preserve">Team: Makinde Ayomide Daniel (Team Lead &amp; Implementation Lead), Sanni Samiat Ajoke (Literature Reviewer), Sodamade Ismail (Writing Coordinator), Nweze Sharon (Visualisation Specialist), Shittu Qais Ayomide (Documentation Support)</w:t>
      </w:r>
    </w:p>
    <w:p>
      <w:pPr>
        <w:pStyle w:val="Heading1"/>
        <w:spacing w:after="150" w:before="300"/>
      </w:pPr>
      <w:r>
        <w:t xml:space="preserve">1. Project Overview</w:t>
      </w:r>
    </w:p>
    <w:p>
      <w:pPr>
        <w:spacing w:after="150"/>
      </w:pPr>
      <w:r>
        <w:t xml:space="preserve">This project develops a Unified Multi-Crop Vision Transformer (ViT) capable of diagnosing plant diseases across six economically important West African staple crops — Cassava, Maize, Taro (substituting Yam), Tomato, Pepper, and Potato — using a single shared model architecture, rather than the crop-specific specialist models common in existing literature.</w:t>
      </w:r>
    </w:p>
    <w:p>
      <w:pPr>
        <w:pStyle w:val="Heading1"/>
        <w:spacing w:after="150" w:before="300"/>
      </w:pPr>
      <w:r>
        <w:t xml:space="preserve">2. Problem Statement and Research Gap</w:t>
      </w:r>
    </w:p>
    <w:p>
      <w:pPr>
        <w:spacing w:after="150"/>
      </w:pPr>
      <w:r>
        <w:t xml:space="preserve">A review of current literature reveals a 'Single-Crop Specialist' bottleneck: state-of-the-art models such as FormerLeaf (cassava) and comparable attention-based CNNs for maize are each engineered for a single species, despite West African smallholder farms typically cultivating multiple crops on the same plot. Root crops such as yam are additionally underserved, with existing work (e.g., LeNet-5-based yam detection) both scarce and technically weak (reported accuracy of 17.84%). This project addresses that gap by building one model that generalizes across six crops simultaneously.</w:t>
      </w:r>
    </w:p>
    <w:p>
      <w:pPr>
        <w:pStyle w:val="Heading1"/>
        <w:spacing w:after="150" w:before="300"/>
      </w:pPr>
      <w:r>
        <w:t xml:space="preserve">3. Dataset</w:t>
      </w:r>
    </w:p>
    <w:p>
      <w:pPr>
        <w:spacing w:after="150"/>
      </w:pPr>
      <w:r>
        <w:t xml:space="preserve">A combined dataset of 67,443 images was assembled from three sources: the Kaggle Cassava Leaf Disease Classification dataset, a Mendeley-hosted Taro Leaf Blight dataset (used as a data-availability-justified substitute for Yam), and the PlantVillage dataset (Maize, Tomato, Pepper, Potato). All images were validated for corruption, resized to 224x224, and split into stratified train (47,210), validation (10,116), and test (10,117) sets.</w:t>
      </w:r>
    </w:p>
    <w:p>
      <w:pPr>
        <w:pStyle w:val="Heading1"/>
        <w:spacing w:after="150" w:before="300"/>
      </w:pPr>
      <w:r>
        <w:t xml:space="preserve">4. Methodology</w:t>
      </w:r>
    </w:p>
    <w:p>
      <w:pPr>
        <w:pStyle w:val="Heading2"/>
        <w:spacing w:after="100" w:before="200"/>
      </w:pPr>
      <w:r>
        <w:t xml:space="preserve">4.1 Classical Machine Learning Baseline</w:t>
      </w:r>
    </w:p>
    <w:p>
      <w:pPr>
        <w:spacing w:after="150"/>
      </w:pPr>
      <w:r>
        <w:t xml:space="preserve">Hand-crafted features (colour histograms and GLCM texture descriptors) were extracted per image and used to train a classical baseline classifier, establishing a reference accuracy of 58.97%.</w:t>
      </w:r>
    </w:p>
    <w:p>
      <w:pPr>
        <w:pStyle w:val="Heading2"/>
        <w:spacing w:after="100" w:before="200"/>
      </w:pPr>
      <w:r>
        <w:t xml:space="preserve">4.2 Custom Vision Transformer</w:t>
      </w:r>
    </w:p>
    <w:p>
      <w:pPr>
        <w:spacing w:after="150"/>
      </w:pPr>
      <w:r>
        <w:t xml:space="preserve">A ViT-base (patch16, 224) backbone, pretrained and fine-tuned with a custom classification head (LayerNorm, Linear, GELU, Dropout, Linear), was trained on the full 47,210-image training set. Training is checkpointed for resumability given free-tier GPU constraints.</w:t>
      </w:r>
    </w:p>
    <w:p>
      <w:pPr>
        <w:pStyle w:val="Heading1"/>
        <w:spacing w:after="150" w:before="300"/>
      </w:pPr>
      <w:r>
        <w:t xml:space="preserve">5. Results So Far</w:t>
      </w:r>
    </w:p>
    <w:p>
      <w:pPr>
        <w:pStyle w:val="ListParagraph"/>
        <w:numPr>
          <w:ilvl w:val="0"/>
          <w:numId w:val="1"/>
        </w:numPr>
        <w:spacing w:after="80"/>
      </w:pPr>
      <w:r>
        <w:t xml:space="preserve">Classical ML baseline: 58.97% accuracy</w:t>
      </w:r>
    </w:p>
    <w:p>
      <w:pPr>
        <w:pStyle w:val="ListParagraph"/>
        <w:numPr>
          <w:ilvl w:val="0"/>
          <w:numId w:val="1"/>
        </w:numPr>
        <w:spacing w:after="80"/>
      </w:pPr>
      <w:r>
        <w:t xml:space="preserve">ViT — Epoch 1: 81.52% train / 80.13% val accuracy</w:t>
      </w:r>
    </w:p>
    <w:p>
      <w:pPr>
        <w:pStyle w:val="ListParagraph"/>
        <w:numPr>
          <w:ilvl w:val="0"/>
          <w:numId w:val="1"/>
        </w:numPr>
        <w:spacing w:after="80"/>
      </w:pPr>
      <w:r>
        <w:t xml:space="preserve">ViT — Epoch 2: 84.14% train / 79.31% val accuracy</w:t>
      </w:r>
    </w:p>
    <w:p>
      <w:pPr>
        <w:pStyle w:val="ListParagraph"/>
        <w:numPr>
          <w:ilvl w:val="0"/>
          <w:numId w:val="1"/>
        </w:numPr>
        <w:spacing w:after="80"/>
      </w:pPr>
      <w:r>
        <w:t xml:space="preserve">ViT — Epoch 3 (best so far): 86.73% train / 81.08% val accuracy</w:t>
      </w:r>
    </w:p>
    <w:p>
      <w:pPr>
        <w:spacing w:after="150"/>
      </w:pPr>
      <w:r>
        <w:t xml:space="preserve">The ViT model outperforms the classical baseline by over 22 percentage points, supporting the case for self-attention-based architectures in this domain. Final test-set evaluation is pending.</w:t>
      </w:r>
    </w:p>
    <w:p>
      <w:pPr>
        <w:pStyle w:val="Heading1"/>
        <w:spacing w:after="150" w:before="300"/>
      </w:pPr>
      <w:r>
        <w:t xml:space="preserve">6. Tools and Environment</w:t>
      </w:r>
    </w:p>
    <w:p>
      <w:pPr>
        <w:spacing w:after="150"/>
      </w:pPr>
      <w:r>
        <w:t xml:space="preserve">Google Colab (T4 GPU, free tier), PyTorch, timm, scikit-learn, OpenCV, scikit-image, pandas. Data and checkpoints are stored on Google Drive with a stratified-split manifest system for reproducibility across sessions.</w:t>
      </w:r>
    </w:p>
    <w:p>
      <w:pPr>
        <w:pStyle w:val="Heading1"/>
        <w:spacing w:after="150" w:before="300"/>
      </w:pPr>
      <w:r>
        <w:t xml:space="preserve">7. Current Project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00"/>
      </w:tblGrid>
      <w:tr>
        <w:tc>
          <w:tcPr>
            <w:tcW w:type="dxa" w:w="3500"/>
            <w:shd w:fill="1F4E3D" w:val="clear"/>
          </w:tcPr>
          <w:p>
            <w:r>
              <w:rPr>
                <w:b/>
                <w:bCs/>
                <w:color w:val="FFFFFF"/>
                <w:sz w:val="20"/>
                <w:szCs w:val="20"/>
              </w:rPr>
              <w:t xml:space="preserve">Component</w:t>
            </w:r>
          </w:p>
        </w:tc>
        <w:tc>
          <w:tcPr>
            <w:tcW w:type="dxa" w:w="2500"/>
            <w:shd w:fill="1F4E3D" w:val="clear"/>
          </w:tcPr>
          <w:p>
            <w:r>
              <w:rPr>
                <w:b/>
                <w:bCs/>
                <w:color w:val="FFFFFF"/>
                <w:sz w:val="20"/>
                <w:szCs w:val="20"/>
              </w:rPr>
              <w:t xml:space="preserve">Status</w:t>
            </w:r>
          </w:p>
        </w:tc>
        <w:tc>
          <w:tcPr>
            <w:tcW w:type="dxa" w:w="3000"/>
            <w:shd w:fill="1F4E3D" w:val="clear"/>
          </w:tcPr>
          <w:p>
            <w:r>
              <w:rPr>
                <w:b/>
                <w:bCs/>
                <w:color w:val="FFFFFF"/>
                <w:sz w:val="20"/>
                <w:szCs w:val="20"/>
              </w:rPr>
              <w:t xml:space="preserve">Notes</w:t>
            </w:r>
          </w:p>
        </w:tc>
      </w:tr>
      <w:tr>
        <w:tc>
          <w:tcPr>
            <w:tcW w:type="dxa" w:w="3500"/>
          </w:tcPr>
          <w:p>
            <w:r>
              <w:rPr>
                <w:b w:val="false"/>
                <w:bCs w:val="false"/>
                <w:color w:val="000000"/>
                <w:sz w:val="20"/>
                <w:szCs w:val="20"/>
              </w:rPr>
              <w:t xml:space="preserve">Data Acquisition</w:t>
            </w:r>
          </w:p>
        </w:tc>
        <w:tc>
          <w:tcPr>
            <w:tcW w:type="dxa" w:w="2500"/>
          </w:tcPr>
          <w:p>
            <w:r>
              <w:rPr>
                <w:b w:val="false"/>
                <w:bCs w:val="false"/>
                <w:color w:val="000000"/>
                <w:sz w:val="20"/>
                <w:szCs w:val="20"/>
              </w:rPr>
              <w:t xml:space="preserve">Complete</w:t>
            </w:r>
          </w:p>
        </w:tc>
        <w:tc>
          <w:tcPr>
            <w:tcW w:type="dxa" w:w="3000"/>
          </w:tcPr>
          <w:p>
            <w:r>
              <w:rPr>
                <w:b w:val="false"/>
                <w:bCs w:val="false"/>
                <w:color w:val="000000"/>
                <w:sz w:val="20"/>
                <w:szCs w:val="20"/>
              </w:rPr>
              <w:t xml:space="preserve">67,443 images, 6 crops</w:t>
            </w:r>
          </w:p>
        </w:tc>
      </w:tr>
      <w:tr>
        <w:tc>
          <w:tcPr>
            <w:tcW w:type="dxa" w:w="3500"/>
          </w:tcPr>
          <w:p>
            <w:r>
              <w:rPr>
                <w:b w:val="false"/>
                <w:bCs w:val="false"/>
                <w:color w:val="000000"/>
                <w:sz w:val="20"/>
                <w:szCs w:val="20"/>
              </w:rPr>
              <w:t xml:space="preserve">Data Validation &amp; EDA</w:t>
            </w:r>
          </w:p>
        </w:tc>
        <w:tc>
          <w:tcPr>
            <w:tcW w:type="dxa" w:w="2500"/>
          </w:tcPr>
          <w:p>
            <w:r>
              <w:rPr>
                <w:b w:val="false"/>
                <w:bCs w:val="false"/>
                <w:color w:val="000000"/>
                <w:sz w:val="20"/>
                <w:szCs w:val="20"/>
              </w:rPr>
              <w:t xml:space="preserve">Complete</w:t>
            </w:r>
          </w:p>
        </w:tc>
        <w:tc>
          <w:tcPr>
            <w:tcW w:type="dxa" w:w="3000"/>
          </w:tcPr>
          <w:p>
            <w:r>
              <w:rPr>
                <w:b w:val="false"/>
                <w:bCs w:val="false"/>
                <w:color w:val="000000"/>
                <w:sz w:val="20"/>
                <w:szCs w:val="20"/>
              </w:rPr>
              <w:t xml:space="preserve">0 corrupted files after cleanup</w:t>
            </w:r>
          </w:p>
        </w:tc>
      </w:tr>
      <w:tr>
        <w:tc>
          <w:tcPr>
            <w:tcW w:type="dxa" w:w="3500"/>
          </w:tcPr>
          <w:p>
            <w:r>
              <w:rPr>
                <w:b w:val="false"/>
                <w:bCs w:val="false"/>
                <w:color w:val="000000"/>
                <w:sz w:val="20"/>
                <w:szCs w:val="20"/>
              </w:rPr>
              <w:t xml:space="preserve">Preprocessing</w:t>
            </w:r>
          </w:p>
        </w:tc>
        <w:tc>
          <w:tcPr>
            <w:tcW w:type="dxa" w:w="2500"/>
          </w:tcPr>
          <w:p>
            <w:r>
              <w:rPr>
                <w:b w:val="false"/>
                <w:bCs w:val="false"/>
                <w:color w:val="000000"/>
                <w:sz w:val="20"/>
                <w:szCs w:val="20"/>
              </w:rPr>
              <w:t xml:space="preserve">Complete</w:t>
            </w:r>
          </w:p>
        </w:tc>
        <w:tc>
          <w:tcPr>
            <w:tcW w:type="dxa" w:w="3000"/>
          </w:tcPr>
          <w:p>
            <w:r>
              <w:rPr>
                <w:b w:val="false"/>
                <w:bCs w:val="false"/>
                <w:color w:val="000000"/>
                <w:sz w:val="20"/>
                <w:szCs w:val="20"/>
              </w:rPr>
              <w:t xml:space="preserve">Resized 224x224, stratified 70/15/15 split</w:t>
            </w:r>
          </w:p>
        </w:tc>
      </w:tr>
      <w:tr>
        <w:tc>
          <w:tcPr>
            <w:tcW w:type="dxa" w:w="3500"/>
          </w:tcPr>
          <w:p>
            <w:r>
              <w:rPr>
                <w:b w:val="false"/>
                <w:bCs w:val="false"/>
                <w:color w:val="000000"/>
                <w:sz w:val="20"/>
                <w:szCs w:val="20"/>
              </w:rPr>
              <w:t xml:space="preserve">Literature Review</w:t>
            </w:r>
          </w:p>
        </w:tc>
        <w:tc>
          <w:tcPr>
            <w:tcW w:type="dxa" w:w="2500"/>
          </w:tcPr>
          <w:p>
            <w:r>
              <w:rPr>
                <w:b w:val="false"/>
                <w:bCs w:val="false"/>
                <w:color w:val="000000"/>
                <w:sz w:val="20"/>
                <w:szCs w:val="20"/>
              </w:rPr>
              <w:t xml:space="preserve">Complete</w:t>
            </w:r>
          </w:p>
        </w:tc>
        <w:tc>
          <w:tcPr>
            <w:tcW w:type="dxa" w:w="3000"/>
          </w:tcPr>
          <w:p>
            <w:r>
              <w:rPr>
                <w:b w:val="false"/>
                <w:bCs w:val="false"/>
                <w:color w:val="000000"/>
                <w:sz w:val="20"/>
                <w:szCs w:val="20"/>
              </w:rPr>
              <w:t xml:space="preserve">50 papers sourced and verified</w:t>
            </w:r>
          </w:p>
        </w:tc>
      </w:tr>
      <w:tr>
        <w:tc>
          <w:tcPr>
            <w:tcW w:type="dxa" w:w="3500"/>
          </w:tcPr>
          <w:p>
            <w:r>
              <w:rPr>
                <w:b w:val="false"/>
                <w:bCs w:val="false"/>
                <w:color w:val="000000"/>
                <w:sz w:val="20"/>
                <w:szCs w:val="20"/>
              </w:rPr>
              <w:t xml:space="preserve">Classical ML Baseline</w:t>
            </w:r>
          </w:p>
        </w:tc>
        <w:tc>
          <w:tcPr>
            <w:tcW w:type="dxa" w:w="2500"/>
          </w:tcPr>
          <w:p>
            <w:r>
              <w:rPr>
                <w:b w:val="false"/>
                <w:bCs w:val="false"/>
                <w:color w:val="000000"/>
                <w:sz w:val="20"/>
                <w:szCs w:val="20"/>
              </w:rPr>
              <w:t xml:space="preserve">Complete</w:t>
            </w:r>
          </w:p>
        </w:tc>
        <w:tc>
          <w:tcPr>
            <w:tcW w:type="dxa" w:w="3000"/>
          </w:tcPr>
          <w:p>
            <w:r>
              <w:rPr>
                <w:b w:val="false"/>
                <w:bCs w:val="false"/>
                <w:color w:val="000000"/>
                <w:sz w:val="20"/>
                <w:szCs w:val="20"/>
              </w:rPr>
              <w:t xml:space="preserve">58.97% test accuracy</w:t>
            </w:r>
          </w:p>
        </w:tc>
      </w:tr>
      <w:tr>
        <w:tc>
          <w:tcPr>
            <w:tcW w:type="dxa" w:w="3500"/>
          </w:tcPr>
          <w:p>
            <w:r>
              <w:rPr>
                <w:b w:val="false"/>
                <w:bCs w:val="false"/>
                <w:color w:val="000000"/>
                <w:sz w:val="20"/>
                <w:szCs w:val="20"/>
              </w:rPr>
              <w:t xml:space="preserve">Custom ViT Model</w:t>
            </w:r>
          </w:p>
        </w:tc>
        <w:tc>
          <w:tcPr>
            <w:tcW w:type="dxa" w:w="2500"/>
          </w:tcPr>
          <w:p>
            <w:r>
              <w:rPr>
                <w:b w:val="false"/>
                <w:bCs w:val="false"/>
                <w:color w:val="000000"/>
                <w:sz w:val="20"/>
                <w:szCs w:val="20"/>
              </w:rPr>
              <w:t xml:space="preserve">In Progress</w:t>
            </w:r>
          </w:p>
        </w:tc>
        <w:tc>
          <w:tcPr>
            <w:tcW w:type="dxa" w:w="3000"/>
          </w:tcPr>
          <w:p>
            <w:r>
              <w:rPr>
                <w:b w:val="false"/>
                <w:bCs w:val="false"/>
                <w:color w:val="000000"/>
                <w:sz w:val="20"/>
                <w:szCs w:val="20"/>
              </w:rPr>
              <w:t xml:space="preserve">Best checkpoint: 81.08% val accuracy (epoch 3)</w:t>
            </w:r>
          </w:p>
        </w:tc>
      </w:tr>
      <w:tr>
        <w:tc>
          <w:tcPr>
            <w:tcW w:type="dxa" w:w="3500"/>
          </w:tcPr>
          <w:p>
            <w:r>
              <w:rPr>
                <w:b w:val="false"/>
                <w:bCs w:val="false"/>
                <w:color w:val="000000"/>
                <w:sz w:val="20"/>
                <w:szCs w:val="20"/>
              </w:rPr>
              <w:t xml:space="preserve">Test-Set Evaluation</w:t>
            </w:r>
          </w:p>
        </w:tc>
        <w:tc>
          <w:tcPr>
            <w:tcW w:type="dxa" w:w="2500"/>
          </w:tcPr>
          <w:p>
            <w:r>
              <w:rPr>
                <w:b w:val="false"/>
                <w:bCs w:val="false"/>
                <w:color w:val="000000"/>
                <w:sz w:val="20"/>
                <w:szCs w:val="20"/>
              </w:rPr>
              <w:t xml:space="preserve">Pending</w:t>
            </w:r>
          </w:p>
        </w:tc>
        <w:tc>
          <w:tcPr>
            <w:tcW w:type="dxa" w:w="3000"/>
          </w:tcPr>
          <w:p>
            <w:r>
              <w:rPr>
                <w:b w:val="false"/>
                <w:bCs w:val="false"/>
                <w:color w:val="000000"/>
                <w:sz w:val="20"/>
                <w:szCs w:val="20"/>
              </w:rPr>
              <w:t xml:space="preserve">Awaiting GPU quota reset</w:t>
            </w:r>
          </w:p>
        </w:tc>
      </w:tr>
      <w:tr>
        <w:tc>
          <w:tcPr>
            <w:tcW w:type="dxa" w:w="3500"/>
          </w:tcPr>
          <w:p>
            <w:r>
              <w:rPr>
                <w:b w:val="false"/>
                <w:bCs w:val="false"/>
                <w:color w:val="000000"/>
                <w:sz w:val="20"/>
                <w:szCs w:val="20"/>
              </w:rPr>
              <w:t xml:space="preserve">GitHub Repository</w:t>
            </w:r>
          </w:p>
        </w:tc>
        <w:tc>
          <w:tcPr>
            <w:tcW w:type="dxa" w:w="2500"/>
          </w:tcPr>
          <w:p>
            <w:r>
              <w:rPr>
                <w:b w:val="false"/>
                <w:bCs w:val="false"/>
                <w:color w:val="000000"/>
                <w:sz w:val="20"/>
                <w:szCs w:val="20"/>
              </w:rPr>
              <w:t xml:space="preserve">Pending</w:t>
            </w:r>
          </w:p>
        </w:tc>
        <w:tc>
          <w:tcPr>
            <w:tcW w:type="dxa" w:w="3000"/>
          </w:tcPr>
          <w:p>
            <w:r>
              <w:rPr>
                <w:b w:val="false"/>
                <w:bCs w:val="false"/>
                <w:color w:val="000000"/>
                <w:sz w:val="20"/>
                <w:szCs w:val="20"/>
              </w:rPr>
              <w:t xml:space="preserve">Required deliverable</w:t>
            </w:r>
          </w:p>
        </w:tc>
      </w:tr>
      <w:tr>
        <w:tc>
          <w:tcPr>
            <w:tcW w:type="dxa" w:w="3500"/>
          </w:tcPr>
          <w:p>
            <w:r>
              <w:rPr>
                <w:b w:val="false"/>
                <w:bCs w:val="false"/>
                <w:color w:val="000000"/>
                <w:sz w:val="20"/>
                <w:szCs w:val="20"/>
              </w:rPr>
              <w:t xml:space="preserve">Manuscript</w:t>
            </w:r>
          </w:p>
        </w:tc>
        <w:tc>
          <w:tcPr>
            <w:tcW w:type="dxa" w:w="2500"/>
          </w:tcPr>
          <w:p>
            <w:r>
              <w:rPr>
                <w:b w:val="false"/>
                <w:bCs w:val="false"/>
                <w:color w:val="000000"/>
                <w:sz w:val="20"/>
                <w:szCs w:val="20"/>
              </w:rPr>
              <w:t xml:space="preserve">In Progress</w:t>
            </w:r>
          </w:p>
        </w:tc>
        <w:tc>
          <w:tcPr>
            <w:tcW w:type="dxa" w:w="3000"/>
          </w:tcPr>
          <w:p>
            <w:r>
              <w:rPr>
                <w:b w:val="false"/>
                <w:bCs w:val="false"/>
                <w:color w:val="000000"/>
                <w:sz w:val="20"/>
                <w:szCs w:val="20"/>
              </w:rPr>
              <w:t xml:space="preserve">Sections drafted, assembly ongoing</w:t>
            </w:r>
          </w:p>
        </w:tc>
      </w:tr>
    </w:tbl>
    <w:p>
      <w:pPr>
        <w:spacing w:before="300"/>
      </w:pPr>
    </w:p>
    <w:p>
      <w:pPr>
        <w:pStyle w:val="Heading1"/>
        <w:spacing w:after="150" w:before="300"/>
      </w:pPr>
      <w:r>
        <w:t xml:space="preserve">8. Remaining Work</w:t>
      </w:r>
    </w:p>
    <w:p>
      <w:pPr>
        <w:pStyle w:val="ListParagraph"/>
        <w:numPr>
          <w:ilvl w:val="0"/>
          <w:numId w:val="1"/>
        </w:numPr>
        <w:spacing w:after="80"/>
      </w:pPr>
      <w:r>
        <w:t xml:space="preserve">Complete additional ViT training epochs as GPU quota allows</w:t>
      </w:r>
    </w:p>
    <w:p>
      <w:pPr>
        <w:pStyle w:val="ListParagraph"/>
        <w:numPr>
          <w:ilvl w:val="0"/>
          <w:numId w:val="1"/>
        </w:numPr>
        <w:spacing w:after="80"/>
      </w:pPr>
      <w:r>
        <w:t xml:space="preserve">Run final evaluation on the held-out test set</w:t>
      </w:r>
    </w:p>
    <w:p>
      <w:pPr>
        <w:pStyle w:val="ListParagraph"/>
        <w:numPr>
          <w:ilvl w:val="0"/>
          <w:numId w:val="1"/>
        </w:numPr>
        <w:spacing w:after="80"/>
      </w:pPr>
      <w:r>
        <w:t xml:space="preserve">Set up and populate the GitHub repository</w:t>
      </w:r>
    </w:p>
    <w:p>
      <w:pPr>
        <w:pStyle w:val="ListParagraph"/>
        <w:numPr>
          <w:ilvl w:val="0"/>
          <w:numId w:val="1"/>
        </w:numPr>
        <w:spacing w:after="80"/>
      </w:pPr>
      <w:r>
        <w:t xml:space="preserve">Complete manual literature synthesis (10-paper deep read) and finalize gap discussion</w:t>
      </w:r>
    </w:p>
    <w:p>
      <w:pPr>
        <w:pStyle w:val="ListParagraph"/>
        <w:numPr>
          <w:ilvl w:val="0"/>
          <w:numId w:val="1"/>
        </w:numPr>
        <w:spacing w:after="80"/>
      </w:pPr>
      <w:r>
        <w:t xml:space="preserve">Assemble full manuscript: Introduction, Literature Review, Methodology, Results, Discussion, Conclusion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2026-08-20T00:02:06.328Z</dcterms:created>
  <dcterms:modified xsi:type="dcterms:W3CDTF">2026-08-20T00:02:06.342Z</dcterms:modified>
</cp:coreProperties>
</file>

<file path=docProps/custom.xml><?xml version="1.0" encoding="utf-8"?>
<Properties xmlns="http://schemas.openxmlformats.org/officeDocument/2006/custom-properties" xmlns:vt="http://schemas.openxmlformats.org/officeDocument/2006/docPropsVTypes"/>
</file>