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7DFD05">
      <w:pPr>
        <w:spacing w:after="100" w:line="480" w:lineRule="auto"/>
        <w:jc w:val="center"/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>Data Acquisition &amp; Exploratory Data Analysis</w:t>
      </w:r>
    </w:p>
    <w:p w14:paraId="05936BF7">
      <w:pPr>
        <w:spacing w:after="6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Universal Diagnostic Model for the Big Six West African Staples</w:t>
      </w:r>
    </w:p>
    <w:p w14:paraId="33C45C4E">
      <w:pPr>
        <w:spacing w:after="4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Team Architects | ML/DL Research Paper Assignment | ICT 324</w:t>
      </w:r>
    </w:p>
    <w:p w14:paraId="5639623E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1. Data Acquisition</w:t>
      </w:r>
    </w:p>
    <w:p w14:paraId="078AFCC6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Six crop-specific image datasets were sourced from three distinct repositories to support the “Universal Diagnostic Model for the Big Six West African Staples” research objective. Table 1 summarizes the source, class structure, and volume for each crop.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9"/>
        <w:gridCol w:w="3780"/>
        <w:gridCol w:w="1559"/>
        <w:gridCol w:w="2032"/>
      </w:tblGrid>
      <w:tr w14:paraId="28D42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11B20D6E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Crop</w:t>
            </w:r>
          </w:p>
        </w:tc>
        <w:tc>
          <w:tcPr>
            <w:tcW w:w="4200" w:type="dxa"/>
          </w:tcPr>
          <w:p w14:paraId="5C0D50E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Source</w:t>
            </w:r>
          </w:p>
        </w:tc>
        <w:tc>
          <w:tcPr>
            <w:tcW w:w="1700" w:type="dxa"/>
          </w:tcPr>
          <w:p w14:paraId="106137E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Classes</w:t>
            </w:r>
          </w:p>
        </w:tc>
        <w:tc>
          <w:tcPr>
            <w:tcW w:w="2260" w:type="dxa"/>
          </w:tcPr>
          <w:p w14:paraId="5DCB62B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Images</w:t>
            </w:r>
          </w:p>
        </w:tc>
      </w:tr>
      <w:tr w14:paraId="664C7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03B85E2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Cassava</w:t>
            </w:r>
          </w:p>
        </w:tc>
        <w:tc>
          <w:tcPr>
            <w:tcW w:w="4200" w:type="dxa"/>
          </w:tcPr>
          <w:p w14:paraId="1FEADFC4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Kaggle (Cassava Leaf Disease Classification)</w:t>
            </w:r>
          </w:p>
        </w:tc>
        <w:tc>
          <w:tcPr>
            <w:tcW w:w="1700" w:type="dxa"/>
          </w:tcPr>
          <w:p w14:paraId="20A7E546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5</w:t>
            </w:r>
          </w:p>
        </w:tc>
        <w:tc>
          <w:tcPr>
            <w:tcW w:w="2260" w:type="dxa"/>
          </w:tcPr>
          <w:p w14:paraId="1E43B3FC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21,397</w:t>
            </w:r>
          </w:p>
        </w:tc>
      </w:tr>
      <w:tr w14:paraId="52379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455C076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Maize</w:t>
            </w:r>
          </w:p>
        </w:tc>
        <w:tc>
          <w:tcPr>
            <w:tcW w:w="4200" w:type="dxa"/>
          </w:tcPr>
          <w:p w14:paraId="4774591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Kaggle (aggregated multi-source)</w:t>
            </w:r>
          </w:p>
        </w:tc>
        <w:tc>
          <w:tcPr>
            <w:tcW w:w="1700" w:type="dxa"/>
          </w:tcPr>
          <w:p w14:paraId="636CE3E7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4</w:t>
            </w:r>
          </w:p>
        </w:tc>
        <w:tc>
          <w:tcPr>
            <w:tcW w:w="2260" w:type="dxa"/>
          </w:tcPr>
          <w:p w14:paraId="1F1449E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4,188</w:t>
            </w:r>
          </w:p>
        </w:tc>
      </w:tr>
      <w:tr w14:paraId="04594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7BE0AE03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Taro</w:t>
            </w:r>
          </w:p>
        </w:tc>
        <w:tc>
          <w:tcPr>
            <w:tcW w:w="4200" w:type="dxa"/>
          </w:tcPr>
          <w:p w14:paraId="0287456B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Mendeley Data (West African-collected; substituted for Yam)</w:t>
            </w:r>
          </w:p>
        </w:tc>
        <w:tc>
          <w:tcPr>
            <w:tcW w:w="1700" w:type="dxa"/>
          </w:tcPr>
          <w:p w14:paraId="3FE62068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5</w:t>
            </w:r>
          </w:p>
        </w:tc>
        <w:tc>
          <w:tcPr>
            <w:tcW w:w="2260" w:type="dxa"/>
          </w:tcPr>
          <w:p w14:paraId="2DC77FBC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21,220</w:t>
            </w:r>
          </w:p>
        </w:tc>
      </w:tr>
      <w:tr w14:paraId="142E0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232FC34C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Tomato</w:t>
            </w:r>
          </w:p>
        </w:tc>
        <w:tc>
          <w:tcPr>
            <w:tcW w:w="4200" w:type="dxa"/>
          </w:tcPr>
          <w:p w14:paraId="39DC82E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(Kaggle)</w:t>
            </w:r>
          </w:p>
        </w:tc>
        <w:tc>
          <w:tcPr>
            <w:tcW w:w="1700" w:type="dxa"/>
          </w:tcPr>
          <w:p w14:paraId="3F4C37A6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260" w:type="dxa"/>
          </w:tcPr>
          <w:p w14:paraId="686B87E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16,011</w:t>
            </w:r>
          </w:p>
        </w:tc>
      </w:tr>
      <w:tr w14:paraId="403FF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0D01CB59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Pepper</w:t>
            </w:r>
          </w:p>
        </w:tc>
        <w:tc>
          <w:tcPr>
            <w:tcW w:w="4200" w:type="dxa"/>
          </w:tcPr>
          <w:p w14:paraId="43F0554B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(Kaggle)</w:t>
            </w:r>
          </w:p>
        </w:tc>
        <w:tc>
          <w:tcPr>
            <w:tcW w:w="1700" w:type="dxa"/>
          </w:tcPr>
          <w:p w14:paraId="63121386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</w:t>
            </w:r>
          </w:p>
        </w:tc>
        <w:tc>
          <w:tcPr>
            <w:tcW w:w="2260" w:type="dxa"/>
          </w:tcPr>
          <w:p w14:paraId="41BE927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2,475</w:t>
            </w:r>
          </w:p>
        </w:tc>
      </w:tr>
      <w:tr w14:paraId="74573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25E7D8E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Potato</w:t>
            </w:r>
          </w:p>
        </w:tc>
        <w:tc>
          <w:tcPr>
            <w:tcW w:w="4200" w:type="dxa"/>
          </w:tcPr>
          <w:p w14:paraId="063901AF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(Kaggle)</w:t>
            </w:r>
          </w:p>
        </w:tc>
        <w:tc>
          <w:tcPr>
            <w:tcW w:w="1700" w:type="dxa"/>
          </w:tcPr>
          <w:p w14:paraId="1D82502E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3</w:t>
            </w:r>
          </w:p>
        </w:tc>
        <w:tc>
          <w:tcPr>
            <w:tcW w:w="2260" w:type="dxa"/>
          </w:tcPr>
          <w:p w14:paraId="4682D66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2,152</w:t>
            </w:r>
          </w:p>
        </w:tc>
      </w:tr>
      <w:tr w14:paraId="587B2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4C62182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Total</w:t>
            </w:r>
          </w:p>
        </w:tc>
        <w:tc>
          <w:tcPr>
            <w:tcW w:w="4200" w:type="dxa"/>
          </w:tcPr>
          <w:p w14:paraId="2DC70B52">
            <w:pPr>
              <w:spacing w:line="480" w:lineRule="auto"/>
            </w:pPr>
          </w:p>
        </w:tc>
        <w:tc>
          <w:tcPr>
            <w:tcW w:w="1700" w:type="dxa"/>
          </w:tcPr>
          <w:p w14:paraId="2E2C59D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29</w:t>
            </w:r>
          </w:p>
        </w:tc>
        <w:tc>
          <w:tcPr>
            <w:tcW w:w="2260" w:type="dxa"/>
          </w:tcPr>
          <w:p w14:paraId="6D75422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67,443</w:t>
            </w:r>
          </w:p>
        </w:tc>
      </w:tr>
    </w:tbl>
    <w:p w14:paraId="54554017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Table 1. Summary of acquired datasets by crop, source, class count, and image volume.</w:t>
      </w:r>
    </w:p>
    <w:p w14:paraId="28A03ED1">
      <w:pPr>
        <w:pStyle w:val="3"/>
        <w:spacing w:before="240" w:after="12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1.1 Note on Yam Substitution</w:t>
      </w:r>
    </w:p>
    <w:p w14:paraId="6850780C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No publicly available, sufficiently large yam (Dioscorea spp.) leaf disease dataset was identified during the literature and data-sourcing search. Taro (cocoyam) was substituted as it is a comparable West African root/tuber staple, with a recent (2025), regionally-collected, and well-documented public dataset available via Mendeley Data. This substitution is itself a documented finding regarding the current data-availability gap for yam-specific disease research in the region, and is discussed further in the Limitations section of this paper.</w:t>
      </w:r>
    </w:p>
    <w:p w14:paraId="4833647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2. Data Validation</w:t>
      </w:r>
    </w:p>
    <w:p w14:paraId="6D2AF267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The notebook identified one corrupted, non-image artifact in the Tomato_YellowLeaf_Curl_Virus folder and removed it before constructing the final manifest. The cleaned manifest contains 67,443 valid images across 29 classes.</w:t>
      </w:r>
    </w:p>
    <w:p w14:paraId="4D3371A0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3. Class Distribution</w:t>
      </w:r>
    </w:p>
    <w:p w14:paraId="5C9334A2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Figure 1 presents the class distribution for each of the six crops. Distribution reveals substantial imbalance both between crops and within individual crops.</w:t>
      </w:r>
    </w:p>
    <w:p w14:paraId="3127F2C9">
      <w:pPr>
        <w:spacing w:before="200" w:after="1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drawing>
          <wp:inline distT="0" distB="0" distL="0" distR="0">
            <wp:extent cx="5943600" cy="3286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1C656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Figure 1. Class distribution across all six crops (Maize, Taro, Tomato, Pepper, Potato, Cassava).</w:t>
      </w:r>
    </w:p>
    <w:p w14:paraId="5AE86BDC">
      <w:pPr>
        <w:spacing w:before="100" w:after="8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Key observations:</w:t>
      </w:r>
    </w:p>
    <w:p w14:paraId="59CB7567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Between-crop imbalance: Cassava, Taro, and Tomato each contribute 16,000–21,000+ images, while Pepper and Potato contribute only ~2,000–2,500 images each.</w:t>
      </w:r>
    </w:p>
    <w:p w14:paraId="417A3001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Within-crop imbalance (Cassava): Cassava_Mosaic_Disease (13,158 images) vastly outweighs Cassava_Bacterial_Blight (1,087 images), a ratio of roughly 12:1.</w:t>
      </w:r>
    </w:p>
    <w:p w14:paraId="6FDB3A8C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Within-crop imbalance (Potato): Potato___healthy (152 images) is dramatically underrepresented relative to its two disease classes (~1,000 images each).</w:t>
      </w:r>
    </w:p>
    <w:p w14:paraId="0000C1D3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Within-crop imbalance (Taro): Taro_Healthy (8,744 images) is disproportionately high relative to its four disease-stage classes.</w:t>
      </w:r>
    </w:p>
    <w:p w14:paraId="4377F67A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This imbalance will be addressed during preprocessing via class weighting in the loss function and/or targeted augmentation of minority classes.</w:t>
      </w:r>
    </w:p>
    <w:p w14:paraId="36B71CA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4. Sample Verification</w:t>
      </w:r>
    </w:p>
    <w:p w14:paraId="4D73D7E3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A representative sample image was drawn from each of the 29 classes to visually confirm correct labeling and inspect image characteristics (Figure 2).</w:t>
      </w:r>
    </w:p>
    <w:p w14:paraId="3ED328EF">
      <w:pPr>
        <w:spacing w:before="200" w:after="1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drawing>
          <wp:inline distT="0" distB="0" distL="0" distR="0">
            <wp:extent cx="5943600" cy="4448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26495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Figure 2. Representative sample image from each of the 29 disease/health classes across all six crops.</w:t>
      </w:r>
    </w:p>
    <w:p w14:paraId="4176C80F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Visual inspection confirmed correct labeling across all classes. Notably, the three PlantVillage-sourced crops (Tomato, Pepper, Potato) share a consistent grey lab-background aesthetic, while Taro and Cassava consist of natural field photographs with varied backgrounds (soil, foliage, and in some cases a hand holding the leaf). This domain-shift between lab-controlled and field-collected imagery is flagged as a methodological consideration for the Discussion and Limitations sections, as a model trained on this combined set may partially learn background-associated features rather than purely disease-relevant features.</w:t>
      </w:r>
    </w:p>
    <w:p w14:paraId="628DC7C2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5. Image Resolution Audit</w:t>
      </w:r>
    </w:p>
    <w:p w14:paraId="7B0113F4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Image dimensions were sampled and audited across all six crops to inform the preprocessing pipeline (Table 2).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79"/>
        <w:gridCol w:w="4681"/>
      </w:tblGrid>
      <w:tr w14:paraId="26D2A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0E44A273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Source</w:t>
            </w:r>
          </w:p>
        </w:tc>
        <w:tc>
          <w:tcPr>
            <w:tcW w:w="5180" w:type="dxa"/>
          </w:tcPr>
          <w:p w14:paraId="1D2B59AD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Resolution</w:t>
            </w:r>
          </w:p>
        </w:tc>
      </w:tr>
      <w:tr w14:paraId="633F6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16D68EB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(Tomato, Pepper, Potato)</w:t>
            </w:r>
          </w:p>
        </w:tc>
        <w:tc>
          <w:tcPr>
            <w:tcW w:w="5180" w:type="dxa"/>
          </w:tcPr>
          <w:p w14:paraId="261559A1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Uniform 256 x 256</w:t>
            </w:r>
          </w:p>
        </w:tc>
      </w:tr>
      <w:tr w14:paraId="4332E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103EC80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Taro</w:t>
            </w:r>
          </w:p>
        </w:tc>
        <w:tc>
          <w:tcPr>
            <w:tcW w:w="5180" w:type="dxa"/>
          </w:tcPr>
          <w:p w14:paraId="2CB63B2B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Uniform 640 x 640</w:t>
            </w:r>
          </w:p>
        </w:tc>
      </w:tr>
      <w:tr w14:paraId="58619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29F54EAE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Cassava</w:t>
            </w:r>
          </w:p>
        </w:tc>
        <w:tc>
          <w:tcPr>
            <w:tcW w:w="5180" w:type="dxa"/>
          </w:tcPr>
          <w:p w14:paraId="306FD48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Uniform 800 x 600</w:t>
            </w:r>
          </w:p>
        </w:tc>
      </w:tr>
      <w:tr w14:paraId="116C9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3AE1042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Maize</w:t>
            </w:r>
          </w:p>
        </w:tc>
        <w:tc>
          <w:tcPr>
            <w:tcW w:w="5180" w:type="dxa"/>
          </w:tcPr>
          <w:p w14:paraId="254E007F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Variable (188px to 1920x1080), reflecting multi-source aggregation</w:t>
            </w:r>
          </w:p>
        </w:tc>
      </w:tr>
    </w:tbl>
    <w:p w14:paraId="6654A466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Table 2. Native image resolution by data source.</w:t>
      </w:r>
    </w:p>
    <w:p w14:paraId="28254A4C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Given the resolution inconsistency across and within sources, all images will be resized to a standardized 224 x 224 during preprocessing, matching the input requirements of the Vision Transformer architecture (Dosovitskiy et al., 2021).</w:t>
      </w:r>
    </w:p>
    <w:p w14:paraId="5BAB6E02">
      <w:pPr>
        <w:pStyle w:val="2"/>
        <w:spacing w:before="300" w:after="150" w:line="48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w14:paraId="0B4EB1EF">
      <w:pPr>
        <w:pStyle w:val="2"/>
        <w:spacing w:before="300" w:after="150" w:line="48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w14:paraId="25E5729A">
      <w:pPr>
        <w:pStyle w:val="2"/>
        <w:spacing w:before="300" w:after="150" w:line="480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w14:paraId="10068ECB">
      <w:pPr>
        <w:pStyle w:val="2"/>
        <w:spacing w:before="300" w:after="150" w:line="480" w:lineRule="auto"/>
      </w:pPr>
      <w:bookmarkStart w:id="0" w:name="_GoBack"/>
      <w:bookmarkEnd w:id="0"/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6. Summary</w:t>
      </w:r>
    </w:p>
    <w:p w14:paraId="1EAFDE71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Total validated images: 67,443 across 29 classes and six crops.</w:t>
      </w:r>
    </w:p>
    <w:p w14:paraId="57E7C804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Zero corrupted files remaining after validation and cleanup.</w:t>
      </w:r>
    </w:p>
    <w:p w14:paraId="59B6010A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Significant class imbalance identified and documented, both between and within crops — to be addressed via class weighting / augmentation.</w:t>
      </w:r>
    </w:p>
    <w:p w14:paraId="03D24DAE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Resolution inconsistency identified across all three data sources — to be resolved via standardized resizing to 224 x 224.</w:t>
      </w:r>
    </w:p>
    <w:p w14:paraId="2BC5267D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Domain-shift risk identified between lab-background (PlantVillage) and field-collected (Taro, Cassava) imagery — flagged for Discussion/Limitations.</w:t>
      </w:r>
    </w:p>
    <w:p w14:paraId="19246139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Yam data-scarcity finding documented; Taro (cocoyam) substituted as the sixth staple crop.</w:t>
      </w:r>
    </w:p>
    <w:p w14:paraId="4963E063">
      <w:pPr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br w:type="page"/>
      </w:r>
    </w:p>
    <w:p w14:paraId="41C78D0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Team Contribution Statement</w:t>
      </w:r>
    </w:p>
    <w:p w14:paraId="21097C52">
      <w:pPr>
        <w:pStyle w:val="2"/>
        <w:spacing w:line="480" w:lineRule="auto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Makinde Ayomide Daniel (2023/12127) - Team Lead and Implementation Lead</w:t>
      </w:r>
    </w:p>
    <w:p w14:paraId="69FBB56A"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8"/>
        </w:rPr>
        <w:t>Sanni Samiat Ajoke (2023/12454) - Literature Reviewer</w:t>
      </w:r>
    </w:p>
    <w:p w14:paraId="7B0B7F9C"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8"/>
        </w:rPr>
        <w:t>Sodamade Ismail (2023/12228) - Writing Coordinator</w:t>
      </w:r>
    </w:p>
    <w:p w14:paraId="4CA57618"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8"/>
        </w:rPr>
        <w:t>Nweze Sharon Adaeze (2023/12602) - Visualisation Specialist</w:t>
      </w:r>
    </w:p>
    <w:p w14:paraId="534E7ED2"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8"/>
        </w:rPr>
        <w:t>Shittu Qais Ayomide (2023/12688) - Documentation Support</w:t>
      </w:r>
    </w:p>
    <w:p w14:paraId="313F332A">
      <w:pPr>
        <w:pStyle w:val="2"/>
        <w:spacing w:line="480" w:lineRule="auto"/>
        <w:rPr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Izundu Victor Chidera (2023/12156) - Literature Evidence and Evaluation Lead (assigned; review prepared for his verification).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EDF5A2">
    <w:pPr>
      <w:spacing w:line="480" w:lineRule="auto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DC5332">
    <w:pPr>
      <w:spacing w:line="480" w:lineRule="auto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809EF3">
    <w:pPr>
      <w:spacing w:line="480" w:lineRule="auto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21FEB5">
    <w:pPr>
      <w:spacing w:line="480" w:lineRule="aut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068D09">
    <w:pPr>
      <w:spacing w:line="480" w:lineRule="aut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D2735D">
    <w:pPr>
      <w:spacing w:line="480" w:lineRule="aut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1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9895931"/>
    <w:rsid w:val="5BE341E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000000"/>
      <w:sz w:val="28"/>
      <w:szCs w:val="28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character" w:default="1" w:styleId="8">
    <w:name w:val="Default Paragraph Font"/>
    <w:semiHidden/>
    <w:uiPriority w:val="0"/>
    <w:rPr>
      <w:rFonts w:ascii="Times New Roman" w:hAnsi="Times New Roman" w:eastAsia="Times New Roman" w:cs="Times New Roman"/>
      <w:color w:val="000000"/>
      <w:sz w:val="24"/>
      <w:szCs w:val="24"/>
    </w:rPr>
  </w:style>
  <w:style w:type="table" w:default="1" w:styleId="9">
    <w:name w:val="Normal Table"/>
    <w:semiHidden/>
    <w:uiPriority w:val="0"/>
    <w:rPr>
      <w:rFonts w:ascii="Times New Roman" w:hAnsi="Times New Roman" w:eastAsia="Times New Roman" w:cs="Times New Roman"/>
      <w:color w:val="000000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rFonts w:ascii="Times New Roman" w:hAnsi="Times New Roman" w:eastAsia="Times New Roman" w:cs="Times New Roman"/>
      <w:color w:val="000000"/>
      <w:sz w:val="24"/>
      <w:szCs w:val="24"/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12">
    <w:name w:val="footnote reference"/>
    <w:semiHidden/>
    <w:unhideWhenUsed/>
    <w:qFormat/>
    <w:uiPriority w:val="99"/>
    <w:rPr>
      <w:rFonts w:ascii="Times New Roman" w:hAnsi="Times New Roman" w:eastAsia="Times New Roman" w:cs="Times New Roman"/>
      <w:color w:val="000000"/>
      <w:sz w:val="24"/>
      <w:szCs w:val="24"/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14">
    <w:name w:val="Hyperlink"/>
    <w:unhideWhenUsed/>
    <w:qFormat/>
    <w:uiPriority w:val="99"/>
    <w:rPr>
      <w:rFonts w:ascii="Times New Roman" w:hAnsi="Times New Roman" w:eastAsia="Times New Roman" w:cs="Times New Roman"/>
      <w:color w:val="000000"/>
      <w:sz w:val="24"/>
      <w:szCs w:val="24"/>
      <w:u w:val="single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17">
    <w:name w:val="Footnote Text Char"/>
    <w:link w:val="13"/>
    <w:semiHidden/>
    <w:unhideWhenUsed/>
    <w:uiPriority w:val="99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18">
    <w:name w:val="Endnote Text Char"/>
    <w:link w:val="11"/>
    <w:semiHidden/>
    <w:unhideWhenUsed/>
    <w:qFormat/>
    <w:uiPriority w:val="99"/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TotalTime>4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2026-07-13T00:38:00Z</dcterms:created>
  <dc:creator>Un-named</dc:creator>
  <cp:lastModifiedBy>WPS_1715328761</cp:lastModifiedBy>
  <dcterms:modified xsi:type="dcterms:W3CDTF">2026-10-24T02:35:19Z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025ACEE914074CFDB10F93DD66AF78D4_12</vt:lpwstr>
  </property>
</Properties>
</file>