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7DFD05">
      <w:pPr>
        <w:spacing w:after="100" w:line="48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000000"/>
        </w:rPr>
        <w:t>Data Acquisition &amp; Exploratory Data Analysis</w:t>
      </w:r>
    </w:p>
    <w:p w14:paraId="05936BF7">
      <w:pPr>
        <w:spacing w:after="6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Universal Diagnostic Model for the Big Six West African Staples</w:t>
      </w:r>
    </w:p>
    <w:p w14:paraId="33C45C4E">
      <w:pPr>
        <w:spacing w:after="4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Team Architects | ML/DL Research Paper Assignment | ICT 324</w:t>
      </w:r>
    </w:p>
    <w:p w14:paraId="5639623E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 Data Acquisition</w:t>
      </w:r>
    </w:p>
    <w:p w14:paraId="078AFCC6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Six crop-specific image datasets were sourced from three distinct repositories to support the “Universal Diagnostic Model for the Big Six West African Staples” research objective. Table 1 summarizes the source, class structure, and volume for each crop.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90"/>
        <w:gridCol w:w="3782"/>
        <w:gridCol w:w="1553"/>
        <w:gridCol w:w="2035"/>
      </w:tblGrid>
      <w:tr w14:paraId="28D42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11B20D6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Crop</w:t>
            </w:r>
          </w:p>
        </w:tc>
        <w:tc>
          <w:tcPr>
            <w:tcW w:w="4200" w:type="dxa"/>
          </w:tcPr>
          <w:p w14:paraId="5C0D50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1700" w:type="dxa"/>
          </w:tcPr>
          <w:p w14:paraId="10613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Classes</w:t>
            </w:r>
          </w:p>
        </w:tc>
        <w:tc>
          <w:tcPr>
            <w:tcW w:w="2260" w:type="dxa"/>
          </w:tcPr>
          <w:p w14:paraId="5DCB62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Images</w:t>
            </w:r>
          </w:p>
        </w:tc>
      </w:tr>
      <w:tr w14:paraId="664C7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3B85E2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4200" w:type="dxa"/>
          </w:tcPr>
          <w:p w14:paraId="1FEADFC4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(Cassava Leaf Disease Classification)</w:t>
            </w:r>
          </w:p>
        </w:tc>
        <w:tc>
          <w:tcPr>
            <w:tcW w:w="1700" w:type="dxa"/>
          </w:tcPr>
          <w:p w14:paraId="20A7E54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1E43B3F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21,397</w:t>
            </w:r>
          </w:p>
        </w:tc>
      </w:tr>
      <w:tr w14:paraId="52379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55C076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4200" w:type="dxa"/>
          </w:tcPr>
          <w:p w14:paraId="4774591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Kaggle (aggregated multi-source)</w:t>
            </w:r>
          </w:p>
        </w:tc>
        <w:tc>
          <w:tcPr>
            <w:tcW w:w="1700" w:type="dxa"/>
          </w:tcPr>
          <w:p w14:paraId="636CE3E7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</w:t>
            </w:r>
          </w:p>
        </w:tc>
        <w:tc>
          <w:tcPr>
            <w:tcW w:w="2260" w:type="dxa"/>
          </w:tcPr>
          <w:p w14:paraId="1F1449E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4,188</w:t>
            </w:r>
          </w:p>
        </w:tc>
      </w:tr>
      <w:tr w14:paraId="04594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7BE0AE0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4200" w:type="dxa"/>
          </w:tcPr>
          <w:p w14:paraId="0287456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Mendeley Data (West African-collected; substituted for Yam)</w:t>
            </w:r>
          </w:p>
        </w:tc>
        <w:tc>
          <w:tcPr>
            <w:tcW w:w="1700" w:type="dxa"/>
          </w:tcPr>
          <w:p w14:paraId="3FE62068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5</w:t>
            </w:r>
          </w:p>
        </w:tc>
        <w:tc>
          <w:tcPr>
            <w:tcW w:w="2260" w:type="dxa"/>
          </w:tcPr>
          <w:p w14:paraId="2DC77FB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21,220</w:t>
            </w:r>
          </w:p>
        </w:tc>
      </w:tr>
      <w:tr w14:paraId="142E0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32FC34C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Tomato</w:t>
            </w:r>
          </w:p>
        </w:tc>
        <w:tc>
          <w:tcPr>
            <w:tcW w:w="4200" w:type="dxa"/>
          </w:tcPr>
          <w:p w14:paraId="39DC82E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3F4C37A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10</w:t>
            </w:r>
          </w:p>
        </w:tc>
        <w:tc>
          <w:tcPr>
            <w:tcW w:w="2260" w:type="dxa"/>
          </w:tcPr>
          <w:p w14:paraId="686B87E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16,011</w:t>
            </w:r>
          </w:p>
        </w:tc>
      </w:tr>
      <w:tr w14:paraId="403FF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0D01CB59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Pepper</w:t>
            </w:r>
          </w:p>
        </w:tc>
        <w:tc>
          <w:tcPr>
            <w:tcW w:w="4200" w:type="dxa"/>
          </w:tcPr>
          <w:p w14:paraId="43F0554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63121386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</w:t>
            </w:r>
          </w:p>
        </w:tc>
        <w:tc>
          <w:tcPr>
            <w:tcW w:w="2260" w:type="dxa"/>
          </w:tcPr>
          <w:p w14:paraId="41BE927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2,475</w:t>
            </w:r>
          </w:p>
        </w:tc>
      </w:tr>
      <w:tr w14:paraId="74573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25E7D8E2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Potato</w:t>
            </w:r>
          </w:p>
        </w:tc>
        <w:tc>
          <w:tcPr>
            <w:tcW w:w="4200" w:type="dxa"/>
          </w:tcPr>
          <w:p w14:paraId="063901A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(Kaggle)</w:t>
            </w:r>
          </w:p>
        </w:tc>
        <w:tc>
          <w:tcPr>
            <w:tcW w:w="1700" w:type="dxa"/>
          </w:tcPr>
          <w:p w14:paraId="1D82502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3</w:t>
            </w:r>
          </w:p>
        </w:tc>
        <w:tc>
          <w:tcPr>
            <w:tcW w:w="2260" w:type="dxa"/>
          </w:tcPr>
          <w:p w14:paraId="4682D66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2,152</w:t>
            </w:r>
          </w:p>
        </w:tc>
      </w:tr>
      <w:tr w14:paraId="587B2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</w:tcPr>
          <w:p w14:paraId="4C6218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Total</w:t>
            </w:r>
          </w:p>
        </w:tc>
        <w:tc>
          <w:tcPr>
            <w:tcW w:w="4200" w:type="dxa"/>
          </w:tcPr>
          <w:p w14:paraId="2DC70B52">
            <w:pPr>
              <w:spacing w:line="480" w:lineRule="auto"/>
            </w:pPr>
          </w:p>
        </w:tc>
        <w:tc>
          <w:tcPr>
            <w:tcW w:w="1700" w:type="dxa"/>
          </w:tcPr>
          <w:p w14:paraId="2E2C59D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29</w:t>
            </w:r>
          </w:p>
        </w:tc>
        <w:tc>
          <w:tcPr>
            <w:tcW w:w="2260" w:type="dxa"/>
          </w:tcPr>
          <w:p w14:paraId="6D75422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67,443</w:t>
            </w:r>
          </w:p>
        </w:tc>
      </w:tr>
    </w:tbl>
    <w:p w14:paraId="54554017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1. Summary of acquired datasets by crop, source, class count, and image volume.</w:t>
      </w:r>
    </w:p>
    <w:p w14:paraId="28A03ED1">
      <w:pPr>
        <w:pStyle w:val="3"/>
        <w:spacing w:before="240" w:after="12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1.1 Note on Yam Substitution</w:t>
      </w:r>
    </w:p>
    <w:p w14:paraId="6850780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No publicly available, sufficiently large yam (Dioscorea spp.) leaf disease dataset was identified during the literature and data-sourcing search. Taro (cocoyam) was substituted as it is a comparable West African root/tuber staple, with a recent (2025), regionally-collected, and well-documented public dataset available via Mendeley Data. This substitution is itself a documented finding regarding the current data-availability gap for yam-specific disease research in the region, and is discussed further in the Limitations section of this paper.</w:t>
      </w:r>
    </w:p>
    <w:p w14:paraId="4833647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2. Data Validation</w:t>
      </w:r>
    </w:p>
    <w:p w14:paraId="6D2AF267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The notebook identified one corrupted, non-image artifact in the Tomato_YellowLeaf_Curl_Virus folder and removed it before constructing the final manifest. The cleaned manifest contains 67,443 valid images across 29 classes.</w:t>
      </w:r>
    </w:p>
    <w:p w14:paraId="4D3371A0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3. Class Distribution</w:t>
      </w:r>
    </w:p>
    <w:p w14:paraId="5C9334A2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Figure 1 presents the class distribution for each of the six crops. Distribution reveals substantial imbalance both between crops and within individual crops.</w:t>
      </w:r>
    </w:p>
    <w:p w14:paraId="3127F2C9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32861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1C65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1. Class distribution across all six crops (Maize, Taro, Tomato, Pepper, Potato, Cassava).</w:t>
      </w:r>
    </w:p>
    <w:p w14:paraId="5AE86BDC">
      <w:pPr>
        <w:spacing w:before="100" w:after="8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Key observations:</w:t>
      </w:r>
    </w:p>
    <w:p w14:paraId="59CB7567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Between-crop imbalance: Cassava, Taro, and Tomato each contribute 16,000–21,000+ images, while Pepper and Potato contribute only ~2,000–2,500 images each.</w:t>
      </w:r>
    </w:p>
    <w:p w14:paraId="417A300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(Cassava): Cassava_Mosaic_Disease (13,158 images) vastly outweighs Cassava_Bacterial_Blight (1,087 images), a ratio of roughly 12:1.</w:t>
      </w:r>
    </w:p>
    <w:p w14:paraId="6FDB3A8C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(Potato): Potato___healthy (152 images) is dramatically underrepresented relative to its two disease classes (~1,000 images each).</w:t>
      </w:r>
    </w:p>
    <w:p w14:paraId="0000C1D3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Within-crop imbalance (Taro): Taro_Healthy (8,744 images) is disproportionately high relative to its four disease-stage classes.</w:t>
      </w:r>
    </w:p>
    <w:p w14:paraId="4377F67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This imbalance will be addressed during preprocessing via class weighting in the loss function and/or targeted augmentation of minority classes.</w:t>
      </w:r>
    </w:p>
    <w:p w14:paraId="36B71CA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4. Sample Verification</w:t>
      </w:r>
    </w:p>
    <w:p w14:paraId="4D73D7E3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A representative sample image was drawn from each of the 29 classes to visually confirm correct labeling and inspect image characteristics (Figure 2).</w:t>
      </w:r>
    </w:p>
    <w:p w14:paraId="3ED328EF">
      <w:pPr>
        <w:spacing w:before="200" w:after="1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drawing>
          <wp:inline distT="0" distB="0" distL="0" distR="0">
            <wp:extent cx="5943600" cy="4448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6495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Figure 2. Representative sample image from each of the 29 disease/health classes across all six crops.</w:t>
      </w:r>
    </w:p>
    <w:p w14:paraId="4176C80F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Visual inspection confirmed correct labeling across all classes. Notably, the three PlantVillage-sourced crops (Tomato, Pepper, Potato) share a consistent grey lab-background aesthetic, while Taro and Cassava consist of natural field photographs with varied backgrounds (soil, foliage, and in some cases a hand holding the leaf). This domain-shift between lab-controlled and field-collected imagery is flagged as a methodological consideration for the Discussion and Limitations sections, as a model trained on this combined set may partially learn background-associated features rather than purely disease-relevant features.</w:t>
      </w:r>
    </w:p>
    <w:p w14:paraId="628DC7C2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5. Image Resolution Audit</w:t>
      </w:r>
    </w:p>
    <w:p w14:paraId="7B0113F4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Image dimensions were sampled and audited across all six crops to inform the preprocessing pipeline (Table 2).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77"/>
        <w:gridCol w:w="4683"/>
      </w:tblGrid>
      <w:tr w14:paraId="26D2A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0E44A273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Source</w:t>
            </w:r>
          </w:p>
        </w:tc>
        <w:tc>
          <w:tcPr>
            <w:tcW w:w="5180" w:type="dxa"/>
          </w:tcPr>
          <w:p w14:paraId="1D2B59AD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  <w:t>Resolution</w:t>
            </w:r>
          </w:p>
        </w:tc>
      </w:tr>
      <w:tr w14:paraId="633F6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6D68EB0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PlantVillage (Tomato, Pepper, Potato)</w:t>
            </w:r>
          </w:p>
        </w:tc>
        <w:tc>
          <w:tcPr>
            <w:tcW w:w="5180" w:type="dxa"/>
          </w:tcPr>
          <w:p w14:paraId="261559A1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256 x 256</w:t>
            </w:r>
          </w:p>
        </w:tc>
      </w:tr>
      <w:tr w14:paraId="4332E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103EC80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Taro</w:t>
            </w:r>
          </w:p>
        </w:tc>
        <w:tc>
          <w:tcPr>
            <w:tcW w:w="5180" w:type="dxa"/>
          </w:tcPr>
          <w:p w14:paraId="2CB63B2B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640 x 640</w:t>
            </w:r>
          </w:p>
        </w:tc>
      </w:tr>
      <w:tr w14:paraId="58619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29F54EAE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Cassava</w:t>
            </w:r>
          </w:p>
        </w:tc>
        <w:tc>
          <w:tcPr>
            <w:tcW w:w="5180" w:type="dxa"/>
          </w:tcPr>
          <w:p w14:paraId="306FD48A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Uniform 800 x 600</w:t>
            </w:r>
          </w:p>
        </w:tc>
      </w:tr>
      <w:tr w14:paraId="116C9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180" w:type="dxa"/>
          </w:tcPr>
          <w:p w14:paraId="3AE10425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Maize</w:t>
            </w:r>
          </w:p>
        </w:tc>
        <w:tc>
          <w:tcPr>
            <w:tcW w:w="5180" w:type="dxa"/>
          </w:tcPr>
          <w:p w14:paraId="254E007F">
            <w:pPr>
              <w:spacing w:line="480" w:lineRule="auto"/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color w:val="000000"/>
                <w:sz w:val="24"/>
                <w:szCs w:val="24"/>
              </w:rPr>
              <w:t>Variable (188px to 1920x1080), reflecting multi-source aggregation</w:t>
            </w:r>
          </w:p>
        </w:tc>
      </w:tr>
    </w:tbl>
    <w:p w14:paraId="6654A466"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Table 2. Native image resolution by data source.</w:t>
      </w:r>
    </w:p>
    <w:p w14:paraId="28254A4C">
      <w:pPr>
        <w:spacing w:after="1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Given the resolution inconsistency across and within sources, all images will be resized to a standardized 224 x 224 during preprocessing, matching the input requirements of the Vision Transformer architecture (Dosovitskiy et al., 2021).</w:t>
      </w:r>
    </w:p>
    <w:p w14:paraId="10068EC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6. Summary</w:t>
      </w:r>
    </w:p>
    <w:p w14:paraId="1EAFDE71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Total validated images: 67,443 across 29 classes and six crops.</w:t>
      </w:r>
    </w:p>
    <w:p w14:paraId="57E7C804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Zero corrupted files remaining after validation and cleanup.</w:t>
      </w:r>
    </w:p>
    <w:p w14:paraId="59B6010A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Significant class imbalance identified and documented, both between and within crops — to be addressed via class weighting / augmentation.</w:t>
      </w:r>
    </w:p>
    <w:p w14:paraId="03D24DAE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Resolution inconsistency identified across all three data sources — to be resolved via standardized resizing to 224 x 224.</w:t>
      </w:r>
    </w:p>
    <w:p w14:paraId="2BC5267D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Domain-shift risk identified between lab-background (PlantVillage) and field-collected (Taro, Cassava) imagery — flagged for Discussion/Limitations.</w:t>
      </w:r>
    </w:p>
    <w:p w14:paraId="19246139">
      <w:pPr>
        <w:pStyle w:val="16"/>
        <w:numPr>
          <w:ilvl w:val="0"/>
          <w:numId w:val="1"/>
        </w:numPr>
        <w:spacing w:after="8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Yam data-scarcity finding documented; Taro (cocoyam) substituted as the sixth staple crop.</w:t>
      </w:r>
    </w:p>
    <w:p w14:paraId="4963E063">
      <w:pPr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br w:type="page"/>
      </w:r>
    </w:p>
    <w:p w14:paraId="41C78D0B">
      <w:pPr>
        <w:pStyle w:val="2"/>
        <w:spacing w:before="300" w:after="15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Team Contribution Statement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Makinde Ayomide Daniel (2023/12127) - Team Lead and Implementation Lead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Sanni Samiat Ajoke - Literature Reviewer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Sodamade Ismail - Writing Coordinator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Nweze Sharon - Visualisation Specialist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Shittu Qais Ayomide - Documentation Support</w:t>
      </w:r>
    </w:p>
    <w:p>
      <w:pPr>
        <w:pStyle w:val="2"/>
        <w:spacing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Izundu Victor Chidera (2023/12156) - Literature Evidence and Evaluation Lead (assigned; review prepared for his verification).</w:t>
      </w:r>
    </w:p>
    <w:sectPr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268C56C2"/>
    <w:multiLevelType w:val="singleLevel"/>
    <w:tmpl w:val="268C56C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7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989593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 w:ascii="Times New Roman" w:hAnsi="Times New Roman" w:eastAsia="Times New Roman" w:cs="Times New Roman"/>
        <w:color w:val="000000"/>
        <w:sz w:val="24"/>
        <w:szCs w:val="24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character" w:default="1" w:styleId="8">
    <w:name w:val="Default Paragraph Font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table" w:default="1" w:styleId="9">
    <w:name w:val="Normal Table"/>
    <w:semiHidden/>
    <w:uiPriority w:val="0"/>
    <w:rPr>
      <w:rFonts w:ascii="Times New Roman" w:hAnsi="Times New Roman" w:eastAsia="Times New Roman" w:cs="Times New Roman"/>
      <w:color w:val="000000"/>
      <w:sz w:val="24"/>
      <w:szCs w:val="24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rFonts w:ascii="Times New Roman" w:hAnsi="Times New Roman" w:eastAsia="Times New Roman" w:cs="Times New Roman"/>
      <w:color w:val="000000"/>
      <w:sz w:val="24"/>
      <w:vertAlign w:val="superscript"/>
      <w:szCs w:val="24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2">
    <w:name w:val="footnote reference"/>
    <w:semiHidden/>
    <w:unhideWhenUsed/>
    <w:uiPriority w:val="99"/>
    <w:rPr>
      <w:rFonts w:ascii="Times New Roman" w:hAnsi="Times New Roman" w:eastAsia="Times New Roman" w:cs="Times New Roman"/>
      <w:color w:val="000000"/>
      <w:sz w:val="24"/>
      <w:vertAlign w:val="superscript"/>
      <w:szCs w:val="24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14">
    <w:name w:val="Hyperlink"/>
    <w:unhideWhenUsed/>
    <w:uiPriority w:val="99"/>
    <w:rPr>
      <w:rFonts w:ascii="Times New Roman" w:hAnsi="Times New Roman" w:eastAsia="Times New Roman" w:cs="Times New Roman"/>
      <w:color w:val="000000"/>
      <w:sz w:val="24"/>
      <w:u w:val="single"/>
      <w:szCs w:val="24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7">
    <w:name w:val="Footnote Text Char"/>
    <w:link w:val="13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</w:rPr>
  </w:style>
  <w:style w:type="character" w:customStyle="1" w:styleId="18">
    <w:name w:val="Endnote Text Char"/>
    <w:link w:val="11"/>
    <w:semiHidden/>
    <w:unhideWhenUsed/>
    <w:uiPriority w:val="99"/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TotalTime>3</TotalTime>
  <ScaleCrop>false</ScaleCrop>
  <LinksUpToDate>false</LinksUpToDate>
  <Application>WPS Office_12.2.0.23203_F1E327BC-269C-435d-A152-05C5408002CA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2026-07-13T00:38:00Z</dcterms:created>
  <dc:creator>Un-named</dc:creator>
  <cp:lastModifiedBy>WPS_1715328761</cp:lastModifiedBy>
  <dcterms:modified xsi:type="dcterms:W3CDTF">2026-07-13T00:42:16Z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2057-12.2.0.23203</vt:lpwstr>
  </property>
  <property fmtid="{D5CDD505-2E9C-101B-9397-08002B2CF9AE}" pid="3" name="ICV">
    <vt:lpwstr>025ACEE914074CFDB10F93DD66AF78D4_12</vt:lpwstr>
  </property>
</Properties>
</file>