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620D8">
      <w:pPr>
        <w:pStyle w:val="2"/>
        <w:spacing w:after="20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4. Results</w:t>
      </w:r>
    </w:p>
    <w:p w14:paraId="57C59E2D">
      <w:pPr>
        <w:pStyle w:val="3"/>
        <w:spacing w:before="200" w:after="10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4.1 Baseline vs. Proposed Model Performance</w:t>
      </w:r>
    </w:p>
    <w:p w14:paraId="3EFA2D29">
      <w:pPr>
        <w:spacing w:after="15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Table 1 compares the classical machine learning baseline against the proposed Vision Transformer model across training, validation, and held-out test sets.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800"/>
        <w:gridCol w:w="1800"/>
        <w:gridCol w:w="1800"/>
      </w:tblGrid>
      <w:tr w14:paraId="140B5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31FB4415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1800" w:type="dxa"/>
          </w:tcPr>
          <w:p w14:paraId="4E32EF8A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Train Acc.</w:t>
            </w:r>
          </w:p>
        </w:tc>
        <w:tc>
          <w:tcPr>
            <w:tcW w:w="1800" w:type="dxa"/>
          </w:tcPr>
          <w:p w14:paraId="213D8B52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Validation Acc.</w:t>
            </w:r>
          </w:p>
        </w:tc>
        <w:tc>
          <w:tcPr>
            <w:tcW w:w="1800" w:type="dxa"/>
          </w:tcPr>
          <w:p w14:paraId="6E0B922A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Test Acc.</w:t>
            </w:r>
          </w:p>
        </w:tc>
      </w:tr>
      <w:tr w14:paraId="3D23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47A5159B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Classical ML Baseline (SVM/RF on GLCM + colour histogram features)</w:t>
            </w:r>
          </w:p>
        </w:tc>
        <w:tc>
          <w:tcPr>
            <w:tcW w:w="1800" w:type="dxa"/>
          </w:tcPr>
          <w:p w14:paraId="7998229D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00" w:type="dxa"/>
          </w:tcPr>
          <w:p w14:paraId="6830ECA6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00" w:type="dxa"/>
          </w:tcPr>
          <w:p w14:paraId="7648CF3A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58.97%</w:t>
            </w:r>
          </w:p>
        </w:tc>
      </w:tr>
      <w:tr w14:paraId="53A66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4900B331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Custom Vision Transformer (Epoch 4, final)</w:t>
            </w:r>
          </w:p>
        </w:tc>
        <w:tc>
          <w:tcPr>
            <w:tcW w:w="1800" w:type="dxa"/>
          </w:tcPr>
          <w:p w14:paraId="1BD729E2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88.13%</w:t>
            </w:r>
          </w:p>
        </w:tc>
        <w:tc>
          <w:tcPr>
            <w:tcW w:w="1800" w:type="dxa"/>
          </w:tcPr>
          <w:p w14:paraId="25629E2C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81.36%</w:t>
            </w:r>
          </w:p>
        </w:tc>
        <w:tc>
          <w:tcPr>
            <w:tcW w:w="1800" w:type="dxa"/>
          </w:tcPr>
          <w:p w14:paraId="036F24F5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81.21%</w:t>
            </w:r>
          </w:p>
        </w:tc>
      </w:tr>
    </w:tbl>
    <w:p w14:paraId="280D8964">
      <w:pPr>
        <w:spacing w:before="80" w:after="20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Table 1. Baseline vs. proposed model performance. Train/validation accuracy for the classical baseline were not separately tracked, as the baseline was evaluated directly on the held-out test set.</w:t>
      </w:r>
    </w:p>
    <w:p w14:paraId="187B693D">
      <w:pPr>
        <w:spacing w:after="15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ViT achieved 81.21% test accuracy, 22.24 percentage points above the classical baseline. Validation accuracy was 81.36%, a difference of 0.15 points from test accuracy. This indicates similar aggregate performance on two random partitions from the same combined source pools; it does not establish generalization to unseen farms, sources, or seasons. Training stopped after four epochs as the training-to-validation accuracy gap widened to 6.77 percentage points.</w:t>
      </w:r>
    </w:p>
    <w:p w14:paraId="3BBC41A5">
      <w:pPr>
        <w:pStyle w:val="3"/>
        <w:spacing w:before="200" w:after="10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4.2 Per-Class Performance</w:t>
      </w:r>
    </w:p>
    <w:p w14:paraId="5F940221">
      <w:pPr>
        <w:spacing w:after="15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While overall accuracy provides a useful summary metric, per-class precision, recall, and F1-score reveal substantial variation across the 29 disease classes spanning six crops. Table 2 presents representative classes illustrating the range of performance observed; the full 29-class classification report is provided in Appendix A.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400"/>
        <w:gridCol w:w="1400"/>
        <w:gridCol w:w="1400"/>
        <w:gridCol w:w="1400"/>
      </w:tblGrid>
      <w:tr w14:paraId="549C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28E2FDBF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1400" w:type="dxa"/>
          </w:tcPr>
          <w:p w14:paraId="48102B4C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1400" w:type="dxa"/>
          </w:tcPr>
          <w:p w14:paraId="658651BE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Recall</w:t>
            </w:r>
          </w:p>
        </w:tc>
        <w:tc>
          <w:tcPr>
            <w:tcW w:w="1400" w:type="dxa"/>
          </w:tcPr>
          <w:p w14:paraId="7DF8347B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F1-Score</w:t>
            </w:r>
          </w:p>
        </w:tc>
        <w:tc>
          <w:tcPr>
            <w:tcW w:w="1400" w:type="dxa"/>
          </w:tcPr>
          <w:p w14:paraId="3A5E2ED6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Support</w:t>
            </w:r>
          </w:p>
        </w:tc>
      </w:tr>
      <w:tr w14:paraId="6253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5654114C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Cassava_Mosaic_Disease</w:t>
            </w:r>
          </w:p>
        </w:tc>
        <w:tc>
          <w:tcPr>
            <w:tcW w:w="1400" w:type="dxa"/>
          </w:tcPr>
          <w:p w14:paraId="0A3799B3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0.8598</w:t>
            </w:r>
          </w:p>
        </w:tc>
        <w:tc>
          <w:tcPr>
            <w:tcW w:w="1400" w:type="dxa"/>
          </w:tcPr>
          <w:p w14:paraId="4A43C8B3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0.9630</w:t>
            </w:r>
          </w:p>
        </w:tc>
        <w:tc>
          <w:tcPr>
            <w:tcW w:w="1400" w:type="dxa"/>
          </w:tcPr>
          <w:p w14:paraId="69411319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0.9085</w:t>
            </w:r>
          </w:p>
        </w:tc>
        <w:tc>
          <w:tcPr>
            <w:tcW w:w="1400" w:type="dxa"/>
          </w:tcPr>
          <w:p w14:paraId="0F658CC7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1974</w:t>
            </w:r>
          </w:p>
        </w:tc>
      </w:tr>
      <w:tr w14:paraId="3FF8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47B65014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Cassava_Bacterial_Blight</w:t>
            </w:r>
          </w:p>
        </w:tc>
        <w:tc>
          <w:tcPr>
            <w:tcW w:w="1400" w:type="dxa"/>
          </w:tcPr>
          <w:p w14:paraId="658FCEF2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0.4839</w:t>
            </w:r>
          </w:p>
        </w:tc>
        <w:tc>
          <w:tcPr>
            <w:tcW w:w="1400" w:type="dxa"/>
          </w:tcPr>
          <w:p w14:paraId="35B1EF05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0.5521</w:t>
            </w:r>
          </w:p>
        </w:tc>
        <w:tc>
          <w:tcPr>
            <w:tcW w:w="1400" w:type="dxa"/>
          </w:tcPr>
          <w:p w14:paraId="70D12815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0.5158</w:t>
            </w:r>
          </w:p>
        </w:tc>
        <w:tc>
          <w:tcPr>
            <w:tcW w:w="1400" w:type="dxa"/>
          </w:tcPr>
          <w:p w14:paraId="78B7F21A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163</w:t>
            </w:r>
          </w:p>
        </w:tc>
      </w:tr>
      <w:tr w14:paraId="34A2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1D054019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Taro_Healthy</w:t>
            </w:r>
          </w:p>
        </w:tc>
        <w:tc>
          <w:tcPr>
            <w:tcW w:w="1400" w:type="dxa"/>
          </w:tcPr>
          <w:p w14:paraId="3C1C99FC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0.7970</w:t>
            </w:r>
          </w:p>
        </w:tc>
        <w:tc>
          <w:tcPr>
            <w:tcW w:w="1400" w:type="dxa"/>
          </w:tcPr>
          <w:p w14:paraId="500357C1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0.9428</w:t>
            </w:r>
          </w:p>
        </w:tc>
        <w:tc>
          <w:tcPr>
            <w:tcW w:w="1400" w:type="dxa"/>
          </w:tcPr>
          <w:p w14:paraId="487F04BE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0.8638</w:t>
            </w:r>
          </w:p>
        </w:tc>
        <w:tc>
          <w:tcPr>
            <w:tcW w:w="1400" w:type="dxa"/>
          </w:tcPr>
          <w:p w14:paraId="2074E040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1312</w:t>
            </w:r>
          </w:p>
        </w:tc>
      </w:tr>
      <w:tr w14:paraId="18AD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76A668B5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Taro_Mid_Blight</w:t>
            </w:r>
          </w:p>
        </w:tc>
        <w:tc>
          <w:tcPr>
            <w:tcW w:w="1400" w:type="dxa"/>
          </w:tcPr>
          <w:p w14:paraId="3861F40F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0.7550</w:t>
            </w:r>
          </w:p>
        </w:tc>
        <w:tc>
          <w:tcPr>
            <w:tcW w:w="1400" w:type="dxa"/>
          </w:tcPr>
          <w:p w14:paraId="0279CE80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0.2253</w:t>
            </w:r>
          </w:p>
        </w:tc>
        <w:tc>
          <w:tcPr>
            <w:tcW w:w="1400" w:type="dxa"/>
          </w:tcPr>
          <w:p w14:paraId="2D92ED35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0.3470</w:t>
            </w:r>
          </w:p>
        </w:tc>
        <w:tc>
          <w:tcPr>
            <w:tcW w:w="1400" w:type="dxa"/>
          </w:tcPr>
          <w:p w14:paraId="0ABFBF2A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506</w:t>
            </w:r>
          </w:p>
        </w:tc>
      </w:tr>
      <w:tr w14:paraId="1AE0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52E087FE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Taro_Late_Blight</w:t>
            </w:r>
          </w:p>
        </w:tc>
        <w:tc>
          <w:tcPr>
            <w:tcW w:w="1400" w:type="dxa"/>
          </w:tcPr>
          <w:p w14:paraId="385EBBC8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0.3158</w:t>
            </w:r>
          </w:p>
        </w:tc>
        <w:tc>
          <w:tcPr>
            <w:tcW w:w="1400" w:type="dxa"/>
          </w:tcPr>
          <w:p w14:paraId="23AADDE7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0.0316</w:t>
            </w:r>
          </w:p>
        </w:tc>
        <w:tc>
          <w:tcPr>
            <w:tcW w:w="1400" w:type="dxa"/>
          </w:tcPr>
          <w:p w14:paraId="16C405DB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0.0574</w:t>
            </w:r>
          </w:p>
        </w:tc>
        <w:tc>
          <w:tcPr>
            <w:tcW w:w="1400" w:type="dxa"/>
          </w:tcPr>
          <w:p w14:paraId="212E42C3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190</w:t>
            </w:r>
          </w:p>
        </w:tc>
      </w:tr>
      <w:tr w14:paraId="4389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11CC1EE7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Tomato_Tomato_mosaic_virus</w:t>
            </w:r>
          </w:p>
        </w:tc>
        <w:tc>
          <w:tcPr>
            <w:tcW w:w="1400" w:type="dxa"/>
          </w:tcPr>
          <w:p w14:paraId="4145B224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1.0000</w:t>
            </w:r>
          </w:p>
        </w:tc>
        <w:tc>
          <w:tcPr>
            <w:tcW w:w="1400" w:type="dxa"/>
          </w:tcPr>
          <w:p w14:paraId="32FAAABC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1.0000</w:t>
            </w:r>
          </w:p>
        </w:tc>
        <w:tc>
          <w:tcPr>
            <w:tcW w:w="1400" w:type="dxa"/>
          </w:tcPr>
          <w:p w14:paraId="4D89F163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1.0000</w:t>
            </w:r>
          </w:p>
        </w:tc>
        <w:tc>
          <w:tcPr>
            <w:tcW w:w="1400" w:type="dxa"/>
          </w:tcPr>
          <w:p w14:paraId="20D834DA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56</w:t>
            </w:r>
          </w:p>
        </w:tc>
      </w:tr>
      <w:tr w14:paraId="1ED7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21C14852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Pepper__bell___healthy</w:t>
            </w:r>
          </w:p>
        </w:tc>
        <w:tc>
          <w:tcPr>
            <w:tcW w:w="1400" w:type="dxa"/>
          </w:tcPr>
          <w:p w14:paraId="5B098326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0.9910</w:t>
            </w:r>
          </w:p>
        </w:tc>
        <w:tc>
          <w:tcPr>
            <w:tcW w:w="1400" w:type="dxa"/>
          </w:tcPr>
          <w:p w14:paraId="7ECB0A1E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1.0000</w:t>
            </w:r>
          </w:p>
        </w:tc>
        <w:tc>
          <w:tcPr>
            <w:tcW w:w="1400" w:type="dxa"/>
          </w:tcPr>
          <w:p w14:paraId="3F141E66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0.9955</w:t>
            </w:r>
          </w:p>
        </w:tc>
        <w:tc>
          <w:tcPr>
            <w:tcW w:w="1400" w:type="dxa"/>
          </w:tcPr>
          <w:p w14:paraId="6140E3FE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221</w:t>
            </w:r>
          </w:p>
        </w:tc>
      </w:tr>
      <w:tr w14:paraId="4D94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08F4B0B2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Potato___Early_blight</w:t>
            </w:r>
          </w:p>
        </w:tc>
        <w:tc>
          <w:tcPr>
            <w:tcW w:w="1400" w:type="dxa"/>
          </w:tcPr>
          <w:p w14:paraId="576C008D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0.9868</w:t>
            </w:r>
          </w:p>
        </w:tc>
        <w:tc>
          <w:tcPr>
            <w:tcW w:w="1400" w:type="dxa"/>
          </w:tcPr>
          <w:p w14:paraId="24B3AD70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1.0000</w:t>
            </w:r>
          </w:p>
        </w:tc>
        <w:tc>
          <w:tcPr>
            <w:tcW w:w="1400" w:type="dxa"/>
          </w:tcPr>
          <w:p w14:paraId="7A50CACA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0.9934</w:t>
            </w:r>
          </w:p>
        </w:tc>
        <w:tc>
          <w:tcPr>
            <w:tcW w:w="1400" w:type="dxa"/>
          </w:tcPr>
          <w:p w14:paraId="59FB7E36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150</w:t>
            </w:r>
          </w:p>
        </w:tc>
      </w:tr>
      <w:tr w14:paraId="114C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4AF67FC5">
            <w:pPr>
              <w:spacing w:line="48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Maize_Healthy</w:t>
            </w:r>
          </w:p>
        </w:tc>
        <w:tc>
          <w:tcPr>
            <w:tcW w:w="1400" w:type="dxa"/>
          </w:tcPr>
          <w:p w14:paraId="27769906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0.9255</w:t>
            </w:r>
          </w:p>
        </w:tc>
        <w:tc>
          <w:tcPr>
            <w:tcW w:w="1400" w:type="dxa"/>
          </w:tcPr>
          <w:p w14:paraId="720BBE43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1.0000</w:t>
            </w:r>
          </w:p>
        </w:tc>
        <w:tc>
          <w:tcPr>
            <w:tcW w:w="1400" w:type="dxa"/>
          </w:tcPr>
          <w:p w14:paraId="2FD706B9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0.9613</w:t>
            </w:r>
          </w:p>
        </w:tc>
        <w:tc>
          <w:tcPr>
            <w:tcW w:w="1400" w:type="dxa"/>
          </w:tcPr>
          <w:p w14:paraId="506B9882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174</w:t>
            </w:r>
          </w:p>
        </w:tc>
      </w:tr>
    </w:tbl>
    <w:p w14:paraId="75BB5426">
      <w:pPr>
        <w:spacing w:before="80" w:after="20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Table 2. Selected per-class performance metrics on the held-out test set (10,117 images), illustrating the strongest and weakest classes.</w:t>
      </w:r>
    </w:p>
    <w:p w14:paraId="43C865F5">
      <w:pPr>
        <w:spacing w:after="15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Performance was strongest and most consistent for Tomato (10 classes, F1-scores 0.93–1.00), Pepper (2 classes, F1-scores 0.99), and Potato (3 classes, F1-scores 0.95–0.99), all of which are sourced from the PlantVillage dataset. Maize similarly achieved strong results (F1-scores 0.84–0.96) across its four classes.</w:t>
      </w:r>
    </w:p>
    <w:p w14:paraId="213FB180">
      <w:pPr>
        <w:spacing w:after="15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Cassava and Taro classes showed markedly greater variability. While Cassava_Mosaic_Disease — the majority class, comprising 13,158 of 21,397 Cassava training images — achieved a strong F1-score of 0.9085, the minority Cassava_Bacterial_Blight class (1,087 training images) achieved only 0.5158. A similar pattern emerged more severely within Taro: Taro_Healthy (8,744 training images) achieved an F1-score of 0.8638, while Taro_Late_Blight (1,270 training images) achieved a recall of only 3.16% (6 of 190 test instances correctly classified) and an F1-score of 0.0574 — the weakest result across the entire model. Taro_Mid_Blight (3,370 training images) similarly underperformed, with a recall of 22.53%.</w:t>
      </w:r>
    </w:p>
    <w:p w14:paraId="1C3D7A79">
      <w:pPr>
        <w:pStyle w:val="3"/>
        <w:spacing w:before="200" w:after="10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4.3 Discussion of Class-Level Performance</w:t>
      </w:r>
    </w:p>
    <w:p w14:paraId="45881114">
      <w:pPr>
        <w:spacing w:after="15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disparity in per-class performance corresponds closely to the class imbalance identified during exploratory data analysis (Section 3). Classes with strong representation in the training set — Tomato's ten balanced PlantVillage classes, Pepper, Potato, and Cassava's majority Mosaic Disease class — consistently achieved high precision and recall. Conversely, the model's weakest classes (Taro_Late_Blight, Taro_Mid_Blight, Cassava_Bacterial_Blight) were also its most underrepresented, with Taro_Late_Blight comprising just 6% of the Taro training subset compared to Taro_Healthy's 41%.</w:t>
      </w:r>
    </w:p>
    <w:p w14:paraId="04E03369">
      <w:pPr>
        <w:spacing w:after="15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 second contributing factor is likely inter-class visual similarity. Taro_Late_Blight, Taro_Mid_Blight, and Taro_Not_Early represent progressive stages of the same underlying disease process, and the model's confusion is plausibly concentrated among these adjacent stages rather than between unrelated classes — a pattern consistent with the field-collected, naturally varied imagery characteristic of the Taro dataset, as compared to the more visually standardized, lab-controlled PlantVillage sources.</w:t>
      </w:r>
    </w:p>
    <w:p w14:paraId="19C7594C">
      <w:pPr>
        <w:spacing w:after="150" w:line="480" w:lineRule="auto"/>
        <w:rPr>
          <w:color w:val="auto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This finding is not incidental to the study's broader argument. The comparative weakness of Taro-specific classification directly reflects the data scarcity motivating this project's Yam-to-Taro substitution in the first place (Section 1.3): even the best available regional dataset for West Africa's root crop staples remains smaller and less balanced than the well-established, lab-curated datasets available for Tomato, Pepper, and Potato. This reinforces the “orphan crop” gap identified in the literature review — the same structural under-resourcing that motivated this study is visible not only in the availability of prior published work, but in the model's own quantitative performance.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480" w:lineRule="auto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480" w:lineRule="auto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480" w:lineRule="auto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480" w:lineRule="aut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480" w:lineRule="aut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48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5AF45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 w:ascii="Times New Roman" w:hAnsi="Times New Roman" w:eastAsia="Times New Roman" w:cs="Times New Roman"/>
        <w:color w:val="000000"/>
        <w:sz w:val="24"/>
        <w:szCs w:val="24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default="1" w:styleId="8">
    <w:name w:val="Default Paragraph Font"/>
    <w:semiHidden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9">
    <w:name w:val="Normal Table"/>
    <w:semiHidden/>
    <w:uiPriority w:val="0"/>
    <w:rPr>
      <w:rFonts w:ascii="Times New Roman" w:hAnsi="Times New Roman" w:eastAsia="Times New Roman" w:cs="Times New Roman"/>
      <w:color w:val="000000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rFonts w:ascii="Times New Roman" w:hAnsi="Times New Roman" w:eastAsia="Times New Roman" w:cs="Times New Roman"/>
      <w:color w:val="000000"/>
      <w:sz w:val="24"/>
      <w:vertAlign w:val="superscript"/>
      <w:szCs w:val="24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2">
    <w:name w:val="footnote reference"/>
    <w:semiHidden/>
    <w:unhideWhenUsed/>
    <w:qFormat/>
    <w:uiPriority w:val="99"/>
    <w:rPr>
      <w:rFonts w:ascii="Times New Roman" w:hAnsi="Times New Roman" w:eastAsia="Times New Roman" w:cs="Times New Roman"/>
      <w:color w:val="000000"/>
      <w:sz w:val="24"/>
      <w:vertAlign w:val="superscript"/>
      <w:szCs w:val="24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4">
    <w:name w:val="Hyperlink"/>
    <w:unhideWhenUsed/>
    <w:qFormat/>
    <w:uiPriority w:val="99"/>
    <w:rPr>
      <w:rFonts w:ascii="Times New Roman" w:hAnsi="Times New Roman" w:eastAsia="Times New Roman" w:cs="Times New Roman"/>
      <w:color w:val="000000"/>
      <w:sz w:val="24"/>
      <w:u w:val="single"/>
      <w:szCs w:val="24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18">
    <w:name w:val="Endnote Text Char"/>
    <w:link w:val="11"/>
    <w:semiHidden/>
    <w:unhideWhenUsed/>
    <w:qFormat/>
    <w:uiPriority w:val="99"/>
    <w:rPr>
      <w:rFonts w:ascii="Times New Roman" w:hAnsi="Times New Roman" w:eastAsia="Times New Roman" w:cs="Times New Roman"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2026-08-20T01:44:00Z</dcterms:created>
  <dc:creator>Un-named</dc:creator>
  <cp:lastModifiedBy>WPS_1715328761</cp:lastModifiedBy>
  <dcterms:modified xsi:type="dcterms:W3CDTF">2026-10-12T08:12:43Z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A6B98584C7F0467C8C8E4072086BE877_12</vt:lpwstr>
  </property>
</Properties>
</file>