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D9" w:rsidRPr="009E1737" w:rsidRDefault="00CF27D9" w:rsidP="009E17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1737">
        <w:rPr>
          <w:rFonts w:ascii="Times New Roman" w:hAnsi="Times New Roman" w:cs="Times New Roman"/>
          <w:b/>
          <w:sz w:val="24"/>
          <w:szCs w:val="24"/>
        </w:rPr>
        <w:t>La discapacidad en Lima Metropolitana</w:t>
      </w:r>
    </w:p>
    <w:p w:rsidR="00A458F0" w:rsidRDefault="005279BA" w:rsidP="00CA6DBD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737">
        <w:rPr>
          <w:rFonts w:ascii="Times New Roman" w:hAnsi="Times New Roman" w:cs="Times New Roman"/>
          <w:sz w:val="24"/>
          <w:szCs w:val="24"/>
        </w:rPr>
        <w:t xml:space="preserve">El presente ensayo </w:t>
      </w:r>
      <w:r w:rsidR="004A3E1C" w:rsidRPr="009E1737">
        <w:rPr>
          <w:rFonts w:ascii="Times New Roman" w:hAnsi="Times New Roman" w:cs="Times New Roman"/>
          <w:sz w:val="24"/>
          <w:szCs w:val="24"/>
        </w:rPr>
        <w:t xml:space="preserve">busca </w:t>
      </w:r>
      <w:r w:rsidRPr="009E1737">
        <w:rPr>
          <w:rFonts w:ascii="Times New Roman" w:hAnsi="Times New Roman" w:cs="Times New Roman"/>
          <w:sz w:val="24"/>
          <w:szCs w:val="24"/>
        </w:rPr>
        <w:t xml:space="preserve">visibilizar el posible </w:t>
      </w:r>
      <w:r w:rsidR="008F77A7" w:rsidRPr="009E1737">
        <w:rPr>
          <w:rFonts w:ascii="Times New Roman" w:hAnsi="Times New Roman" w:cs="Times New Roman"/>
          <w:sz w:val="24"/>
          <w:szCs w:val="24"/>
        </w:rPr>
        <w:t>patrón de distribución que pueda</w:t>
      </w:r>
      <w:r w:rsidRPr="009E1737">
        <w:rPr>
          <w:rFonts w:ascii="Times New Roman" w:hAnsi="Times New Roman" w:cs="Times New Roman"/>
          <w:sz w:val="24"/>
          <w:szCs w:val="24"/>
        </w:rPr>
        <w:t xml:space="preserve"> tener la población con discapacidad en los distritos de L</w:t>
      </w:r>
      <w:r w:rsidR="00F25106" w:rsidRPr="009E1737">
        <w:rPr>
          <w:rFonts w:ascii="Times New Roman" w:hAnsi="Times New Roman" w:cs="Times New Roman"/>
          <w:sz w:val="24"/>
          <w:szCs w:val="24"/>
        </w:rPr>
        <w:t>ima Metropolitana, e</w:t>
      </w:r>
      <w:r w:rsidRPr="009E1737">
        <w:rPr>
          <w:rFonts w:ascii="Times New Roman" w:hAnsi="Times New Roman" w:cs="Times New Roman"/>
          <w:sz w:val="24"/>
          <w:szCs w:val="24"/>
        </w:rPr>
        <w:t>s decir, la existe</w:t>
      </w:r>
      <w:r w:rsidR="008F77A7" w:rsidRPr="009E1737">
        <w:rPr>
          <w:rFonts w:ascii="Times New Roman" w:hAnsi="Times New Roman" w:cs="Times New Roman"/>
          <w:sz w:val="24"/>
          <w:szCs w:val="24"/>
        </w:rPr>
        <w:t>ncia</w:t>
      </w:r>
      <w:r w:rsidRPr="009E1737">
        <w:rPr>
          <w:rFonts w:ascii="Times New Roman" w:hAnsi="Times New Roman" w:cs="Times New Roman"/>
          <w:sz w:val="24"/>
          <w:szCs w:val="24"/>
        </w:rPr>
        <w:t xml:space="preserve"> de una probable segregación</w:t>
      </w:r>
      <w:r w:rsidR="008F77A7" w:rsidRPr="009E1737">
        <w:rPr>
          <w:rFonts w:ascii="Times New Roman" w:hAnsi="Times New Roman" w:cs="Times New Roman"/>
          <w:sz w:val="24"/>
          <w:szCs w:val="24"/>
        </w:rPr>
        <w:t xml:space="preserve"> poblacional</w:t>
      </w:r>
      <w:r w:rsidR="00F25106" w:rsidRPr="009E1737">
        <w:rPr>
          <w:rFonts w:ascii="Times New Roman" w:hAnsi="Times New Roman" w:cs="Times New Roman"/>
          <w:sz w:val="24"/>
          <w:szCs w:val="24"/>
        </w:rPr>
        <w:t xml:space="preserve"> r</w:t>
      </w:r>
      <w:r w:rsidR="000E08DB">
        <w:rPr>
          <w:rFonts w:ascii="Times New Roman" w:hAnsi="Times New Roman" w:cs="Times New Roman"/>
          <w:sz w:val="24"/>
          <w:szCs w:val="24"/>
        </w:rPr>
        <w:t xml:space="preserve">elacionada con la discapacidad. Diversos estudios a </w:t>
      </w:r>
      <w:r w:rsidR="000E08DB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nivel internacional sugieren una relación entre la segregación y la ciudad, la segregación y la pobreza; y la segregación y la discapacidad.</w:t>
      </w:r>
    </w:p>
    <w:p w:rsidR="00CA6DBD" w:rsidRPr="00CA6DBD" w:rsidRDefault="00CA6DBD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inicios de la urbe, la segregación podía producirse por la ubicación en la que uno reside, las diferencias</w:t>
      </w:r>
      <w:r w:rsidR="00730E0C">
        <w:rPr>
          <w:rFonts w:ascii="Times New Roman" w:hAnsi="Times New Roman" w:cs="Times New Roman"/>
          <w:sz w:val="24"/>
          <w:szCs w:val="24"/>
        </w:rPr>
        <w:t xml:space="preserve"> socio</w:t>
      </w:r>
      <w:r>
        <w:rPr>
          <w:rFonts w:ascii="Times New Roman" w:hAnsi="Times New Roman" w:cs="Times New Roman"/>
          <w:sz w:val="24"/>
          <w:szCs w:val="24"/>
        </w:rPr>
        <w:t>culturales o el mismo racismo. Y en la actualidad, la segregación es conocida como el fenómeno que se desarrolla a causa de la falta de interacción entre grupos sociales, segregación socioeconómica; la ubicación espacial, segregación residencial; los diferentes intereses y/o estilos de vida, segregación cultural; o</w:t>
      </w:r>
      <w:r w:rsidR="00662CBD">
        <w:rPr>
          <w:rFonts w:ascii="Times New Roman" w:hAnsi="Times New Roman" w:cs="Times New Roman"/>
          <w:sz w:val="24"/>
          <w:szCs w:val="24"/>
        </w:rPr>
        <w:t xml:space="preserve"> diferencias raciales o etnias, segregación </w:t>
      </w:r>
      <w:proofErr w:type="spellStart"/>
      <w:r w:rsidR="00662CBD">
        <w:rPr>
          <w:rFonts w:ascii="Times New Roman" w:hAnsi="Times New Roman" w:cs="Times New Roman"/>
          <w:sz w:val="24"/>
          <w:szCs w:val="24"/>
        </w:rPr>
        <w:t>etno</w:t>
      </w:r>
      <w:proofErr w:type="spellEnd"/>
      <w:r w:rsidR="00662CBD">
        <w:rPr>
          <w:rFonts w:ascii="Times New Roman" w:hAnsi="Times New Roman" w:cs="Times New Roman"/>
          <w:sz w:val="24"/>
          <w:szCs w:val="24"/>
        </w:rPr>
        <w:t>-racial (Ruiz-Tagle, 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7DE4" w:rsidRPr="00B47B0D" w:rsidRDefault="00F25106" w:rsidP="00CA6DBD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Los a</w:t>
      </w:r>
      <w:r w:rsidR="005279BA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utores inspirados por la Escuela de Chicago sustentarían </w:t>
      </w:r>
      <w:r w:rsidR="008D4EAB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estas problemáticas sociales</w:t>
      </w:r>
      <w:r w:rsidR="005279BA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un fenómeno natural, por otro </w:t>
      </w:r>
      <w:r w:rsidR="008F77A7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lado,</w:t>
      </w:r>
      <w:r w:rsidR="005279BA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quienes tengan un acercamie</w:t>
      </w:r>
      <w:r w:rsidR="008F77A7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nto marxista lo visualizarían como un problema estructuralmente determinado. </w:t>
      </w:r>
      <w:r w:rsidR="000E08DB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A458F0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sabido</w:t>
      </w:r>
      <w:r w:rsidR="000E08DB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que,</w:t>
      </w:r>
      <w:r w:rsidR="00A458F0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la sociedad moderna, los vínculos que se crean parten de relaciones funcionales </w:t>
      </w:r>
      <w:r w:rsidR="00BC1509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desembocando</w:t>
      </w:r>
      <w:r w:rsidR="00A458F0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la sustitución de relaciones afectivas por relaciones utilitarias.  Ello se debe a la pérdida del sentido de pertenencia y compromiso con el grupo, </w:t>
      </w:r>
      <w:r w:rsidR="00BC1509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y desarrollo de indiferencia, superficialidad y una mentalidad calculista</w:t>
      </w:r>
      <w:r w:rsidR="005F7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(Lezama, 1991).</w:t>
      </w:r>
    </w:p>
    <w:p w:rsidR="00BC1509" w:rsidRPr="00B47B0D" w:rsidRDefault="00BC1509" w:rsidP="009E1737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Las relaciones sociales al encontrarse ligadas con la naturaleza funcional y objetiva, y no con el elemento humano y subjetivo. Se puede afirmar que la importancia que los otras personas tienen para nosotros cada vez está más en función de su contribución a la naturaleza objetiva de la sociedad</w:t>
      </w:r>
      <w:r w:rsidR="005F7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(Lezama, 2002; </w:t>
      </w:r>
      <w:proofErr w:type="spellStart"/>
      <w:r w:rsidR="005F7DFF">
        <w:rPr>
          <w:rFonts w:ascii="Times New Roman" w:hAnsi="Times New Roman" w:cs="Times New Roman"/>
          <w:color w:val="000000" w:themeColor="text1"/>
          <w:sz w:val="24"/>
          <w:szCs w:val="24"/>
        </w:rPr>
        <w:t>Goffman</w:t>
      </w:r>
      <w:proofErr w:type="spellEnd"/>
      <w:r w:rsidR="005F7DFF">
        <w:rPr>
          <w:rFonts w:ascii="Times New Roman" w:hAnsi="Times New Roman" w:cs="Times New Roman"/>
          <w:color w:val="000000" w:themeColor="text1"/>
          <w:sz w:val="24"/>
          <w:szCs w:val="24"/>
        </w:rPr>
        <w:t>, 1963)</w:t>
      </w:r>
      <w:r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92398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En un entorno de este tipo se cuestiona el presente y futuro de una persona con discapacidad, puesto que, al atribuirle características negativas o infantili</w:t>
      </w:r>
      <w:r w:rsidR="009E1737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>zarlos</w:t>
      </w:r>
      <w:r w:rsidR="00730E0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E1737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</w:t>
      </w:r>
      <w:r w:rsidR="00730E0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E1737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estamos inhabilitando y</w:t>
      </w:r>
      <w:r w:rsidR="00792398" w:rsidRPr="00B47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segregando. </w:t>
      </w:r>
    </w:p>
    <w:p w:rsidR="00B93BB5" w:rsidRPr="009E1737" w:rsidRDefault="00B93BB5" w:rsidP="009E173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sz w:val="24"/>
          <w:szCs w:val="24"/>
        </w:rPr>
        <w:t xml:space="preserve">El concepto de discapacidad ha </w:t>
      </w:r>
      <w:r w:rsidR="004A3E1C" w:rsidRPr="009E1737">
        <w:rPr>
          <w:rFonts w:ascii="Times New Roman" w:hAnsi="Times New Roman" w:cs="Times New Roman"/>
          <w:sz w:val="24"/>
          <w:szCs w:val="24"/>
        </w:rPr>
        <w:t>evolucionado a</w:t>
      </w:r>
      <w:r w:rsidRPr="009E1737">
        <w:rPr>
          <w:rFonts w:ascii="Times New Roman" w:hAnsi="Times New Roman" w:cs="Times New Roman"/>
          <w:sz w:val="24"/>
          <w:szCs w:val="24"/>
        </w:rPr>
        <w:t xml:space="preserve"> largo de la historia, </w:t>
      </w:r>
      <w:r w:rsidR="004A3E1C" w:rsidRPr="009E1737">
        <w:rPr>
          <w:rFonts w:ascii="Times New Roman" w:hAnsi="Times New Roman" w:cs="Times New Roman"/>
          <w:sz w:val="24"/>
          <w:szCs w:val="24"/>
        </w:rPr>
        <w:t>ya que en la antigüedad</w:t>
      </w:r>
      <w:r w:rsidRPr="009E1737">
        <w:rPr>
          <w:rFonts w:ascii="Times New Roman" w:hAnsi="Times New Roman" w:cs="Times New Roman"/>
          <w:sz w:val="24"/>
          <w:szCs w:val="24"/>
        </w:rPr>
        <w:t xml:space="preserve"> </w:t>
      </w:r>
      <w:r w:rsidR="000F0F31" w:rsidRPr="009E1737">
        <w:rPr>
          <w:rFonts w:ascii="Times New Roman" w:hAnsi="Times New Roman" w:cs="Times New Roman"/>
          <w:sz w:val="24"/>
          <w:szCs w:val="24"/>
        </w:rPr>
        <w:t xml:space="preserve">las culturas </w:t>
      </w:r>
      <w:r w:rsidR="00F25106" w:rsidRPr="009E1737">
        <w:rPr>
          <w:rFonts w:ascii="Times New Roman" w:hAnsi="Times New Roman" w:cs="Times New Roman"/>
          <w:sz w:val="24"/>
          <w:szCs w:val="24"/>
        </w:rPr>
        <w:t>tendían a asociarla</w:t>
      </w:r>
      <w:r w:rsidRPr="009E1737">
        <w:rPr>
          <w:rFonts w:ascii="Times New Roman" w:hAnsi="Times New Roman" w:cs="Times New Roman"/>
          <w:sz w:val="24"/>
          <w:szCs w:val="24"/>
        </w:rPr>
        <w:t xml:space="preserve"> con la posesión de poderes </w:t>
      </w:r>
      <w:r w:rsidR="00F25106" w:rsidRPr="009E1737">
        <w:rPr>
          <w:rFonts w:ascii="Times New Roman" w:hAnsi="Times New Roman" w:cs="Times New Roman"/>
          <w:sz w:val="24"/>
          <w:szCs w:val="24"/>
        </w:rPr>
        <w:t>sobrehumanos o</w:t>
      </w:r>
      <w:r w:rsidRPr="009E1737">
        <w:rPr>
          <w:rFonts w:ascii="Times New Roman" w:hAnsi="Times New Roman" w:cs="Times New Roman"/>
          <w:sz w:val="24"/>
          <w:szCs w:val="24"/>
        </w:rPr>
        <w:t xml:space="preserve"> castigos divinos, siendo esta </w:t>
      </w:r>
      <w:r w:rsidR="00F25106" w:rsidRPr="009E1737">
        <w:rPr>
          <w:rFonts w:ascii="Times New Roman" w:hAnsi="Times New Roman" w:cs="Times New Roman"/>
          <w:sz w:val="24"/>
          <w:szCs w:val="24"/>
        </w:rPr>
        <w:t>última</w:t>
      </w:r>
      <w:r w:rsidRPr="009E1737">
        <w:rPr>
          <w:rFonts w:ascii="Times New Roman" w:hAnsi="Times New Roman" w:cs="Times New Roman"/>
          <w:sz w:val="24"/>
          <w:szCs w:val="24"/>
        </w:rPr>
        <w:t xml:space="preserve"> 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la </w:t>
      </w:r>
      <w:r w:rsidRPr="009E1737">
        <w:rPr>
          <w:rFonts w:ascii="Times New Roman" w:hAnsi="Times New Roman" w:cs="Times New Roman"/>
          <w:sz w:val="24"/>
          <w:szCs w:val="24"/>
        </w:rPr>
        <w:t xml:space="preserve">causante de repudio y </w:t>
      </w:r>
      <w:r w:rsidR="000F0F31" w:rsidRPr="009E1737">
        <w:rPr>
          <w:rFonts w:ascii="Times New Roman" w:hAnsi="Times New Roman" w:cs="Times New Roman"/>
          <w:sz w:val="24"/>
          <w:szCs w:val="24"/>
        </w:rPr>
        <w:t>segregación por parte de</w:t>
      </w:r>
      <w:r w:rsidR="00F25106" w:rsidRPr="009E1737">
        <w:rPr>
          <w:rFonts w:ascii="Times New Roman" w:hAnsi="Times New Roman" w:cs="Times New Roman"/>
          <w:sz w:val="24"/>
          <w:szCs w:val="24"/>
        </w:rPr>
        <w:t xml:space="preserve"> la comunidad.</w:t>
      </w:r>
      <w:r w:rsidR="00F92EA5" w:rsidRPr="009E1737">
        <w:rPr>
          <w:rFonts w:ascii="Times New Roman" w:hAnsi="Times New Roman" w:cs="Times New Roman"/>
          <w:sz w:val="24"/>
          <w:szCs w:val="24"/>
        </w:rPr>
        <w:t xml:space="preserve"> En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 el siglo XV, esta</w:t>
      </w:r>
      <w:r w:rsidR="00F25106" w:rsidRPr="009E1737">
        <w:rPr>
          <w:rFonts w:ascii="Times New Roman" w:hAnsi="Times New Roman" w:cs="Times New Roman"/>
          <w:sz w:val="24"/>
          <w:szCs w:val="24"/>
        </w:rPr>
        <w:t xml:space="preserve"> visión tuvo un desarrollo formal desfavorable con la creación de 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los manicomios, </w:t>
      </w:r>
      <w:r w:rsidR="00F25106" w:rsidRPr="009E1737">
        <w:rPr>
          <w:rFonts w:ascii="Times New Roman" w:hAnsi="Times New Roman" w:cs="Times New Roman"/>
          <w:sz w:val="24"/>
          <w:szCs w:val="24"/>
        </w:rPr>
        <w:t xml:space="preserve">instituciones especializadas en </w:t>
      </w:r>
      <w:r w:rsidR="000F0F31" w:rsidRPr="009E1737">
        <w:rPr>
          <w:rFonts w:ascii="Times New Roman" w:hAnsi="Times New Roman" w:cs="Times New Roman"/>
          <w:sz w:val="24"/>
          <w:szCs w:val="24"/>
        </w:rPr>
        <w:t xml:space="preserve">el </w:t>
      </w:r>
      <w:r w:rsidR="00F25106" w:rsidRPr="009E1737">
        <w:rPr>
          <w:rFonts w:ascii="Times New Roman" w:hAnsi="Times New Roman" w:cs="Times New Roman"/>
          <w:sz w:val="24"/>
          <w:szCs w:val="24"/>
        </w:rPr>
        <w:t>cuidado</w:t>
      </w:r>
      <w:r w:rsidR="000F0F31" w:rsidRPr="009E1737">
        <w:rPr>
          <w:rFonts w:ascii="Times New Roman" w:hAnsi="Times New Roman" w:cs="Times New Roman"/>
          <w:sz w:val="24"/>
          <w:szCs w:val="24"/>
        </w:rPr>
        <w:t xml:space="preserve"> y tratamiento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 experimental</w:t>
      </w:r>
      <w:r w:rsidR="000F0F31" w:rsidRPr="009E1737">
        <w:rPr>
          <w:rFonts w:ascii="Times New Roman" w:hAnsi="Times New Roman" w:cs="Times New Roman"/>
          <w:sz w:val="24"/>
          <w:szCs w:val="24"/>
        </w:rPr>
        <w:t>, desafortu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nadamente </w:t>
      </w:r>
      <w:r w:rsidR="009E0E79" w:rsidRPr="000E08DB">
        <w:rPr>
          <w:rFonts w:ascii="Times New Roman" w:hAnsi="Times New Roman" w:cs="Times New Roman"/>
          <w:sz w:val="24"/>
          <w:szCs w:val="24"/>
        </w:rPr>
        <w:t>estas acciones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 tuvieron como pilares </w:t>
      </w:r>
      <w:r w:rsidR="000F0F31" w:rsidRPr="009E1737">
        <w:rPr>
          <w:rFonts w:ascii="Times New Roman" w:hAnsi="Times New Roman" w:cs="Times New Roman"/>
          <w:sz w:val="24"/>
          <w:szCs w:val="24"/>
        </w:rPr>
        <w:t>la discriminación</w:t>
      </w:r>
      <w:r w:rsidR="009E0E79" w:rsidRPr="009E1737">
        <w:rPr>
          <w:rFonts w:ascii="Times New Roman" w:hAnsi="Times New Roman" w:cs="Times New Roman"/>
          <w:sz w:val="24"/>
          <w:szCs w:val="24"/>
        </w:rPr>
        <w:t xml:space="preserve">, estigmatización y segregación. </w:t>
      </w:r>
      <w:r w:rsidR="00F92EA5" w:rsidRPr="009E1737">
        <w:rPr>
          <w:rFonts w:ascii="Times New Roman" w:hAnsi="Times New Roman" w:cs="Times New Roman"/>
          <w:sz w:val="24"/>
          <w:szCs w:val="24"/>
        </w:rPr>
        <w:t>Durante el siglo XX se da inicio al enfoque asistencial dirigido a las personas con discapacidad, implementando centros de educación especial, sin embargo, estos ambi</w:t>
      </w:r>
      <w:r w:rsidR="004A3E1C" w:rsidRPr="009E1737">
        <w:rPr>
          <w:rFonts w:ascii="Times New Roman" w:hAnsi="Times New Roman" w:cs="Times New Roman"/>
          <w:sz w:val="24"/>
          <w:szCs w:val="24"/>
        </w:rPr>
        <w:t>entes reforzaron</w:t>
      </w:r>
      <w:r w:rsidR="00F92EA5" w:rsidRPr="009E1737">
        <w:rPr>
          <w:rFonts w:ascii="Times New Roman" w:hAnsi="Times New Roman" w:cs="Times New Roman"/>
          <w:sz w:val="24"/>
          <w:szCs w:val="24"/>
        </w:rPr>
        <w:t xml:space="preserve"> la dependencia e improductividad</w:t>
      </w:r>
      <w:r w:rsidR="007D2790" w:rsidRPr="009E1737">
        <w:rPr>
          <w:rFonts w:ascii="Times New Roman" w:hAnsi="Times New Roman" w:cs="Times New Roman"/>
          <w:sz w:val="24"/>
          <w:szCs w:val="24"/>
        </w:rPr>
        <w:t>. Y n</w:t>
      </w:r>
      <w:r w:rsidR="00F92EA5" w:rsidRPr="009E1737">
        <w:rPr>
          <w:rFonts w:ascii="Times New Roman" w:hAnsi="Times New Roman" w:cs="Times New Roman"/>
          <w:sz w:val="24"/>
          <w:szCs w:val="24"/>
        </w:rPr>
        <w:t xml:space="preserve">o es hasta inicios </w:t>
      </w:r>
      <w:r w:rsidR="004A3E1C" w:rsidRPr="009E1737">
        <w:rPr>
          <w:rFonts w:ascii="Times New Roman" w:hAnsi="Times New Roman" w:cs="Times New Roman"/>
          <w:sz w:val="24"/>
          <w:szCs w:val="24"/>
        </w:rPr>
        <w:t>del 2000</w:t>
      </w:r>
      <w:r w:rsidR="007D2790" w:rsidRPr="009E1737">
        <w:rPr>
          <w:rFonts w:ascii="Times New Roman" w:hAnsi="Times New Roman" w:cs="Times New Roman"/>
          <w:sz w:val="24"/>
          <w:szCs w:val="24"/>
        </w:rPr>
        <w:t xml:space="preserve"> que se inicia</w:t>
      </w:r>
      <w:r w:rsidR="004A3E1C" w:rsidRPr="009E1737">
        <w:rPr>
          <w:rFonts w:ascii="Times New Roman" w:hAnsi="Times New Roman" w:cs="Times New Roman"/>
          <w:sz w:val="24"/>
          <w:szCs w:val="24"/>
        </w:rPr>
        <w:t xml:space="preserve"> a pensar que con el apoyo necesario las personas con discapacidad pueden desarrollar habilidades </w:t>
      </w:r>
      <w:r w:rsidR="007D2790" w:rsidRPr="009E1737">
        <w:rPr>
          <w:rFonts w:ascii="Times New Roman" w:hAnsi="Times New Roman" w:cs="Times New Roman"/>
          <w:sz w:val="24"/>
          <w:szCs w:val="24"/>
        </w:rPr>
        <w:t>que podrían potenciar</w:t>
      </w:r>
      <w:r w:rsidR="00A33BB9">
        <w:rPr>
          <w:rFonts w:ascii="Times New Roman" w:hAnsi="Times New Roman" w:cs="Times New Roman"/>
          <w:sz w:val="24"/>
          <w:szCs w:val="24"/>
        </w:rPr>
        <w:t xml:space="preserve"> (Córdova,2008)</w:t>
      </w:r>
      <w:r w:rsidR="004A3E1C" w:rsidRPr="009E1737">
        <w:rPr>
          <w:rFonts w:ascii="Times New Roman" w:hAnsi="Times New Roman" w:cs="Times New Roman"/>
          <w:sz w:val="24"/>
          <w:szCs w:val="24"/>
        </w:rPr>
        <w:t xml:space="preserve">. </w:t>
      </w:r>
      <w:r w:rsidR="00002DC6" w:rsidRPr="009E1737">
        <w:rPr>
          <w:rFonts w:ascii="Times New Roman" w:hAnsi="Times New Roman" w:cs="Times New Roman"/>
          <w:sz w:val="24"/>
          <w:szCs w:val="24"/>
        </w:rPr>
        <w:t xml:space="preserve">A partir de esta visión revolucionaria, se ha incrementado las publicaciones científicas, proyectos sociales y programas del Estado dirigido a </w:t>
      </w:r>
      <w:r w:rsidR="008D4EAB">
        <w:rPr>
          <w:rFonts w:ascii="Times New Roman" w:hAnsi="Times New Roman" w:cs="Times New Roman"/>
          <w:sz w:val="24"/>
          <w:szCs w:val="24"/>
        </w:rPr>
        <w:t xml:space="preserve">las </w:t>
      </w:r>
      <w:r w:rsidR="00002DC6" w:rsidRPr="009E1737">
        <w:rPr>
          <w:rFonts w:ascii="Times New Roman" w:hAnsi="Times New Roman" w:cs="Times New Roman"/>
          <w:sz w:val="24"/>
          <w:szCs w:val="24"/>
        </w:rPr>
        <w:t>person</w:t>
      </w:r>
      <w:r w:rsidR="00F0759D" w:rsidRPr="009E1737">
        <w:rPr>
          <w:rFonts w:ascii="Times New Roman" w:hAnsi="Times New Roman" w:cs="Times New Roman"/>
          <w:sz w:val="24"/>
          <w:szCs w:val="24"/>
        </w:rPr>
        <w:t>as en situación de discapacidad, por ello se decidió presentar un ensayo científico analítico comparativo enfocado en la relación de discapacidad y segregación social con el fin de conocer un pa</w:t>
      </w:r>
      <w:r w:rsidR="00FD58AE" w:rsidRPr="009E1737">
        <w:rPr>
          <w:rFonts w:ascii="Times New Roman" w:hAnsi="Times New Roman" w:cs="Times New Roman"/>
          <w:sz w:val="24"/>
          <w:szCs w:val="24"/>
        </w:rPr>
        <w:t>norama actualizado y realista de</w:t>
      </w:r>
      <w:r w:rsidR="00F0759D" w:rsidRPr="009E1737">
        <w:rPr>
          <w:rFonts w:ascii="Times New Roman" w:hAnsi="Times New Roman" w:cs="Times New Roman"/>
          <w:sz w:val="24"/>
          <w:szCs w:val="24"/>
        </w:rPr>
        <w:t xml:space="preserve"> Lima Metropolitana. </w:t>
      </w:r>
    </w:p>
    <w:p w:rsidR="00CA6DBD" w:rsidRPr="009E1737" w:rsidRDefault="00366C3A" w:rsidP="008D4EA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sz w:val="24"/>
          <w:szCs w:val="24"/>
        </w:rPr>
        <w:lastRenderedPageBreak/>
        <w:t xml:space="preserve">Los escenarios seleccionados para efectuar el análisis comparativo son los </w:t>
      </w:r>
      <w:r w:rsidR="0048488A" w:rsidRPr="009E1737">
        <w:rPr>
          <w:rFonts w:ascii="Times New Roman" w:hAnsi="Times New Roman" w:cs="Times New Roman"/>
          <w:sz w:val="24"/>
          <w:szCs w:val="24"/>
        </w:rPr>
        <w:t xml:space="preserve">distritos de Ancón, Breña, Miraflores y </w:t>
      </w:r>
      <w:r w:rsidR="003E70B4" w:rsidRPr="009E1737">
        <w:rPr>
          <w:rFonts w:ascii="Times New Roman" w:hAnsi="Times New Roman" w:cs="Times New Roman"/>
          <w:sz w:val="24"/>
          <w:szCs w:val="24"/>
        </w:rPr>
        <w:t>San Juan de Lurigancho, los cuales pertenecen a diferentes niveles socioeconóm</w:t>
      </w:r>
      <w:r w:rsidR="008D4EAB">
        <w:rPr>
          <w:rFonts w:ascii="Times New Roman" w:hAnsi="Times New Roman" w:cs="Times New Roman"/>
          <w:sz w:val="24"/>
          <w:szCs w:val="24"/>
        </w:rPr>
        <w:t xml:space="preserve">icos, D, B, A y E respectivamente. A </w:t>
      </w:r>
      <w:r w:rsidR="008B3571">
        <w:rPr>
          <w:rFonts w:ascii="Times New Roman" w:hAnsi="Times New Roman" w:cs="Times New Roman"/>
          <w:sz w:val="24"/>
          <w:szCs w:val="24"/>
        </w:rPr>
        <w:t>continuación,</w:t>
      </w:r>
      <w:r w:rsidR="008D4EAB">
        <w:rPr>
          <w:rFonts w:ascii="Times New Roman" w:hAnsi="Times New Roman" w:cs="Times New Roman"/>
          <w:sz w:val="24"/>
          <w:szCs w:val="24"/>
        </w:rPr>
        <w:t xml:space="preserve"> se observa un gráfico de barras que expone la relación proporcional entre la población con discapacidad y la población general por distrito.</w:t>
      </w:r>
    </w:p>
    <w:p w:rsidR="0048488A" w:rsidRPr="009E1737" w:rsidRDefault="0048488A" w:rsidP="008D4E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737">
        <w:rPr>
          <w:rFonts w:ascii="Times New Roman" w:hAnsi="Times New Roman" w:cs="Times New Roman"/>
          <w:b/>
          <w:sz w:val="24"/>
          <w:szCs w:val="24"/>
        </w:rPr>
        <w:t>Figura 1</w:t>
      </w:r>
    </w:p>
    <w:p w:rsidR="0048488A" w:rsidRPr="009E1737" w:rsidRDefault="0048488A" w:rsidP="008D4EAB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1737">
        <w:rPr>
          <w:rFonts w:ascii="Times New Roman" w:hAnsi="Times New Roman" w:cs="Times New Roman"/>
          <w:i/>
          <w:sz w:val="24"/>
          <w:szCs w:val="24"/>
        </w:rPr>
        <w:t xml:space="preserve">Personas con discapacidad y población total por distrito en el 2022 </w:t>
      </w:r>
    </w:p>
    <w:p w:rsidR="0048488A" w:rsidRPr="009E1737" w:rsidRDefault="0048488A" w:rsidP="008D4EAB">
      <w:pPr>
        <w:ind w:left="708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2129BF5" wp14:editId="3EF5CEAF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4476750" cy="3277870"/>
            <wp:effectExtent l="0" t="0" r="0" b="0"/>
            <wp:wrapTopAndBottom/>
            <wp:docPr id="8" name="Imagen 8" descr="C:\Users\HP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737">
        <w:rPr>
          <w:rFonts w:ascii="Times New Roman" w:hAnsi="Times New Roman" w:cs="Times New Roman"/>
          <w:i/>
          <w:sz w:val="24"/>
          <w:szCs w:val="24"/>
        </w:rPr>
        <w:t>Nota.</w:t>
      </w:r>
      <w:r w:rsidRPr="009E1737">
        <w:rPr>
          <w:rFonts w:ascii="Times New Roman" w:hAnsi="Times New Roman" w:cs="Times New Roman"/>
          <w:sz w:val="24"/>
          <w:szCs w:val="24"/>
        </w:rPr>
        <w:t xml:space="preserve"> La figura muestra las cifras de personas con discapacidad en contraste con la población total de los distritos de Ancón, Breña, Miraflores y San Juan de Lurigancho en el año 2022. </w:t>
      </w:r>
      <w:r w:rsidRPr="00553DAA">
        <w:rPr>
          <w:rFonts w:ascii="Times New Roman" w:hAnsi="Times New Roman" w:cs="Times New Roman"/>
          <w:sz w:val="24"/>
          <w:szCs w:val="24"/>
        </w:rPr>
        <w:t xml:space="preserve">Fuente: </w:t>
      </w:r>
      <w:r w:rsidR="00553DAA" w:rsidRPr="00553DAA">
        <w:rPr>
          <w:rFonts w:ascii="Times New Roman" w:hAnsi="Times New Roman" w:cs="Times New Roman"/>
          <w:sz w:val="24"/>
          <w:szCs w:val="24"/>
        </w:rPr>
        <w:t>Registro Nacional de Personas con Discapacidad</w:t>
      </w:r>
      <w:r w:rsidRPr="00553DAA">
        <w:rPr>
          <w:rFonts w:ascii="Times New Roman" w:hAnsi="Times New Roman" w:cs="Times New Roman"/>
          <w:sz w:val="24"/>
          <w:szCs w:val="24"/>
        </w:rPr>
        <w:t xml:space="preserve"> (2022).</w:t>
      </w:r>
    </w:p>
    <w:p w:rsidR="00F14807" w:rsidRPr="009E1737" w:rsidRDefault="00F14807" w:rsidP="009E173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observa</w:t>
      </w:r>
      <w:r w:rsidR="003E70B4" w:rsidRPr="009E1737">
        <w:rPr>
          <w:rFonts w:ascii="Times New Roman" w:hAnsi="Times New Roman" w:cs="Times New Roman"/>
          <w:sz w:val="24"/>
          <w:szCs w:val="24"/>
        </w:rPr>
        <w:t xml:space="preserve"> que Ancón, Breña y Miraflores </w:t>
      </w:r>
      <w:r w:rsidR="00937BC0" w:rsidRPr="009E1737">
        <w:rPr>
          <w:rFonts w:ascii="Times New Roman" w:hAnsi="Times New Roman" w:cs="Times New Roman"/>
          <w:sz w:val="24"/>
          <w:szCs w:val="24"/>
        </w:rPr>
        <w:t>presentan un número similar de habitantes</w:t>
      </w:r>
      <w:r w:rsidR="005C4328" w:rsidRPr="009E1737">
        <w:rPr>
          <w:rFonts w:ascii="Times New Roman" w:hAnsi="Times New Roman" w:cs="Times New Roman"/>
          <w:sz w:val="24"/>
          <w:szCs w:val="24"/>
        </w:rPr>
        <w:t xml:space="preserve">, encabezando Miraflores con un total de 113 505, continuando Breña con 95 </w:t>
      </w:r>
      <w:r w:rsidR="00937BC0" w:rsidRPr="009E1737">
        <w:rPr>
          <w:rFonts w:ascii="Times New Roman" w:hAnsi="Times New Roman" w:cs="Times New Roman"/>
          <w:sz w:val="24"/>
          <w:szCs w:val="24"/>
        </w:rPr>
        <w:t>47</w:t>
      </w:r>
      <w:r w:rsidR="005C4328" w:rsidRPr="009E1737">
        <w:rPr>
          <w:rFonts w:ascii="Times New Roman" w:hAnsi="Times New Roman" w:cs="Times New Roman"/>
          <w:sz w:val="24"/>
          <w:szCs w:val="24"/>
        </w:rPr>
        <w:t>9 y finalmente Ancón, 91 479. De estos, Ancón posee la mayor cantidad de personas con discapacidad con un tota</w:t>
      </w:r>
      <w:r w:rsidR="00937BC0" w:rsidRPr="009E1737">
        <w:rPr>
          <w:rFonts w:ascii="Times New Roman" w:hAnsi="Times New Roman" w:cs="Times New Roman"/>
          <w:sz w:val="24"/>
          <w:szCs w:val="24"/>
        </w:rPr>
        <w:t xml:space="preserve">l de 60, siguiendo Breña con 28, </w:t>
      </w:r>
      <w:r w:rsidR="005C4328" w:rsidRPr="009E1737">
        <w:rPr>
          <w:rFonts w:ascii="Times New Roman" w:hAnsi="Times New Roman" w:cs="Times New Roman"/>
          <w:sz w:val="24"/>
          <w:szCs w:val="24"/>
        </w:rPr>
        <w:t xml:space="preserve">y por último Miraflores, 14. San Juan </w:t>
      </w:r>
      <w:r w:rsidR="00BB43F1" w:rsidRPr="009E1737">
        <w:rPr>
          <w:rFonts w:ascii="Times New Roman" w:hAnsi="Times New Roman" w:cs="Times New Roman"/>
          <w:sz w:val="24"/>
          <w:szCs w:val="24"/>
        </w:rPr>
        <w:t>de Miraflores comprende 1 millón 128 mil habitantes, diez veces la pobl</w:t>
      </w:r>
      <w:r w:rsidR="00937BC0" w:rsidRPr="009E1737">
        <w:rPr>
          <w:rFonts w:ascii="Times New Roman" w:hAnsi="Times New Roman" w:cs="Times New Roman"/>
          <w:sz w:val="24"/>
          <w:szCs w:val="24"/>
        </w:rPr>
        <w:t>ación de Miraflores; mientras que el número de personas con discapacidad de SJL es dieciocho</w:t>
      </w:r>
      <w:r w:rsidR="00BB43F1" w:rsidRPr="009E1737">
        <w:rPr>
          <w:rFonts w:ascii="Times New Roman" w:hAnsi="Times New Roman" w:cs="Times New Roman"/>
          <w:sz w:val="24"/>
          <w:szCs w:val="24"/>
        </w:rPr>
        <w:t xml:space="preserve"> veces la </w:t>
      </w:r>
      <w:r w:rsidR="00937BC0" w:rsidRPr="009E1737">
        <w:rPr>
          <w:rFonts w:ascii="Times New Roman" w:hAnsi="Times New Roman" w:cs="Times New Roman"/>
          <w:sz w:val="24"/>
          <w:szCs w:val="24"/>
        </w:rPr>
        <w:t xml:space="preserve">de Miraflores. </w:t>
      </w:r>
    </w:p>
    <w:p w:rsidR="0048488A" w:rsidRDefault="0048488A" w:rsidP="009E173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sz w:val="24"/>
          <w:szCs w:val="24"/>
        </w:rPr>
        <w:t>El estudio se enfoca en 2 tipos de discapacidad: m</w:t>
      </w:r>
      <w:r w:rsidR="00730E0C">
        <w:rPr>
          <w:rFonts w:ascii="Times New Roman" w:hAnsi="Times New Roman" w:cs="Times New Roman"/>
          <w:sz w:val="24"/>
          <w:szCs w:val="24"/>
        </w:rPr>
        <w:t>otora o física y sensorial, e</w:t>
      </w:r>
      <w:r w:rsidRPr="009E1737">
        <w:rPr>
          <w:rFonts w:ascii="Times New Roman" w:hAnsi="Times New Roman" w:cs="Times New Roman"/>
          <w:sz w:val="24"/>
          <w:szCs w:val="24"/>
        </w:rPr>
        <w:t>sta última engloba la discapacidad auditiva, visual y de lenguaje</w:t>
      </w:r>
      <w:r w:rsidR="00810C98" w:rsidRPr="009E1737">
        <w:rPr>
          <w:rFonts w:ascii="Times New Roman" w:hAnsi="Times New Roman" w:cs="Times New Roman"/>
          <w:sz w:val="24"/>
          <w:szCs w:val="24"/>
        </w:rPr>
        <w:t>. Estos tipos de discapacidad</w:t>
      </w:r>
      <w:r w:rsidRPr="009E1737">
        <w:rPr>
          <w:rFonts w:ascii="Times New Roman" w:hAnsi="Times New Roman" w:cs="Times New Roman"/>
          <w:sz w:val="24"/>
          <w:szCs w:val="24"/>
        </w:rPr>
        <w:t xml:space="preserve"> en conjunto impiden a la persona desenvolverse de la manera convencional.</w:t>
      </w:r>
      <w:r w:rsidR="00810C98" w:rsidRPr="009E1737">
        <w:rPr>
          <w:rFonts w:ascii="Times New Roman" w:hAnsi="Times New Roman" w:cs="Times New Roman"/>
          <w:sz w:val="24"/>
          <w:szCs w:val="24"/>
        </w:rPr>
        <w:t xml:space="preserve"> A menos que cuente con asistencia, apoyo y adaptaciones técnicas básicas para sus actividades</w:t>
      </w:r>
      <w:r w:rsidR="008B3571">
        <w:rPr>
          <w:rFonts w:ascii="Times New Roman" w:hAnsi="Times New Roman" w:cs="Times New Roman"/>
          <w:sz w:val="24"/>
          <w:szCs w:val="24"/>
        </w:rPr>
        <w:t>, podrá estar</w:t>
      </w:r>
      <w:r w:rsidR="00810C98" w:rsidRPr="009E1737">
        <w:rPr>
          <w:rFonts w:ascii="Times New Roman" w:hAnsi="Times New Roman" w:cs="Times New Roman"/>
          <w:sz w:val="24"/>
          <w:szCs w:val="24"/>
        </w:rPr>
        <w:t xml:space="preserve"> preparada para e</w:t>
      </w:r>
      <w:r w:rsidR="00283FAD" w:rsidRPr="009E1737">
        <w:rPr>
          <w:rFonts w:ascii="Times New Roman" w:hAnsi="Times New Roman" w:cs="Times New Roman"/>
          <w:sz w:val="24"/>
          <w:szCs w:val="24"/>
        </w:rPr>
        <w:t>l desarrollo de sus capacidades, y por ende llegar a lograr una igualdad de condiciones con relación a una persona sin discapacidad</w:t>
      </w:r>
      <w:r w:rsidR="00662CBD">
        <w:rPr>
          <w:rFonts w:ascii="Times New Roman" w:hAnsi="Times New Roman" w:cs="Times New Roman"/>
          <w:sz w:val="24"/>
          <w:szCs w:val="24"/>
        </w:rPr>
        <w:t xml:space="preserve"> (Comisión Económica para </w:t>
      </w:r>
      <w:r w:rsidR="00662CBD" w:rsidRPr="00662CBD">
        <w:rPr>
          <w:rFonts w:ascii="Times New Roman" w:hAnsi="Times New Roman" w:cs="Times New Roman"/>
          <w:sz w:val="24"/>
          <w:szCs w:val="24"/>
        </w:rPr>
        <w:t xml:space="preserve">América Latina y el Caribe </w:t>
      </w:r>
      <w:r w:rsidR="00662CBD" w:rsidRPr="00662CBD">
        <w:rPr>
          <w:rFonts w:ascii="Times New Roman" w:hAnsi="Times New Roman" w:cs="Times New Roman"/>
          <w:color w:val="000000" w:themeColor="text1"/>
          <w:sz w:val="24"/>
          <w:szCs w:val="24"/>
        </w:rPr>
        <w:t>[CEPAL]</w:t>
      </w:r>
      <w:r w:rsidR="00662CBD" w:rsidRPr="00662CBD">
        <w:rPr>
          <w:rFonts w:ascii="Times New Roman" w:hAnsi="Times New Roman" w:cs="Times New Roman"/>
          <w:sz w:val="24"/>
          <w:szCs w:val="24"/>
        </w:rPr>
        <w:t xml:space="preserve">, 2011; Organización Mundial de Salud </w:t>
      </w:r>
      <w:r w:rsidR="00662CBD" w:rsidRPr="00662CBD">
        <w:rPr>
          <w:rFonts w:ascii="Times New Roman" w:hAnsi="Times New Roman" w:cs="Times New Roman"/>
          <w:color w:val="000000" w:themeColor="text1"/>
          <w:sz w:val="24"/>
          <w:szCs w:val="24"/>
        </w:rPr>
        <w:t>[OMS], 2011</w:t>
      </w:r>
      <w:r w:rsidR="00662CBD" w:rsidRPr="00662CBD">
        <w:rPr>
          <w:rFonts w:ascii="Times New Roman" w:hAnsi="Times New Roman" w:cs="Times New Roman"/>
          <w:sz w:val="24"/>
          <w:szCs w:val="24"/>
        </w:rPr>
        <w:t>)</w:t>
      </w:r>
      <w:r w:rsidR="00283FAD" w:rsidRPr="00662CBD">
        <w:rPr>
          <w:rFonts w:ascii="Times New Roman" w:hAnsi="Times New Roman" w:cs="Times New Roman"/>
          <w:sz w:val="24"/>
          <w:szCs w:val="24"/>
        </w:rPr>
        <w:t>.</w:t>
      </w:r>
      <w:r w:rsidR="00283FAD" w:rsidRPr="009E1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807" w:rsidRPr="009E1737" w:rsidRDefault="008B3571" w:rsidP="009E173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siguiente tabla muestra de forma específica el número de personas con discapacidad de lenguaje, auditiva, visual y muscular por distrito. Asi</w:t>
      </w:r>
      <w:r w:rsidR="00B47B0D">
        <w:rPr>
          <w:rFonts w:ascii="Times New Roman" w:hAnsi="Times New Roman" w:cs="Times New Roman"/>
          <w:sz w:val="24"/>
          <w:szCs w:val="24"/>
        </w:rPr>
        <w:t xml:space="preserve">mismo, el nivel socioeconómico en el que se encuentra la población general.  </w:t>
      </w:r>
    </w:p>
    <w:p w:rsidR="009E1737" w:rsidRDefault="005F4DCF" w:rsidP="009E1737">
      <w:pPr>
        <w:spacing w:before="24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737">
        <w:rPr>
          <w:rFonts w:ascii="Times New Roman" w:hAnsi="Times New Roman" w:cs="Times New Roman"/>
          <w:b/>
          <w:sz w:val="24"/>
          <w:szCs w:val="24"/>
        </w:rPr>
        <w:t>Tabla 1</w:t>
      </w:r>
    </w:p>
    <w:p w:rsidR="005F4DCF" w:rsidRPr="009E1737" w:rsidRDefault="005F4DCF" w:rsidP="009E1737">
      <w:pPr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737">
        <w:rPr>
          <w:rFonts w:ascii="Times New Roman" w:hAnsi="Times New Roman" w:cs="Times New Roman"/>
          <w:i/>
          <w:sz w:val="24"/>
          <w:szCs w:val="24"/>
        </w:rPr>
        <w:t xml:space="preserve">Nivel socioeconómico y número de personas con discapacidad </w:t>
      </w:r>
      <w:r w:rsidR="003263F8" w:rsidRPr="009E1737">
        <w:rPr>
          <w:rFonts w:ascii="Times New Roman" w:hAnsi="Times New Roman" w:cs="Times New Roman"/>
          <w:i/>
          <w:sz w:val="24"/>
          <w:szCs w:val="24"/>
        </w:rPr>
        <w:t xml:space="preserve">por distrito </w:t>
      </w:r>
      <w:r w:rsidRPr="009E1737">
        <w:rPr>
          <w:rFonts w:ascii="Times New Roman" w:hAnsi="Times New Roman" w:cs="Times New Roman"/>
          <w:i/>
          <w:sz w:val="24"/>
          <w:szCs w:val="24"/>
        </w:rPr>
        <w:t>en el 2022</w:t>
      </w: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1198"/>
        <w:gridCol w:w="1263"/>
        <w:gridCol w:w="1208"/>
        <w:gridCol w:w="1203"/>
        <w:gridCol w:w="1210"/>
      </w:tblGrid>
      <w:tr w:rsidR="003263F8" w:rsidRPr="009E1737" w:rsidTr="009E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 w:val="restart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Distritos</w:t>
            </w:r>
          </w:p>
        </w:tc>
        <w:tc>
          <w:tcPr>
            <w:tcW w:w="1198" w:type="dxa"/>
            <w:vMerge w:val="restart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NSE</w:t>
            </w:r>
          </w:p>
        </w:tc>
        <w:tc>
          <w:tcPr>
            <w:tcW w:w="4884" w:type="dxa"/>
            <w:gridSpan w:val="4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Personas con discapacidad</w:t>
            </w:r>
          </w:p>
        </w:tc>
      </w:tr>
      <w:tr w:rsidR="003263F8" w:rsidRPr="009E1737" w:rsidTr="009E1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Merge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98" w:type="dxa"/>
            <w:vMerge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Lenguaje</w:t>
            </w:r>
          </w:p>
        </w:tc>
        <w:tc>
          <w:tcPr>
            <w:tcW w:w="1208" w:type="dxa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Auditiva</w:t>
            </w:r>
          </w:p>
        </w:tc>
        <w:tc>
          <w:tcPr>
            <w:tcW w:w="1203" w:type="dxa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</w:p>
        </w:tc>
        <w:tc>
          <w:tcPr>
            <w:tcW w:w="1210" w:type="dxa"/>
            <w:vAlign w:val="center"/>
          </w:tcPr>
          <w:p w:rsidR="003263F8" w:rsidRPr="009E1737" w:rsidRDefault="003263F8" w:rsidP="009E17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Muscular</w:t>
            </w:r>
          </w:p>
        </w:tc>
      </w:tr>
      <w:tr w:rsidR="003263F8" w:rsidRPr="009E1737" w:rsidTr="008D4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Ancón</w:t>
            </w:r>
          </w:p>
        </w:tc>
        <w:tc>
          <w:tcPr>
            <w:tcW w:w="119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0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263F8" w:rsidRPr="009E1737" w:rsidTr="008D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Breña</w:t>
            </w:r>
          </w:p>
        </w:tc>
        <w:tc>
          <w:tcPr>
            <w:tcW w:w="119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0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63F8" w:rsidRPr="009E1737" w:rsidTr="008D4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Miraflores</w:t>
            </w:r>
          </w:p>
        </w:tc>
        <w:tc>
          <w:tcPr>
            <w:tcW w:w="119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0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63F8" w:rsidRPr="009E1737" w:rsidTr="008D4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b w:val="0"/>
                <w:sz w:val="24"/>
                <w:szCs w:val="24"/>
              </w:rPr>
              <w:t>SJL</w:t>
            </w:r>
          </w:p>
        </w:tc>
        <w:tc>
          <w:tcPr>
            <w:tcW w:w="119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6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8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3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10" w:type="dxa"/>
            <w:vAlign w:val="center"/>
          </w:tcPr>
          <w:p w:rsidR="003263F8" w:rsidRPr="009E1737" w:rsidRDefault="003263F8" w:rsidP="008D4E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173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F14807" w:rsidRDefault="005F4DCF" w:rsidP="005F7DFF">
      <w:pPr>
        <w:ind w:left="284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i/>
          <w:sz w:val="24"/>
          <w:szCs w:val="24"/>
        </w:rPr>
        <w:t>Nota.</w:t>
      </w:r>
      <w:r w:rsidRPr="009E1737">
        <w:rPr>
          <w:rFonts w:ascii="Times New Roman" w:hAnsi="Times New Roman" w:cs="Times New Roman"/>
          <w:sz w:val="24"/>
          <w:szCs w:val="24"/>
        </w:rPr>
        <w:t xml:space="preserve"> Datos tomados del </w:t>
      </w:r>
      <w:r w:rsidR="00F14807">
        <w:rPr>
          <w:rFonts w:ascii="Times New Roman" w:hAnsi="Times New Roman" w:cs="Times New Roman"/>
          <w:sz w:val="24"/>
          <w:szCs w:val="24"/>
        </w:rPr>
        <w:t xml:space="preserve">Registro Nacional de Personas con Discapacidad </w:t>
      </w:r>
      <w:r w:rsidRPr="009E1737">
        <w:rPr>
          <w:rFonts w:ascii="Times New Roman" w:hAnsi="Times New Roman" w:cs="Times New Roman"/>
          <w:sz w:val="24"/>
          <w:szCs w:val="24"/>
        </w:rPr>
        <w:t>(2022)</w:t>
      </w:r>
      <w:r w:rsidR="005F7DFF">
        <w:rPr>
          <w:rFonts w:ascii="Times New Roman" w:hAnsi="Times New Roman" w:cs="Times New Roman"/>
          <w:sz w:val="24"/>
          <w:szCs w:val="24"/>
        </w:rPr>
        <w:t xml:space="preserve"> e Instituto Nacional de Estadística e Informática (2020)</w:t>
      </w:r>
      <w:r w:rsidRPr="009E1737">
        <w:rPr>
          <w:rFonts w:ascii="Times New Roman" w:hAnsi="Times New Roman" w:cs="Times New Roman"/>
          <w:sz w:val="24"/>
          <w:szCs w:val="24"/>
        </w:rPr>
        <w:t>.</w:t>
      </w:r>
    </w:p>
    <w:p w:rsidR="00810C98" w:rsidRDefault="00553DAA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distrito de Miraflores, </w:t>
      </w:r>
      <w:r w:rsidR="00F14807" w:rsidRPr="009E1737">
        <w:rPr>
          <w:rFonts w:ascii="Times New Roman" w:hAnsi="Times New Roman" w:cs="Times New Roman"/>
          <w:sz w:val="24"/>
          <w:szCs w:val="24"/>
        </w:rPr>
        <w:t>nivel socioeconómico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807" w:rsidRPr="009E17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 posee una mayor población que el distrito de nivel socioeconómico D</w:t>
      </w:r>
      <w:r>
        <w:rPr>
          <w:rFonts w:ascii="Times New Roman" w:hAnsi="Times New Roman" w:cs="Times New Roman"/>
          <w:sz w:val="24"/>
          <w:szCs w:val="24"/>
        </w:rPr>
        <w:t>, Ancón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, </w:t>
      </w:r>
      <w:r w:rsidR="00F14807">
        <w:rPr>
          <w:rFonts w:ascii="Times New Roman" w:hAnsi="Times New Roman" w:cs="Times New Roman"/>
          <w:sz w:val="24"/>
          <w:szCs w:val="24"/>
        </w:rPr>
        <w:t>no obstante</w:t>
      </w:r>
      <w:r w:rsidR="00F14807" w:rsidRPr="009E1737">
        <w:rPr>
          <w:rFonts w:ascii="Times New Roman" w:hAnsi="Times New Roman" w:cs="Times New Roman"/>
          <w:sz w:val="24"/>
          <w:szCs w:val="24"/>
        </w:rPr>
        <w:t>,</w:t>
      </w:r>
      <w:r w:rsidR="00F14807">
        <w:rPr>
          <w:rFonts w:ascii="Times New Roman" w:hAnsi="Times New Roman" w:cs="Times New Roman"/>
          <w:sz w:val="24"/>
          <w:szCs w:val="24"/>
        </w:rPr>
        <w:t xml:space="preserve"> este último presenta un mayor número de habitantes 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con discapacidad. </w:t>
      </w:r>
      <w:r w:rsidR="00F14807">
        <w:rPr>
          <w:rFonts w:ascii="Times New Roman" w:hAnsi="Times New Roman" w:cs="Times New Roman"/>
          <w:sz w:val="24"/>
          <w:szCs w:val="24"/>
        </w:rPr>
        <w:t>Dicho de otra manera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, no se aplica la relación proporcional </w:t>
      </w:r>
      <w:r w:rsidR="00F14807">
        <w:rPr>
          <w:rFonts w:ascii="Times New Roman" w:hAnsi="Times New Roman" w:cs="Times New Roman"/>
          <w:sz w:val="24"/>
          <w:szCs w:val="24"/>
        </w:rPr>
        <w:t xml:space="preserve">entre la población y las personas con 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discapacidad. Se </w:t>
      </w:r>
      <w:r w:rsidR="00F14807">
        <w:rPr>
          <w:rFonts w:ascii="Times New Roman" w:hAnsi="Times New Roman" w:cs="Times New Roman"/>
          <w:sz w:val="24"/>
          <w:szCs w:val="24"/>
        </w:rPr>
        <w:t>sugiere una</w:t>
      </w:r>
      <w:r w:rsidR="00F14807" w:rsidRPr="009E1737">
        <w:rPr>
          <w:rFonts w:ascii="Times New Roman" w:hAnsi="Times New Roman" w:cs="Times New Roman"/>
          <w:sz w:val="24"/>
          <w:szCs w:val="24"/>
        </w:rPr>
        <w:t xml:space="preserve"> relación </w:t>
      </w:r>
      <w:r>
        <w:rPr>
          <w:rFonts w:ascii="Times New Roman" w:hAnsi="Times New Roman" w:cs="Times New Roman"/>
          <w:sz w:val="24"/>
          <w:szCs w:val="24"/>
        </w:rPr>
        <w:t xml:space="preserve">entre hallarse en la pobreza y presentar una </w:t>
      </w:r>
      <w:r w:rsidR="00F14807" w:rsidRPr="009E1737">
        <w:rPr>
          <w:rFonts w:ascii="Times New Roman" w:hAnsi="Times New Roman" w:cs="Times New Roman"/>
          <w:sz w:val="24"/>
          <w:szCs w:val="24"/>
        </w:rPr>
        <w:t>discapacidad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14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Igualmente, el distrito de San Juan de Miraflores se encuentra en el nivel socioeconómico E, en otras palabras, es el distrito más pobre del estudio, y a la vez </w:t>
      </w:r>
      <w:r w:rsidRPr="009E1737">
        <w:rPr>
          <w:rFonts w:ascii="Times New Roman" w:hAnsi="Times New Roman" w:cs="Times New Roman"/>
          <w:sz w:val="24"/>
          <w:szCs w:val="24"/>
        </w:rPr>
        <w:t>encabeza la presenc</w:t>
      </w:r>
      <w:r>
        <w:rPr>
          <w:rFonts w:ascii="Times New Roman" w:hAnsi="Times New Roman" w:cs="Times New Roman"/>
          <w:sz w:val="24"/>
          <w:szCs w:val="24"/>
        </w:rPr>
        <w:t xml:space="preserve">ia de personas con discapacidad. </w:t>
      </w:r>
    </w:p>
    <w:p w:rsidR="00553DAA" w:rsidRDefault="002540BE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cuestión es ¿por qué existe una relación entre pobreza y discapacidad? </w:t>
      </w:r>
      <w:r w:rsidR="00553DAA">
        <w:rPr>
          <w:rFonts w:ascii="Times New Roman" w:hAnsi="Times New Roman" w:cs="Times New Roman"/>
          <w:sz w:val="24"/>
          <w:szCs w:val="24"/>
        </w:rPr>
        <w:t>El número de personas con discapacidad se encuentra en aumento, a causa de factores ambientales, accidentes de tránsito, catástrofes naturales, malos hábitos alimenticios y el abuso de sustancias</w:t>
      </w:r>
      <w:r w:rsidR="005F7DFF">
        <w:rPr>
          <w:rFonts w:ascii="Times New Roman" w:hAnsi="Times New Roman" w:cs="Times New Roman"/>
          <w:sz w:val="24"/>
          <w:szCs w:val="24"/>
        </w:rPr>
        <w:t xml:space="preserve"> (Martínez, 2013; </w:t>
      </w:r>
      <w:proofErr w:type="spellStart"/>
      <w:r w:rsidR="005F7DFF">
        <w:rPr>
          <w:rFonts w:ascii="Times New Roman" w:hAnsi="Times New Roman" w:cs="Times New Roman"/>
          <w:sz w:val="24"/>
          <w:szCs w:val="24"/>
        </w:rPr>
        <w:t>Cutillas</w:t>
      </w:r>
      <w:proofErr w:type="spellEnd"/>
      <w:r w:rsidR="005F7DFF">
        <w:rPr>
          <w:rFonts w:ascii="Times New Roman" w:hAnsi="Times New Roman" w:cs="Times New Roman"/>
          <w:sz w:val="24"/>
          <w:szCs w:val="24"/>
        </w:rPr>
        <w:t>, 2017)</w:t>
      </w:r>
      <w:r w:rsidR="00553DAA">
        <w:rPr>
          <w:rFonts w:ascii="Times New Roman" w:hAnsi="Times New Roman" w:cs="Times New Roman"/>
          <w:sz w:val="24"/>
          <w:szCs w:val="24"/>
        </w:rPr>
        <w:t xml:space="preserve">. Estas situaciones tienden a ser características de </w:t>
      </w:r>
      <w:r>
        <w:rPr>
          <w:rFonts w:ascii="Times New Roman" w:hAnsi="Times New Roman" w:cs="Times New Roman"/>
          <w:sz w:val="24"/>
          <w:szCs w:val="24"/>
        </w:rPr>
        <w:t xml:space="preserve">entornos </w:t>
      </w:r>
      <w:r w:rsidR="00553DAA">
        <w:rPr>
          <w:rFonts w:ascii="Times New Roman" w:hAnsi="Times New Roman" w:cs="Times New Roman"/>
          <w:sz w:val="24"/>
          <w:szCs w:val="24"/>
        </w:rPr>
        <w:t>en situación de pobreza, en pocas palabras, cuando una persona es pobre se encuen</w:t>
      </w:r>
      <w:r>
        <w:rPr>
          <w:rFonts w:ascii="Times New Roman" w:hAnsi="Times New Roman" w:cs="Times New Roman"/>
          <w:sz w:val="24"/>
          <w:szCs w:val="24"/>
        </w:rPr>
        <w:t>tra expuesta a circunstancias que posibilitan la presencia de una discapacidad, de forma genética, ambiental, accidental, etc. Resumiendo, e</w:t>
      </w:r>
      <w:r w:rsidR="00BB43F1" w:rsidRPr="009E1737">
        <w:rPr>
          <w:rFonts w:ascii="Times New Roman" w:hAnsi="Times New Roman" w:cs="Times New Roman"/>
          <w:sz w:val="24"/>
          <w:szCs w:val="24"/>
        </w:rPr>
        <w:t xml:space="preserve">xiste una relación directa entre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BB43F1" w:rsidRPr="009E1737">
        <w:rPr>
          <w:rFonts w:ascii="Times New Roman" w:hAnsi="Times New Roman" w:cs="Times New Roman"/>
          <w:sz w:val="24"/>
          <w:szCs w:val="24"/>
        </w:rPr>
        <w:t xml:space="preserve">pobreza y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BB43F1" w:rsidRPr="009E1737">
        <w:rPr>
          <w:rFonts w:ascii="Times New Roman" w:hAnsi="Times New Roman" w:cs="Times New Roman"/>
          <w:sz w:val="24"/>
          <w:szCs w:val="24"/>
        </w:rPr>
        <w:t xml:space="preserve"> discapacidad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DAA" w:rsidRPr="009E1737" w:rsidRDefault="00DC09BE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que viven en una ciudad, urbanita, poseen una personalidad moderna, capitalista, indiferente y reservada, a causa de que se ha adecuado a las exigencias de la ciudad</w:t>
      </w:r>
      <w:r w:rsidR="009A50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5013">
        <w:rPr>
          <w:rFonts w:ascii="Times New Roman" w:hAnsi="Times New Roman" w:cs="Times New Roman"/>
          <w:sz w:val="24"/>
          <w:szCs w:val="24"/>
        </w:rPr>
        <w:t>Simmel</w:t>
      </w:r>
      <w:proofErr w:type="spellEnd"/>
      <w:r w:rsidR="009A5013">
        <w:rPr>
          <w:rFonts w:ascii="Times New Roman" w:hAnsi="Times New Roman" w:cs="Times New Roman"/>
          <w:sz w:val="24"/>
          <w:szCs w:val="24"/>
        </w:rPr>
        <w:t>, 2005)</w:t>
      </w:r>
      <w:r>
        <w:rPr>
          <w:rFonts w:ascii="Times New Roman" w:hAnsi="Times New Roman" w:cs="Times New Roman"/>
          <w:sz w:val="24"/>
          <w:szCs w:val="24"/>
        </w:rPr>
        <w:t xml:space="preserve">. Y quienes no puedan proveer una utilidad a su día a día no es parte de su </w:t>
      </w:r>
      <w:r w:rsidR="0057759F">
        <w:rPr>
          <w:rFonts w:ascii="Times New Roman" w:hAnsi="Times New Roman" w:cs="Times New Roman"/>
          <w:sz w:val="24"/>
          <w:szCs w:val="24"/>
        </w:rPr>
        <w:t xml:space="preserve">entorno social, son segregados. </w:t>
      </w:r>
      <w:r w:rsidR="000E4C5E">
        <w:rPr>
          <w:rFonts w:ascii="Times New Roman" w:hAnsi="Times New Roman" w:cs="Times New Roman"/>
          <w:sz w:val="24"/>
          <w:szCs w:val="24"/>
        </w:rPr>
        <w:t>En la ciudad, la</w:t>
      </w:r>
      <w:r>
        <w:rPr>
          <w:rFonts w:ascii="Times New Roman" w:hAnsi="Times New Roman" w:cs="Times New Roman"/>
          <w:sz w:val="24"/>
          <w:szCs w:val="24"/>
        </w:rPr>
        <w:t xml:space="preserve"> segregación social se aplica tanto </w:t>
      </w:r>
      <w:r w:rsidR="000E4C5E">
        <w:rPr>
          <w:rFonts w:ascii="Times New Roman" w:hAnsi="Times New Roman" w:cs="Times New Roman"/>
          <w:sz w:val="24"/>
          <w:szCs w:val="24"/>
        </w:rPr>
        <w:t>a las personas que se encuentran en situación de pobreza como</w:t>
      </w:r>
      <w:r>
        <w:rPr>
          <w:rFonts w:ascii="Times New Roman" w:hAnsi="Times New Roman" w:cs="Times New Roman"/>
          <w:sz w:val="24"/>
          <w:szCs w:val="24"/>
        </w:rPr>
        <w:t xml:space="preserve"> a la</w:t>
      </w:r>
      <w:r w:rsidR="000E4C5E">
        <w:rPr>
          <w:rFonts w:ascii="Times New Roman" w:hAnsi="Times New Roman" w:cs="Times New Roman"/>
          <w:sz w:val="24"/>
          <w:szCs w:val="24"/>
        </w:rPr>
        <w:t>s personas con discapacidad, se puede inferir que una persona con discapacidad en situación de pobreza es doblemente marginada, por poseer características que no encajan con la noción de la urbe.</w:t>
      </w:r>
      <w:bookmarkStart w:id="0" w:name="_GoBack"/>
      <w:bookmarkEnd w:id="0"/>
    </w:p>
    <w:p w:rsidR="008B3571" w:rsidRDefault="008A1138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importante</w:t>
      </w:r>
      <w:r w:rsidR="008D4EAB">
        <w:rPr>
          <w:rFonts w:ascii="Times New Roman" w:hAnsi="Times New Roman" w:cs="Times New Roman"/>
          <w:sz w:val="24"/>
          <w:szCs w:val="24"/>
        </w:rPr>
        <w:t xml:space="preserve"> estudiar a fututo los patrones</w:t>
      </w:r>
      <w:r>
        <w:rPr>
          <w:rFonts w:ascii="Times New Roman" w:hAnsi="Times New Roman" w:cs="Times New Roman"/>
          <w:sz w:val="24"/>
          <w:szCs w:val="24"/>
        </w:rPr>
        <w:t xml:space="preserve"> de discapacidad</w:t>
      </w:r>
      <w:r w:rsidR="00730E0C">
        <w:rPr>
          <w:rFonts w:ascii="Times New Roman" w:hAnsi="Times New Roman" w:cs="Times New Roman"/>
          <w:sz w:val="24"/>
          <w:szCs w:val="24"/>
        </w:rPr>
        <w:t>, puesto</w:t>
      </w:r>
      <w:r>
        <w:rPr>
          <w:rFonts w:ascii="Times New Roman" w:hAnsi="Times New Roman" w:cs="Times New Roman"/>
          <w:sz w:val="24"/>
          <w:szCs w:val="24"/>
        </w:rPr>
        <w:t xml:space="preserve"> que contribuyen a conocer la realidad que depara a la sociedad, si se emplea de forma consciente y aplicada </w:t>
      </w:r>
      <w:r>
        <w:rPr>
          <w:rFonts w:ascii="Times New Roman" w:hAnsi="Times New Roman" w:cs="Times New Roman"/>
          <w:sz w:val="24"/>
          <w:szCs w:val="24"/>
        </w:rPr>
        <w:lastRenderedPageBreak/>
        <w:t>los resultados obtenidos</w:t>
      </w:r>
      <w:r w:rsidR="00730E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tal vez se podría lograr </w:t>
      </w:r>
      <w:r w:rsidR="008B3571">
        <w:rPr>
          <w:rFonts w:ascii="Times New Roman" w:hAnsi="Times New Roman" w:cs="Times New Roman"/>
          <w:sz w:val="24"/>
          <w:szCs w:val="24"/>
        </w:rPr>
        <w:t xml:space="preserve">desarrollar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8B3571">
        <w:rPr>
          <w:rFonts w:ascii="Times New Roman" w:hAnsi="Times New Roman" w:cs="Times New Roman"/>
          <w:sz w:val="24"/>
          <w:szCs w:val="24"/>
        </w:rPr>
        <w:t xml:space="preserve">a conciencia social. </w:t>
      </w:r>
      <w:r>
        <w:rPr>
          <w:rFonts w:ascii="Times New Roman" w:hAnsi="Times New Roman" w:cs="Times New Roman"/>
          <w:sz w:val="24"/>
          <w:szCs w:val="24"/>
        </w:rPr>
        <w:t xml:space="preserve">Conocer nuestro entorno hace que uno se cuestione las acciones, los proyectos, las políticas, la realidad que se </w:t>
      </w:r>
      <w:r w:rsidR="008B3571">
        <w:rPr>
          <w:rFonts w:ascii="Times New Roman" w:hAnsi="Times New Roman" w:cs="Times New Roman"/>
          <w:sz w:val="24"/>
          <w:szCs w:val="24"/>
        </w:rPr>
        <w:t>percibe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3571">
        <w:rPr>
          <w:rFonts w:ascii="Times New Roman" w:hAnsi="Times New Roman" w:cs="Times New Roman"/>
          <w:sz w:val="24"/>
          <w:szCs w:val="24"/>
        </w:rPr>
        <w:t xml:space="preserve">La población con discapacidad no es ajena a nosotros, de una manera u otra nos encontramos ligados, y podemos optar por contribuir a la inclusión o fomentar la segregación. </w:t>
      </w:r>
    </w:p>
    <w:p w:rsidR="00283FAD" w:rsidRPr="009E1737" w:rsidRDefault="00283FAD" w:rsidP="00CA6DB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E1737">
        <w:rPr>
          <w:rFonts w:ascii="Times New Roman" w:hAnsi="Times New Roman" w:cs="Times New Roman"/>
          <w:sz w:val="24"/>
          <w:szCs w:val="24"/>
        </w:rPr>
        <w:t xml:space="preserve">Una inclusión verdadera requiere que se considere la discapacidad de forma transversal </w:t>
      </w:r>
      <w:r w:rsidR="008D4EAB">
        <w:rPr>
          <w:rFonts w:ascii="Times New Roman" w:hAnsi="Times New Roman" w:cs="Times New Roman"/>
          <w:sz w:val="24"/>
          <w:szCs w:val="24"/>
        </w:rPr>
        <w:t>desde el momento en el que se plantean la</w:t>
      </w:r>
      <w:r w:rsidRPr="009E1737">
        <w:rPr>
          <w:rFonts w:ascii="Times New Roman" w:hAnsi="Times New Roman" w:cs="Times New Roman"/>
          <w:sz w:val="24"/>
          <w:szCs w:val="24"/>
        </w:rPr>
        <w:t xml:space="preserve"> legislación, </w:t>
      </w:r>
      <w:r w:rsidR="00F154F5" w:rsidRPr="009E1737">
        <w:rPr>
          <w:rFonts w:ascii="Times New Roman" w:hAnsi="Times New Roman" w:cs="Times New Roman"/>
          <w:sz w:val="24"/>
          <w:szCs w:val="24"/>
        </w:rPr>
        <w:t xml:space="preserve">la construcción de proyectos urbanos, </w:t>
      </w:r>
      <w:r w:rsidRPr="009E1737">
        <w:rPr>
          <w:rFonts w:ascii="Times New Roman" w:hAnsi="Times New Roman" w:cs="Times New Roman"/>
          <w:sz w:val="24"/>
          <w:szCs w:val="24"/>
        </w:rPr>
        <w:t xml:space="preserve">el desarrollo de políticas </w:t>
      </w:r>
      <w:r w:rsidR="00F154F5" w:rsidRPr="009E1737">
        <w:rPr>
          <w:rFonts w:ascii="Times New Roman" w:hAnsi="Times New Roman" w:cs="Times New Roman"/>
          <w:sz w:val="24"/>
          <w:szCs w:val="24"/>
        </w:rPr>
        <w:t>y programas</w:t>
      </w:r>
      <w:r w:rsidR="008D4EAB">
        <w:rPr>
          <w:rFonts w:ascii="Times New Roman" w:hAnsi="Times New Roman" w:cs="Times New Roman"/>
          <w:sz w:val="24"/>
          <w:szCs w:val="24"/>
        </w:rPr>
        <w:t>,</w:t>
      </w:r>
      <w:r w:rsidR="00F154F5" w:rsidRPr="009E1737">
        <w:rPr>
          <w:rFonts w:ascii="Times New Roman" w:hAnsi="Times New Roman" w:cs="Times New Roman"/>
          <w:sz w:val="24"/>
          <w:szCs w:val="24"/>
        </w:rPr>
        <w:t xml:space="preserve"> fomentando así la participación de las personas con discapacidad desde el inicio del proceso. </w:t>
      </w:r>
    </w:p>
    <w:p w:rsidR="00FA0C29" w:rsidRPr="009E1737" w:rsidRDefault="00FA0C29">
      <w:pPr>
        <w:rPr>
          <w:rFonts w:ascii="Times New Roman" w:hAnsi="Times New Roman" w:cs="Times New Roman"/>
          <w:sz w:val="24"/>
          <w:szCs w:val="24"/>
        </w:rPr>
      </w:pPr>
    </w:p>
    <w:p w:rsidR="00FA0C29" w:rsidRPr="000E4C5E" w:rsidRDefault="00FA0C29">
      <w:pPr>
        <w:rPr>
          <w:rFonts w:ascii="Times New Roman" w:hAnsi="Times New Roman" w:cs="Times New Roman"/>
          <w:b/>
          <w:sz w:val="24"/>
          <w:szCs w:val="24"/>
        </w:rPr>
      </w:pPr>
      <w:r w:rsidRPr="000E4C5E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FA0C29" w:rsidRPr="000E4C5E" w:rsidRDefault="00A979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Comisión Económica para América </w:t>
      </w:r>
      <w:r w:rsidR="000E4C5E"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Latina y el Caribe [CEPAL]. 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Las personas con discapacidad en América Latina: el reconocimiento jurídico a la desigualdad real.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Pr="000E4C5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https://repositorio.cepal.org/bitstream/handle/11362/7135/1/S1100074_es.pdf</w:t>
        </w:r>
      </w:hyperlink>
    </w:p>
    <w:p w:rsidR="00F0759D" w:rsidRPr="000E4C5E" w:rsidRDefault="00F0759D" w:rsidP="009A7D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Córdova, P. (2008). Discapacidad y exclusión social: propuesta teórica de vinculación paradigmática. </w:t>
      </w:r>
      <w:r w:rsidR="00CF27D9"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TAREAS,</w:t>
      </w:r>
      <w:r w:rsidR="00CF27D9"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(129), 81-104. </w:t>
      </w:r>
      <w:r w:rsidR="00CF27D9" w:rsidRPr="000E4C5E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http://biblioteca.clacso.edu.ar/Panama/cela/20120717104229/discapacidad.pdf</w:t>
      </w:r>
    </w:p>
    <w:p w:rsidR="009A7DE4" w:rsidRPr="009E1737" w:rsidRDefault="009A7DE4" w:rsidP="009A7D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Cutillas</w:t>
      </w:r>
      <w:proofErr w:type="spellEnd"/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E. (2017). Distribución mundial de la población con discapacidades en relación con los patrones geográficos del desarrollo humano. </w:t>
      </w:r>
      <w:proofErr w:type="spellStart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Documents</w:t>
      </w:r>
      <w:proofErr w:type="spellEnd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d’Anàlisi</w:t>
      </w:r>
      <w:proofErr w:type="spellEnd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Geogràfica</w:t>
      </w:r>
      <w:proofErr w:type="spellEnd"/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63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(1), 29-53. https://ddd.uab.cat/pub/dag/dag_a2017m1-4v63n1/dag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_a2017v63n1p29.pdf</w:t>
      </w:r>
    </w:p>
    <w:p w:rsidR="00A979FE" w:rsidRPr="009E1737" w:rsidRDefault="00A979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Goffman</w:t>
      </w:r>
      <w:proofErr w:type="spellEnd"/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E. (1963). </w:t>
      </w:r>
      <w:r w:rsidRPr="009E17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Estigma: la identidad deteriorada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Amorrortu</w:t>
      </w:r>
      <w:proofErr w:type="spellEnd"/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Editores. </w:t>
      </w:r>
    </w:p>
    <w:p w:rsidR="00FA0C29" w:rsidRPr="000E4C5E" w:rsidRDefault="00FA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nstituto 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acional de 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stadística e 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nformática</w:t>
      </w:r>
      <w:r w:rsid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[INEI</w:t>
      </w:r>
      <w:r w:rsidR="000E4C5E"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(2020). </w:t>
      </w:r>
      <w:r w:rsidRPr="009E17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Planos estratificados de Lima Metropol</w:t>
      </w:r>
      <w:r w:rsidR="00166040" w:rsidRPr="009E17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itana a Nivel de Manzanas 2020.</w:t>
      </w:r>
      <w:r w:rsidR="00166040"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166040" w:rsidRPr="000E4C5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https://www.inei.gob.pe/media/MenuRecursivo/publicaciones_digitales/Est/Lib1744/libro.pdf</w:t>
        </w:r>
      </w:hyperlink>
    </w:p>
    <w:p w:rsidR="001E4229" w:rsidRPr="000E4C5E" w:rsidRDefault="001E42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Lezama J. (1991). La escuela culturalista como crítica de la sociedad urbana.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Estudios Demográficos y Urbanos, 6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(2), 225-259. </w:t>
      </w:r>
      <w:hyperlink r:id="rId8" w:history="1">
        <w:r w:rsidRPr="000E4C5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https://doi.org/10.24201/edu.v6i2.809</w:t>
        </w:r>
      </w:hyperlink>
    </w:p>
    <w:p w:rsidR="002C399A" w:rsidRPr="000E4C5E" w:rsidRDefault="00166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Lezama, J. (2002).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Teoría Social, espacio y ciudad.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4229"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Colegio de México. </w:t>
      </w:r>
    </w:p>
    <w:p w:rsidR="002C399A" w:rsidRPr="000E4C5E" w:rsidRDefault="002C39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Martínez, B. (2013). Pobreza, discapacidad y derechos humanos.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Revista Española de Discapacidad, 1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9-32. </w:t>
      </w:r>
      <w:hyperlink r:id="rId9" w:history="1">
        <w:r w:rsidRPr="000E4C5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https://doi.org/10.5569/33</w:t>
        </w:r>
      </w:hyperlink>
    </w:p>
    <w:p w:rsidR="000E4C5E" w:rsidRPr="000E4C5E" w:rsidRDefault="000E4C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Ministerio de la Mujer y Poblaciones Vulnerables [MIMP]. (2022, 9 de diciembre). Registro nacional de personas con discapacidad. https://www.mimp.gob.pe/omep/estadisticas-btn-pcd.php</w:t>
      </w:r>
    </w:p>
    <w:p w:rsidR="00283FAD" w:rsidRPr="000E4C5E" w:rsidRDefault="00283F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Organización Mundial de Salud</w:t>
      </w:r>
      <w:r w:rsidR="000E4C5E"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[OMS]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(2011).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Informe mundial sobre la discapacidad.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https://www.afro.who.int/sites/default/files/2017-06/9789240688230_spa.pdf</w:t>
      </w:r>
    </w:p>
    <w:p w:rsidR="00700092" w:rsidRPr="000E4C5E" w:rsidRDefault="002C39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Ruiz-Tagle, J. (2016). La segregación y la integración en la sociología urbana: revisión de enfoques y aproximaciones críticas para las políticas públicas. </w:t>
      </w:r>
      <w:r w:rsidRPr="000E4C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Revista INVI, 31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(87), 9-57. </w:t>
      </w:r>
      <w:r w:rsidRPr="000E4C5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https://revistainvi.uchile.cl/index.php/INVI/article/view/62773</w:t>
      </w:r>
    </w:p>
    <w:p w:rsidR="00FA0C29" w:rsidRPr="009E1737" w:rsidRDefault="00FA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Simmel</w:t>
      </w:r>
      <w:proofErr w:type="spellEnd"/>
      <w:r w:rsidRPr="000E4C5E">
        <w:rPr>
          <w:rFonts w:ascii="Times New Roman" w:hAnsi="Times New Roman" w:cs="Times New Roman"/>
          <w:color w:val="000000" w:themeColor="text1"/>
          <w:sz w:val="24"/>
          <w:szCs w:val="24"/>
        </w:rPr>
        <w:t>, G. (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2005). La metrópolis y la vida mental. </w:t>
      </w:r>
      <w:r w:rsidRPr="009E17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Revista Discusión, </w:t>
      </w:r>
      <w:r w:rsidRPr="009E1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(4), 1-10. </w:t>
      </w:r>
      <w:r w:rsidR="0057759F" w:rsidRPr="0057759F">
        <w:rPr>
          <w:rFonts w:ascii="Times New Roman" w:hAnsi="Times New Roman" w:cs="Times New Roman"/>
          <w:color w:val="000000" w:themeColor="text1"/>
          <w:sz w:val="24"/>
          <w:szCs w:val="24"/>
        </w:rPr>
        <w:t>http://www.bifurcaciones.cl/004/bifurcaciones_004_reserva.pdf</w:t>
      </w:r>
    </w:p>
    <w:p w:rsidR="00FA0C29" w:rsidRPr="009E1737" w:rsidRDefault="00FA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A0C29" w:rsidRPr="009E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075F"/>
    <w:multiLevelType w:val="hybridMultilevel"/>
    <w:tmpl w:val="E904DE4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CD"/>
    <w:rsid w:val="00002DC6"/>
    <w:rsid w:val="000E08DB"/>
    <w:rsid w:val="000E4C5E"/>
    <w:rsid w:val="000F0F31"/>
    <w:rsid w:val="00166040"/>
    <w:rsid w:val="001E4229"/>
    <w:rsid w:val="002540BE"/>
    <w:rsid w:val="00283FAD"/>
    <w:rsid w:val="002C399A"/>
    <w:rsid w:val="003263F8"/>
    <w:rsid w:val="00366C3A"/>
    <w:rsid w:val="003E70B4"/>
    <w:rsid w:val="0048488A"/>
    <w:rsid w:val="00497FCD"/>
    <w:rsid w:val="004A3E1C"/>
    <w:rsid w:val="005279BA"/>
    <w:rsid w:val="00553DAA"/>
    <w:rsid w:val="0057759F"/>
    <w:rsid w:val="005C4328"/>
    <w:rsid w:val="005F4DCF"/>
    <w:rsid w:val="005F7DFF"/>
    <w:rsid w:val="00662CBD"/>
    <w:rsid w:val="00700092"/>
    <w:rsid w:val="00730E0C"/>
    <w:rsid w:val="00765751"/>
    <w:rsid w:val="00792398"/>
    <w:rsid w:val="007D2790"/>
    <w:rsid w:val="00810C98"/>
    <w:rsid w:val="00867868"/>
    <w:rsid w:val="008A1138"/>
    <w:rsid w:val="008B3571"/>
    <w:rsid w:val="008D4EAB"/>
    <w:rsid w:val="008F77A7"/>
    <w:rsid w:val="00937BC0"/>
    <w:rsid w:val="009A5013"/>
    <w:rsid w:val="009A7DE4"/>
    <w:rsid w:val="009E0E79"/>
    <w:rsid w:val="009E1737"/>
    <w:rsid w:val="00A33BB9"/>
    <w:rsid w:val="00A458F0"/>
    <w:rsid w:val="00A679F7"/>
    <w:rsid w:val="00A979FE"/>
    <w:rsid w:val="00B47B0D"/>
    <w:rsid w:val="00B67E5B"/>
    <w:rsid w:val="00B93BB5"/>
    <w:rsid w:val="00BB43F1"/>
    <w:rsid w:val="00BC1509"/>
    <w:rsid w:val="00CA6DBD"/>
    <w:rsid w:val="00CD0A6B"/>
    <w:rsid w:val="00CF27D9"/>
    <w:rsid w:val="00DC09BE"/>
    <w:rsid w:val="00F0759D"/>
    <w:rsid w:val="00F14807"/>
    <w:rsid w:val="00F154F5"/>
    <w:rsid w:val="00F25106"/>
    <w:rsid w:val="00F5599D"/>
    <w:rsid w:val="00F92EA5"/>
    <w:rsid w:val="00FA0C29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17A9"/>
  <w15:chartTrackingRefBased/>
  <w15:docId w15:val="{1E41DC00-7F40-486F-B3F2-27BB4C8C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F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604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2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F4D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201/edu.v6i2.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ei.gob.pe/media/MenuRecursivo/publicaciones_digitales/Est/Lib1744/libr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cepal.org/bitstream/handle/11362/7135/1/S1100074_e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569/3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2023-04-07T19:30:00Z</dcterms:created>
  <dcterms:modified xsi:type="dcterms:W3CDTF">2023-04-07T19:30:00Z</dcterms:modified>
</cp:coreProperties>
</file>