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生のデータを見るだけでは分析したり理解したりするのが難しいデータに対して、その分析や理解のために可視化を行う研究はたくさん行われてきた</w:t>
      </w:r>
      <w:r>
        <w:t xml:space="preserve">(Gschwandtner and Erhart 2018; Bryan, Ma, and Woodring 2016)</w:t>
      </w:r>
      <w:r>
        <w:t xml:space="preserve">。</w:t>
      </w:r>
      <w:r>
        <w:t xml:space="preserve"> </w:t>
      </w:r>
      <w:r>
        <w:t xml:space="preserve">しかし可視化によるデータの分析や理解に慣れていないユーザ、可視化だけでは理解が難しいデータを解析したいユーザがいるのため、データの分析や理解のために必ずしも可視化で満足させれるわけではない。</w:t>
      </w:r>
      <w:r>
        <w:t xml:space="preserve"> </w:t>
      </w:r>
      <w:r>
        <w:t xml:space="preserve">そこで文章と可視化によってデータの説明をする</w:t>
      </w:r>
      <w:r>
        <w:rPr>
          <w:bCs/>
          <w:b/>
        </w:rPr>
        <w:t xml:space="preserve">説明的可視化</w:t>
      </w:r>
      <w:r>
        <w:t xml:space="preserve">が使用されてる</w:t>
      </w:r>
      <w:r>
        <w:t xml:space="preserve">(Hosokawa, Arimoto, and Wakita 2020; Latif and Beck 2019; Ynnerman, Löwgren, and Tibell 2018)</w:t>
      </w:r>
      <w:r>
        <w:t xml:space="preserve">。</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時系列データは必ずしも同様の事柄に対して一つのデータだけではなく複数のデータが存在することがある(新型コロナ感謝数の推移など)。</w:t>
      </w:r>
      <w:r>
        <w:t xml:space="preserve"> </w:t>
      </w:r>
      <w:r>
        <w:t xml:space="preserve">このような場合、時系列データは可視化による理解が困難になるため、説明的可視化を使ってデータの説明をするのが望ましい。</w:t>
      </w:r>
      <w:r>
        <w:t xml:space="preserve"> </w:t>
      </w:r>
      <w:r>
        <w:t xml:space="preserve">しかし今まで説明的可視化を使ってこのようなデータを説明する研究は行われてきていない。</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(以下SPIデータ)を例として、説明的可視化による時系列データの理解を手伝う手法を提案する。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時系列データについての説明的可視化を行う上で、今まで研究されてきた説明的可視化と時系列データに対する可視化をみていく。</w:t>
      </w:r>
    </w:p>
    <w:p>
      <w:pPr>
        <w:pStyle w:val="BodyText"/>
      </w:pPr>
      <w:r>
        <w:rPr>
          <w:bCs/>
          <w:b/>
        </w:rPr>
        <w:t xml:space="preserve">説明的可視化</w:t>
      </w:r>
      <w:r>
        <w:t xml:space="preserve"> </w:t>
      </w:r>
      <w:r>
        <w:t xml:space="preserve">Latifたちは</w:t>
      </w:r>
      <w:r>
        <w:t xml:space="preserve">(Latif and Beck 2019)</w:t>
      </w:r>
      <w:r>
        <w:t xml:space="preserve">、二つの地理統計変数を理解するためにiMRというシステムを開発し説明的可視化を行っている。</w:t>
      </w:r>
      <w:r>
        <w:t xml:space="preserve"> </w:t>
      </w:r>
      <w:r>
        <w:t xml:space="preserve">地図の領域の色やその領域の上にに描かれる円の大きさを使って二つの地理統計変数を可視化するとともに、それらのデータを解析して文章を自動生成している。</w:t>
      </w:r>
      <w:r>
        <w:t xml:space="preserve"> </w:t>
      </w:r>
      <w:r>
        <w:t xml:space="preserve">図は各州の年間の死亡者数、ハリケーンの発生数に対して実際にiMRのシステムを使用した例である。</w:t>
      </w:r>
      <w:r>
        <w:t xml:space="preserve"> </w:t>
      </w:r>
      <w:r>
        <w:t xml:space="preserve">生成されている文章には、死亡者数の平均値や最大値・最小値など、統計的なデータをはじめ、「南部の州が他の週より死亡者数やハリケーンの発生数が多い」などデータからは読みとりづらい情報も組み込まれている。</w:t>
      </w:r>
      <w:r>
        <w:t xml:space="preserve"> </w:t>
      </w:r>
      <w:r>
        <w:t xml:space="preserve">iMRでは文章生成を行うプロセスを自身で定義し、ユーザーの要望に合わせてパラメータを変更することで柔軟な文章を生成している。</w:t>
      </w:r>
      <w:r>
        <w:t xml:space="preserve"> </w:t>
      </w:r>
      <w:r>
        <w:t xml:space="preserve">本研究ではデータからは読み取りづらい情報を文章にしてユーザーに伝えるために、この論文の文章生成プロセスを参考に文章を生成するプロセスを定める。</w:t>
      </w:r>
    </w:p>
    <w:p>
      <w:pPr>
        <w:pStyle w:val="BodyText"/>
      </w:pPr>
      <w:r>
        <w:t xml:space="preserve">Hosokawaたちは</w:t>
      </w:r>
      <w:r>
        <w:t xml:space="preserve">(Hosokawa, Arimoto, and Wakita 2020)</w:t>
      </w:r>
      <w:r>
        <w:t xml:space="preserve">、多変数の地理的統計量に対して指標の階層構造や地域的な階層構造に着目して説明的可視化を行っている。</w:t>
      </w:r>
      <w:r>
        <w:t xml:space="preserve"> </w:t>
      </w:r>
      <w:r>
        <w:t xml:space="preserve">HosokawaたちはSPIデータを使用しているがある年についてのみ注目して、時系列ではない二つの階層構造が含まれるデータとしてSPIデータを扱っている。</w:t>
      </w:r>
      <w:r>
        <w:t xml:space="preserve"> </w:t>
      </w:r>
      <w:r>
        <w:t xml:space="preserve">本研究では時系列ということに注目してシステムを作る。</w:t>
      </w:r>
      <w:r>
        <w:t xml:space="preserve"> </w:t>
      </w:r>
      <w:r>
        <w:t xml:space="preserve">またHosokawaたちとはことなり、地理的階層構造についてのみに着目しており、SPIの指標の階層構造についての説明的可視化は行っていない。</w:t>
      </w:r>
    </w:p>
    <w:p>
      <w:pPr>
        <w:pStyle w:val="BodyText"/>
      </w:pPr>
      <w:r>
        <w:rPr>
          <w:bCs/>
          <w:b/>
        </w:rPr>
        <w:t xml:space="preserve">時系列データの可視化</w:t>
      </w:r>
      <w:r>
        <w:t xml:space="preserve"> </w:t>
      </w:r>
      <w:r>
        <w:t xml:space="preserve">時系列データの情報を伝えるために可視化を使った研究はいくつか存在しており</w:t>
      </w:r>
      <w:r>
        <w:t xml:space="preserve">(Bryan, Ma, and Woodring 2016)</w:t>
      </w:r>
      <w:r>
        <w:t xml:space="preserve">、その中でIllusrating Changes in Time-Series Data With Data</w:t>
      </w:r>
      <w:r>
        <w:t xml:space="preserve">(Lu et al. 2020)</w:t>
      </w:r>
      <w:r>
        <w:t xml:space="preserve">は、二つの地理統計変数データを二変数マップと動画を用いて可視化している。</w:t>
      </w:r>
      <w:r>
        <w:t xml:space="preserve"> </w:t>
      </w:r>
      <w:r>
        <w:t xml:space="preserve">図では横軸を収入、縦軸を平均寿命とした例で、ドットの動きによって過去100年で世界各国の収入や平均寿命がどのように変化していったかが分かるようになっている。</w:t>
      </w:r>
      <w:r>
        <w:t xml:space="preserve"> </w:t>
      </w:r>
      <w:r>
        <w:t xml:space="preserve">この研究では、時系列データを事前に解析し時系列データの変化の傾向が変化した期間を特定して、その期間を下のビューでユーザーに伝えている。</w:t>
      </w:r>
      <w:r>
        <w:t xml:space="preserve"> </w:t>
      </w:r>
      <w:r>
        <w:t xml:space="preserve">本研究ではこの研究を参考に、タイムステップ数が10と、データが少ない時系列データに対して傾向の変化があるタイミングを特定し、可視化と文章に傾向の変化の情報を取り入れる。</w:t>
      </w:r>
    </w:p>
    <w:bookmarkEnd w:id="23"/>
    <w:bookmarkStart w:id="27" w:name="システムの設計"/>
    <w:p>
      <w:pPr>
        <w:pStyle w:val="Heading1"/>
      </w:pPr>
      <w:r>
        <w:t xml:space="preserve">システムの設計</w:t>
      </w:r>
    </w:p>
    <w:p>
      <w:pPr>
        <w:pStyle w:val="FirstParagraph"/>
      </w:pPr>
      <w:r>
        <w:t xml:space="preserve">システム</w:t>
      </w:r>
    </w:p>
    <w:bookmarkStart w:id="24" w:name="文章生成"/>
    <w:p>
      <w:pPr>
        <w:pStyle w:val="Heading2"/>
      </w:pPr>
      <w:r>
        <w:t xml:space="preserve">文章生成</w:t>
      </w:r>
    </w:p>
    <w:bookmarkEnd w:id="24"/>
    <w:bookmarkStart w:id="25" w:name="折れ線グラフ"/>
    <w:p>
      <w:pPr>
        <w:pStyle w:val="Heading2"/>
      </w:pPr>
      <w:r>
        <w:t xml:space="preserve">折れ線グラフ</w:t>
      </w:r>
    </w:p>
    <w:bookmarkEnd w:id="25"/>
    <w:bookmarkStart w:id="26" w:name="インタラクション"/>
    <w:p>
      <w:pPr>
        <w:pStyle w:val="Heading2"/>
      </w:pPr>
      <w:r>
        <w:t xml:space="preserve">インタラクション</w:t>
      </w:r>
    </w:p>
    <w:bookmarkEnd w:id="26"/>
    <w:bookmarkEnd w:id="27"/>
    <w:bookmarkStart w:id="28" w:name="ユースケース"/>
    <w:p>
      <w:pPr>
        <w:pStyle w:val="Heading1"/>
      </w:pPr>
      <w:r>
        <w:t xml:space="preserve">ユースケース</w:t>
      </w:r>
    </w:p>
    <w:p>
      <w:pPr>
        <w:pStyle w:val="FirstParagraph"/>
      </w:pPr>
      <w:r>
        <w:t xml:space="preserve">ユースケース</w:t>
      </w:r>
    </w:p>
    <w:bookmarkEnd w:id="28"/>
    <w:bookmarkStart w:id="29" w:name="考察"/>
    <w:p>
      <w:pPr>
        <w:pStyle w:val="Heading1"/>
      </w:pPr>
      <w:r>
        <w:t xml:space="preserve">考察</w:t>
      </w:r>
    </w:p>
    <w:p>
      <w:pPr>
        <w:pStyle w:val="FirstParagraph"/>
      </w:pPr>
      <w:r>
        <w:t xml:space="preserve">考察</w:t>
      </w:r>
    </w:p>
    <w:bookmarkEnd w:id="29"/>
    <w:bookmarkStart w:id="31" w:name="まとめ"/>
    <w:p>
      <w:pPr>
        <w:pStyle w:val="Heading1"/>
      </w:pPr>
      <w:r>
        <w:t xml:space="preserve">まとめ</w:t>
      </w:r>
    </w:p>
    <w:p>
      <w:pPr>
        <w:pStyle w:val="FirstParagraph"/>
      </w:pPr>
      <w:r>
        <w:t xml:space="preserve">まとめ</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3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30"/>
    <w:bookmarkEnd w:id="31"/>
    <w:bookmarkStart w:id="32" w:name="序-論"/>
    <w:p>
      <w:pPr>
        <w:pStyle w:val="Heading1"/>
      </w:pPr>
      <w:r>
        <w:t xml:space="preserve">序　論</w:t>
      </w:r>
    </w:p>
    <w:p>
      <w:pPr>
        <w:pStyle w:val="FirstParagraph"/>
      </w:pPr>
      <w:r>
        <w:t xml:space="preserve">本原稿は，可視化情報シンポジウムの原稿テンプレートです．原稿執筆にはこのテンプレートをご使用ください．原稿サイズはA4版とし，ページ数は任意ですがファイルサイズは5MB以下としてください．ページ余白は，上25mm，左20mm，右20mm，下20mmとし，ヘッダーおよびフッダーは入れず，表題は3行目から始めてください．</w:t>
      </w:r>
    </w:p>
    <w:bookmarkEnd w:id="32"/>
    <w:bookmarkStart w:id="35" w:name="文字及び改行"/>
    <w:p>
      <w:pPr>
        <w:pStyle w:val="Heading1"/>
      </w:pPr>
      <w:r>
        <w:t xml:space="preserve">文字及び改行</w:t>
      </w:r>
    </w:p>
    <w:bookmarkStart w:id="33" w:name="文字の大きさと改行"/>
    <w:p>
      <w:pPr>
        <w:pStyle w:val="Heading2"/>
      </w:pPr>
      <w:r>
        <w:t xml:space="preserve">文字の大きさと改行</w:t>
      </w:r>
    </w:p>
    <w:p>
      <w:pPr>
        <w:pStyle w:val="FirstParagraph"/>
      </w:pPr>
      <w:r>
        <w:t xml:space="preserve">使用言語は日本語または英語とします．和文原稿の場合，題目，著者名，所属を和文で書き，続けて題目，著者名の英文名を記入してください．英文原稿の場合，題目，著者名の英文名を記入してください．なお，</w:t>
      </w:r>
      <w:r>
        <w:rPr>
          <w:u w:val="single"/>
        </w:rPr>
        <w:t xml:space="preserve">和題・英題は講演申込時と同じであることが必要です</w:t>
      </w:r>
      <w:r>
        <w:t xml:space="preserve"> </w:t>
      </w:r>
      <w:r>
        <w:t xml:space="preserve">(異なる場合，プログラムや講演論文集の目次には講演申込時の題目が使用されます)．</w:t>
      </w:r>
    </w:p>
    <w:p>
      <w:pPr>
        <w:pStyle w:val="BodyText"/>
      </w:pPr>
      <w:r>
        <w:t xml:space="preserve">著者名は11pt，1行に36字以内で右寄せとし，これを越える場合は改行してください．本文は9ptの2段組みとし，片側25字×50行，段間は10mmを基準としてください．章間の行間は2行分</w:t>
      </w:r>
      <w:r>
        <w:t xml:space="preserve"> </w:t>
      </w:r>
      <w:r>
        <w:t xml:space="preserve">(ダブルスペース)</w:t>
      </w:r>
      <w:r>
        <w:t xml:space="preserve"> </w:t>
      </w:r>
      <w:r>
        <w:t xml:space="preserve">とし，その中央に章名を10ptで記し，節間は行を空けないようにしてください．</w:t>
      </w:r>
    </w:p>
    <w:bookmarkEnd w:id="33"/>
    <w:bookmarkStart w:id="34" w:name="字-体"/>
    <w:p>
      <w:pPr>
        <w:pStyle w:val="Heading2"/>
      </w:pPr>
      <w:r>
        <w:t xml:space="preserve">字　体</w:t>
      </w:r>
    </w:p>
    <w:p>
      <w:pPr>
        <w:pStyle w:val="FirstParagraph"/>
      </w:pPr>
      <w:r>
        <w:t xml:space="preserve">題名，章・節名はゴシック体，本文は明朝体，英文題名，著者名はTimes New</w:t>
      </w:r>
      <w:r>
        <w:t xml:space="preserve"> </w:t>
      </w:r>
      <w:r>
        <w:t xml:space="preserve">Roman, 本文中の英文はCenturyとします.参考文献</w:t>
      </w:r>
      <w:r>
        <w:rPr>
          <w:vertAlign w:val="superscript"/>
        </w:rPr>
        <w:t xml:space="preserve">1)</w:t>
      </w:r>
      <w:r>
        <w:t xml:space="preserve"> </w:t>
      </w:r>
      <w:r>
        <w:t xml:space="preserve">は8ptで表記ください．</w:t>
      </w:r>
    </w:p>
    <w:p>
      <w:pPr>
        <w:numPr>
          <w:ilvl w:val="0"/>
          <w:numId w:val="1001"/>
        </w:numPr>
      </w:pPr>
      <w:r>
        <w:rPr>
          <w:iCs/>
          <w:i/>
        </w:rPr>
        <w:t xml:space="preserve">強調</w:t>
      </w:r>
    </w:p>
    <w:p>
      <w:pPr>
        <w:numPr>
          <w:ilvl w:val="0"/>
          <w:numId w:val="1001"/>
        </w:numPr>
      </w:pPr>
      <w:r>
        <w:rPr>
          <w:bCs/>
          <w:b/>
        </w:rPr>
        <w:t xml:space="preserve">とても強調</w:t>
      </w:r>
    </w:p>
    <w:bookmarkEnd w:id="34"/>
    <w:bookmarkEnd w:id="35"/>
    <w:bookmarkStart w:id="37" w:name="図-表"/>
    <w:p>
      <w:pPr>
        <w:pStyle w:val="Heading1"/>
      </w:pPr>
      <w:r>
        <w:t xml:space="preserve">図　表</w:t>
      </w:r>
    </w:p>
    <w:p>
      <w:pPr>
        <w:pStyle w:val="FirstParagraph"/>
      </w:pPr>
      <w:r>
        <w:t xml:space="preserve">本文中の図表の表記には，下記Fig.1と Table</w:t>
      </w:r>
      <w:r>
        <w:t xml:space="preserve"> </w:t>
      </w:r>
      <w:r>
        <w:t xml:space="preserve">1のように，図表には通し番号をふり，図表番号はゴシック体，図表題はCenturyで書きます．キャプションは表の場合は上部に，図の場合は下部に記し，説明文は英文で表記してください．</w:t>
      </w:r>
    </w:p>
    <w:p>
      <w:pPr>
        <w:pStyle w:val="TableCaption"/>
      </w:pPr>
      <w:r>
        <w:t xml:space="preserve">Table 1: Sample of table</w:t>
      </w:r>
    </w:p>
    <w:tbl>
      <w:tblPr>
        <w:tblStyle w:val="Table"/>
        <w:tblW w:type="auto" w:w="0"/>
        <w:tblLook w:firstRow="1" w:lastRow="0" w:firstColumn="0" w:lastColumn="0" w:noHBand="0" w:noVBand="0" w:val="0020"/>
        <w:tblCaption w:val="Table 1: Sample of table"/>
      </w:tblPr>
      <w:tblGrid>
        <w:gridCol w:w="3960"/>
        <w:gridCol w:w="3960"/>
      </w:tblGrid>
      <w:tr>
        <w:trPr>
          <w:tblHeader w:val="true"/>
        </w:trPr>
        <w:tc>
          <w:tcPr/>
          <w:p>
            <w:pPr>
              <w:pStyle w:val="Compact"/>
              <w:jc w:val="left"/>
            </w:pPr>
            <w:r>
              <w:t xml:space="preserve">Table</w:t>
            </w:r>
          </w:p>
        </w:tc>
        <w:tc>
          <w:tcPr/>
          <w:p>
            <w:pPr>
              <w:pStyle w:val="Compact"/>
              <w:jc w:val="left"/>
            </w:pPr>
            <w:r>
              <w:t xml:space="preserve">Table</w:t>
            </w:r>
          </w:p>
        </w:tc>
      </w:tr>
      <w:tr>
        <w:tc>
          <w:tcPr/>
          <w:p>
            <w:pPr>
              <w:pStyle w:val="Compact"/>
              <w:jc w:val="left"/>
            </w:pPr>
            <w:r>
              <w:t xml:space="preserve">1</w:t>
            </w:r>
          </w:p>
        </w:tc>
        <w:tc>
          <w:tcPr/>
          <w:p>
            <w:pPr>
              <w:pStyle w:val="Compact"/>
              <w:jc w:val="left"/>
            </w:pPr>
            <w:r>
              <w:t xml:space="preserve">2</w:t>
            </w:r>
          </w:p>
        </w:tc>
      </w:tr>
    </w:tbl>
    <w:p>
      <w:pPr>
        <w:pStyle w:val="BodyText"/>
      </w:pPr>
      <w:r>
        <w:t xml:space="preserve">表 [Sample of table] を参照のこと。</w:t>
      </w:r>
    </w:p>
    <w:p>
      <w:pPr>
        <w:pStyle w:val="CaptionedFigure"/>
      </w:pPr>
      <w:r>
        <w:drawing>
          <wp:inline>
            <wp:extent cx="3810000" cy="2540000"/>
            <wp:effectExtent b="0" l="0" r="0" t="0"/>
            <wp:docPr descr="Figure 1: PacificVis PC meeting" title="" id="1" name="Picture"/>
            <a:graphic>
              <a:graphicData uri="http://schemas.openxmlformats.org/drawingml/2006/picture">
                <pic:pic>
                  <pic:nvPicPr>
                    <pic:cNvPr descr="md/pvis-party.jpg"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PacificVis PC meeting</w:t>
      </w:r>
    </w:p>
    <w:bookmarkEnd w:id="37"/>
    <w:bookmarkStart w:id="38" w:name="原稿提出"/>
    <w:p>
      <w:pPr>
        <w:pStyle w:val="Heading1"/>
      </w:pPr>
      <w:r>
        <w:t xml:space="preserve">原稿提出</w:t>
      </w:r>
    </w:p>
    <w:p>
      <w:pPr>
        <w:pStyle w:val="FirstParagraph"/>
      </w:pPr>
      <w:r>
        <w:t xml:space="preserve">本テンプレートで作成した講演原稿 (PDF形式) と，調査票</w:t>
      </w:r>
      <w:r>
        <w:t xml:space="preserve"> </w:t>
      </w:r>
      <w:r>
        <w:t xml:space="preserve">(PDF形式，必ず押印したものをお願いします)</w:t>
      </w:r>
      <w:r>
        <w:t xml:space="preserve"> </w:t>
      </w:r>
      <w:r>
        <w:t xml:space="preserve">をシンポジウムHPの案内に従って提出して下さい．</w:t>
      </w:r>
    </w:p>
    <w:bookmarkEnd w:id="38"/>
    <w:bookmarkStart w:id="39" w:name="数式"/>
    <w:p>
      <w:pPr>
        <w:pStyle w:val="Heading1"/>
      </w:pPr>
      <w:r>
        <w:t xml:space="preserve">数式</w:t>
      </w:r>
    </w:p>
    <w:p>
      <w:pPr>
        <w:pStyle w:val="FirstParagraph"/>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rPr>
          <w:rStyle w:val="VerbatimChar"/>
        </w:rPr>
        <w:t xml:space="preserve">macros.tex</w:t>
      </w:r>
      <w:r>
        <w:t xml:space="preserve"> </w:t>
      </w:r>
      <w:r>
        <w:t xml:space="preserve">に定義したようなTeXマクロにも対応しています。</w:t>
      </w:r>
    </w:p>
    <w:p>
      <w:pPr>
        <w:pStyle w:val="BodyText"/>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t xml:space="preserve">以上で定義した三つの指標がいずれも一定値以上出会った場合に限り，束化圧があるものと評価する．このことは閾値 (</w:t>
      </w:r>
      <m:oMath>
        <m:sSub>
          <m:e>
            <m:r>
              <m:t>θ</m:t>
            </m:r>
          </m:e>
          <m:sub>
            <m:r>
              <m:t>a</m:t>
            </m:r>
          </m:sub>
        </m:sSub>
        <m:r>
          <m:rPr>
            <m:sty m:val="p"/>
          </m:rPr>
          <m:t>,</m:t>
        </m:r>
        <m:sSub>
          <m:e>
            <m:r>
              <m:t>θ</m:t>
            </m:r>
          </m:e>
          <m:sub>
            <m:r>
              <m:t>l</m:t>
            </m:r>
          </m:sub>
        </m:sSub>
        <m:r>
          <m:rPr>
            <m:sty m:val="p"/>
          </m:rPr>
          <m:t>,</m:t>
        </m:r>
        <m:sSub>
          <m:e>
            <m:r>
              <m:t>θ</m:t>
            </m:r>
          </m:e>
          <m:sub>
            <m:r>
              <m:t>p</m:t>
            </m:r>
          </m:sub>
        </m:sSub>
      </m:oMath>
      <w:r>
        <w:t xml:space="preserve">) を用いて以下のように定式化される：</w:t>
      </w:r>
    </w:p>
    <w:p>
      <w:pPr>
        <w:pStyle w:val="BodyText"/>
      </w:pPr>
      <m:oMath>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oMath>
    </w:p>
    <w:p>
      <w:pPr>
        <w:pStyle w:val="BodyText"/>
      </w:pPr>
      <m:oMathPara>
        <m:oMathParaPr>
          <m:jc m:val="center"/>
        </m:oMathParaPr>
        <m:oMath>
          <m:r>
            <m:t>C</m:t>
          </m:r>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e>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a</m:t>
                        </m:r>
                      </m:sub>
                    </m:sSub>
                    <m:r>
                      <m:rPr>
                        <m:nor/>
                        <m:sty m:val="p"/>
                      </m:rPr>
                      <m:t> かつ </m:t>
                    </m:r>
                  </m:e>
                </m:mr>
                <m:mr>
                  <m:e/>
                  <m:e>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p</m:t>
                        </m:r>
                      </m:sub>
                    </m:sSub>
                    <m:r>
                      <m:rPr>
                        <m:nor/>
                        <m:sty m:val="p"/>
                      </m:rPr>
                      <m:t> かつ </m:t>
                    </m:r>
                  </m:e>
                </m:mr>
                <m:mr>
                  <m:e/>
                  <m:e>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l</m:t>
                        </m:r>
                      </m:sub>
                    </m:sSub>
                  </m:e>
                </m:mr>
                <m:mr>
                  <m:e>
                    <m:r>
                      <m:t>0</m:t>
                    </m:r>
                  </m:e>
                  <m:e>
                    <m:r>
                      <m:rPr>
                        <m:nor/>
                        <m:sty m:val="p"/>
                      </m:rPr>
                      <m:t>その他の場合</m:t>
                    </m:r>
                  </m:e>
                </m:mr>
              </m:m>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sSub>
                      <m:e>
                        <m:r>
                          <m:rPr>
                            <m:sty m:val="b"/>
                          </m:rPr>
                          <m:t>e</m:t>
                        </m:r>
                      </m:e>
                      <m:sub>
                        <m:r>
                          <m:t>i</m:t>
                        </m:r>
                      </m:sub>
                    </m:sSub>
                  </m:sub>
                </m:sSub>
                <m:r>
                  <m:rPr>
                    <m:sty m:val="p"/>
                  </m:rPr>
                  <m:t>=</m:t>
                </m:r>
              </m:e>
              <m:e>
                <m:r>
                  <m:rPr>
                    <m:sty m:val="p"/>
                  </m:rPr>
                  <m:t>−</m:t>
                </m:r>
                <m:nary>
                  <m:naryPr>
                    <m:chr m:val="∑"/>
                    <m:limLoc m:val="undOvr"/>
                    <m:subHide m:val="0"/>
                    <m:supHide m:val="1"/>
                  </m:naryPr>
                  <m:sub>
                    <m:r>
                      <m:rPr>
                        <m:sty m:val="b"/>
                      </m:rPr>
                      <m:t>e</m:t>
                    </m:r>
                    <m:sSub>
                      <m:e>
                        <m:r>
                          <m:rPr>
                            <m:sty m:val="p"/>
                          </m:rPr>
                          <m:t>′</m:t>
                        </m:r>
                      </m:e>
                      <m:sub>
                        <m:r>
                          <m:t>i</m:t>
                        </m:r>
                      </m:sub>
                    </m:sSub>
                    <m:r>
                      <m:rPr>
                        <m:sty m:val="p"/>
                      </m:rPr>
                      <m:t>≠</m:t>
                    </m:r>
                    <m:sSub>
                      <m:e>
                        <m:r>
                          <m:rPr>
                            <m:sty m:val="b"/>
                          </m:rPr>
                          <m:t>e</m:t>
                        </m:r>
                      </m:e>
                      <m:sub>
                        <m:r>
                          <m:t>i</m:t>
                        </m:r>
                      </m:sub>
                    </m:sSub>
                  </m:sub>
                  <m:sup>
                    <m:r>
                      <m:t>​</m:t>
                    </m:r>
                  </m:sup>
                  <m:e>
                    <m:r>
                      <m:t>C</m:t>
                    </m:r>
                  </m:e>
                </m:nary>
                <m:d>
                  <m:dPr>
                    <m:begChr m:val="("/>
                    <m:endChr m:val=")"/>
                    <m:sepChr m:val=""/>
                    <m:grow/>
                  </m:dPr>
                  <m:e>
                    <m:sSup>
                      <m:e>
                        <m:r>
                          <m:t>P</m:t>
                        </m:r>
                      </m:e>
                      <m:sup>
                        <m:r>
                          <m:rPr>
                            <m:sty m:val="p"/>
                          </m:rPr>
                          <m:t>−</m:t>
                        </m:r>
                        <m:r>
                          <m:t>1</m:t>
                        </m:r>
                      </m:sup>
                    </m:sSup>
                    <m:sSub>
                      <m:e>
                        <m:r>
                          <m:rPr>
                            <m:sty m:val="p"/>
                            <m:scr m:val="double-struck"/>
                          </m:rPr>
                          <m:t>e</m:t>
                        </m:r>
                      </m:e>
                      <m:sub>
                        <m:r>
                          <m:t>i</m:t>
                        </m:r>
                      </m:sub>
                    </m:sSub>
                    <m:r>
                      <m:rPr>
                        <m:sty m:val="p"/>
                      </m:rPr>
                      <m:t>,</m:t>
                    </m:r>
                    <m:sSup>
                      <m:e>
                        <m:r>
                          <m:t>P</m:t>
                        </m:r>
                      </m:e>
                      <m:sup>
                        <m:r>
                          <m:rPr>
                            <m:sty m:val="p"/>
                          </m:rPr>
                          <m:t>−</m:t>
                        </m:r>
                        <m:r>
                          <m:t>1</m:t>
                        </m:r>
                      </m:sup>
                    </m:sSup>
                    <m:r>
                      <m:rPr>
                        <m:sty m:val="p"/>
                        <m:scr m:val="double-struck"/>
                      </m:rPr>
                      <m:t>e</m:t>
                    </m:r>
                    <m:sSub>
                      <m:e>
                        <m:r>
                          <m:rPr>
                            <m:sty m:val="p"/>
                          </m:rPr>
                          <m:t>′</m:t>
                        </m:r>
                      </m:e>
                      <m:sub>
                        <m:r>
                          <m:t>i</m:t>
                        </m:r>
                      </m:sub>
                    </m:sSub>
                  </m:e>
                </m:d>
                <m:f>
                  <m:fPr>
                    <m:type m:val="bar"/>
                  </m:fPr>
                  <m:num>
                    <m:sSub>
                      <m:e>
                        <m:r>
                          <m:rPr>
                            <m:sty m:val="b"/>
                          </m:rPr>
                          <m:t>e</m:t>
                        </m:r>
                      </m:e>
                      <m:sub>
                        <m:r>
                          <m:t>i</m:t>
                        </m:r>
                      </m:sub>
                    </m:sSub>
                    <m:r>
                      <m:rPr>
                        <m:sty m:val="p"/>
                      </m:rPr>
                      <m:t>−</m:t>
                    </m:r>
                    <m:sSub>
                      <m:e>
                        <m:r>
                          <m:rPr>
                            <m:sty m:val="b"/>
                          </m:rPr>
                          <m:t>e</m:t>
                        </m:r>
                        <m:r>
                          <m:rPr>
                            <m:sty m:val="b"/>
                          </m:rPr>
                          <m:t>′</m:t>
                        </m:r>
                      </m:e>
                      <m:sub>
                        <m:r>
                          <m:t>i</m:t>
                        </m:r>
                      </m:sub>
                    </m:sSub>
                  </m:num>
                  <m:den>
                    <m:sSup>
                      <m:e>
                        <m:d>
                          <m:dPr>
                            <m:begChr m:val="("/>
                            <m:endChr m:val=")"/>
                            <m:sepChr m:val=""/>
                            <m:grow/>
                          </m:dPr>
                          <m:e>
                            <m:d>
                              <m:dPr>
                                <m:begChr m:val="|"/>
                                <m:endChr m:val="|"/>
                                <m:sepChr m:val=""/>
                                <m:grow/>
                              </m:dPr>
                              <m:e>
                                <m:sSub>
                                  <m:e>
                                    <m:r>
                                      <m:rPr>
                                        <m:sty m:val="b"/>
                                      </m:rPr>
                                      <m:t>e</m:t>
                                    </m:r>
                                  </m:e>
                                  <m:sub>
                                    <m:r>
                                      <m:t>i</m:t>
                                    </m:r>
                                  </m:sub>
                                </m:sSub>
                                <m:r>
                                  <m:rPr>
                                    <m:sty m:val="p"/>
                                  </m:rPr>
                                  <m:t>−</m:t>
                                </m:r>
                                <m:r>
                                  <m:rPr>
                                    <m:sty m:val="b"/>
                                  </m:rPr>
                                  <m:t>e</m:t>
                                </m:r>
                                <m:sSub>
                                  <m:e>
                                    <m:r>
                                      <m:rPr>
                                        <m:sty m:val="p"/>
                                      </m:rPr>
                                      <m:t>′</m:t>
                                    </m:r>
                                  </m:e>
                                  <m:sub>
                                    <m:r>
                                      <m:t>i</m:t>
                                    </m:r>
                                  </m:sub>
                                </m:sSub>
                              </m:e>
                            </m:d>
                            <m:r>
                              <m:rPr>
                                <m:sty m:val="p"/>
                              </m:rPr>
                              <m:t>+</m:t>
                            </m:r>
                            <m:r>
                              <m:t>α</m:t>
                            </m:r>
                          </m:e>
                        </m:d>
                      </m:e>
                      <m:sup>
                        <m:r>
                          <m:t>2</m:t>
                        </m:r>
                      </m:sup>
                    </m:sSup>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p>
                  <m:e>
                    <m:r>
                      <m:t>C</m:t>
                    </m:r>
                  </m:e>
                  <m:sup>
                    <m:r>
                      <m:rPr>
                        <m:nor/>
                        <m:sty m:val="p"/>
                      </m:rPr>
                      <m:t>High</m:t>
                    </m:r>
                  </m:sup>
                </m:sSup>
                <m:d>
                  <m:dPr>
                    <m:begChr m:val="("/>
                    <m:endChr m:val=")"/>
                    <m:sepChr m:val=""/>
                    <m:grow/>
                  </m:dPr>
                  <m:e>
                    <m:r>
                      <m:rPr>
                        <m:sty m:val="p"/>
                        <m:scr m:val="double-struck"/>
                      </m:rPr>
                      <m:t>x</m:t>
                    </m:r>
                    <m:r>
                      <m:rPr>
                        <m:sty m:val="p"/>
                      </m:rPr>
                      <m:t>,</m:t>
                    </m:r>
                    <m:r>
                      <m:rPr>
                        <m:sty m:val="p"/>
                        <m:scr m:val="double-struck"/>
                      </m:rPr>
                      <m:t>x</m:t>
                    </m:r>
                    <m:r>
                      <m:rPr>
                        <m:sty m:val="p"/>
                        <m:scr m:val="double-struck"/>
                      </m:rPr>
                      <m:t>′</m:t>
                    </m:r>
                  </m:e>
                </m:d>
              </m:e>
              <m:e>
                <m:r>
                  <m:rPr>
                    <m:sty m:val="p"/>
                  </m:rPr>
                  <m:t>=</m:t>
                </m:r>
              </m:e>
            </m:mr>
            <m:mr>
              <m:e/>
              <m:e>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e>
                        <m:e>
                          <m:r>
                            <m:rPr>
                              <m:nor/>
                              <m:sty m:val="p"/>
                            </m:rPr>
                            <m:t>※ 束化圧が高い場合</m:t>
                          </m:r>
                        </m:e>
                      </m:mr>
                      <m:mr>
                        <m:e>
                          <m:r>
                            <m:t>0</m:t>
                          </m:r>
                        </m:e>
                        <m:e>
                          <m:r>
                            <m:rPr>
                              <m:nor/>
                              <m:sty m:val="p"/>
                            </m:rPr>
                            <m:t>その他の場合</m:t>
                          </m:r>
                        </m:e>
                      </m:mr>
                    </m:m>
                  </m:e>
                </m:d>
              </m:e>
            </m:mr>
            <m:mr>
              <m:e>
                <m:r>
                  <m:rPr>
                    <m:nor/>
                    <m:sty m:val="p"/>
                  </m:rPr>
                  <m:t>ただし、※の条件は</m:t>
                </m:r>
              </m:e>
            </m:m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a</m:t>
                    </m:r>
                  </m:sub>
                </m:sSub>
                <m:r>
                  <m:rPr>
                    <m:nor/>
                    <m:sty m:val="p"/>
                  </m:rPr>
                  <m:t> &amp;</m:t>
                </m:r>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l</m:t>
                    </m:r>
                  </m:sub>
                </m:sSub>
                <m:r>
                  <m:rPr>
                    <m:nor/>
                    <m:sty m:val="p"/>
                  </m:rPr>
                  <m:t> &amp;</m:t>
                </m:r>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p</m:t>
                    </m:r>
                  </m:sub>
                </m:sSub>
              </m:e>
            </m:mr>
          </m:m>
        </m:oMath>
      </m:oMathPara>
    </w:p>
    <w:bookmarkEnd w:id="39"/>
    <w:bookmarkStart w:id="41" w:name="その他"/>
    <w:p>
      <w:pPr>
        <w:pStyle w:val="Heading1"/>
      </w:pPr>
      <w:r>
        <w:t xml:space="preserve">その他</w:t>
      </w:r>
    </w:p>
    <w:bookmarkStart w:id="40" w:name="文献の引用"/>
    <w:p>
      <w:pPr>
        <w:pStyle w:val="Heading2"/>
      </w:pPr>
      <w:r>
        <w:t xml:space="preserve">文献の引用</w:t>
      </w:r>
    </w:p>
    <w:p>
      <w:pPr>
        <w:pStyle w:val="FirstParagraph"/>
      </w:pPr>
      <w:r>
        <w:t xml:space="preserve">この例題では、</w:t>
      </w:r>
      <w:r>
        <w:rPr>
          <w:rStyle w:val="VerbatimChar"/>
        </w:rPr>
        <w:t xml:space="preserve">library.bib</w:t>
      </w:r>
      <w:r>
        <w:t xml:space="preserve"> </w:t>
      </w:r>
      <w:r>
        <w:t xml:space="preserve">文献データベースとし、文献引用のスタイルにシカゴスタイルを指定して文献リストと文献の引用をしている。</w:t>
      </w:r>
      <w:r>
        <w:rPr>
          <w:rStyle w:val="VerbatimChar"/>
        </w:rPr>
        <w:t xml:space="preserve">.csl</w:t>
      </w:r>
      <w:r>
        <w:t xml:space="preserve">ファイルを別のものに指定すれば、他の引用形式にも対応できる。文献の引用方法は LaTeX の</w:t>
      </w:r>
      <w:r>
        <w:t xml:space="preserve"> </w:t>
      </w:r>
      <w:r>
        <w:rPr>
          <w:rStyle w:val="VerbatimChar"/>
        </w:rPr>
        <w:t xml:space="preserve">\cite {...}</w:t>
      </w:r>
      <w:r>
        <w:t xml:space="preserve"> </w:t>
      </w:r>
      <w:r>
        <w:t xml:space="preserve">コマンドとは異なる。以下を参考にすること。</w:t>
      </w:r>
    </w:p>
    <w:p>
      <w:pPr>
        <w:pStyle w:val="BodyText"/>
      </w:pPr>
      <w:r>
        <w:t xml:space="preserve">(Kashika 1997; Kashika and Hanko 1999)</w:t>
      </w:r>
      <w:r>
        <w:t xml:space="preserve"> </w:t>
      </w:r>
      <w:r>
        <w:t xml:space="preserve">は英語の文献で</w:t>
      </w:r>
      <w:r>
        <w:t xml:space="preserve">(可視化 and 情報 1998)</w:t>
      </w:r>
      <w:r>
        <w:t xml:space="preserve">は日本語の文献である.</w:t>
      </w:r>
    </w:p>
    <w:bookmarkEnd w:id="40"/>
    <w:bookmarkEnd w:id="41"/>
    <w:bookmarkStart w:id="53" w:name="参-考-文-献"/>
    <w:p>
      <w:pPr>
        <w:pStyle w:val="Heading1"/>
      </w:pPr>
      <w:r>
        <w:t xml:space="preserve">参　考　文　献</w:t>
      </w:r>
    </w:p>
    <w:bookmarkStart w:id="52" w:name="refs"/>
    <w:bookmarkStart w:id="42"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42"/>
    <w:bookmarkStart w:id="43"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43"/>
    <w:bookmarkStart w:id="44"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44"/>
    <w:bookmarkStart w:id="45" w:name="ref-kashika-1997-visualization-technique"/>
    <w:p>
      <w:pPr>
        <w:pStyle w:val="Bibliography"/>
      </w:pPr>
      <w:r>
        <w:t xml:space="preserve">Kashika, T. 1997.</w:t>
      </w:r>
      <w:r>
        <w:t xml:space="preserve"> </w:t>
      </w:r>
      <w:r>
        <w:t xml:space="preserve">“Visualization Technique.”</w:t>
      </w:r>
      <w:r>
        <w:t xml:space="preserve"> </w:t>
      </w:r>
      <w:r>
        <w:rPr>
          <w:iCs/>
          <w:i/>
        </w:rPr>
        <w:t xml:space="preserve">VSJ Press</w:t>
      </w:r>
      <w:r>
        <w:t xml:space="preserve">, 1111–25.</w:t>
      </w:r>
    </w:p>
    <w:bookmarkEnd w:id="45"/>
    <w:bookmarkStart w:id="46" w:name="X541fabeee45985caaeaa546bfa1ca0f724338e0"/>
    <w:p>
      <w:pPr>
        <w:pStyle w:val="Bibliography"/>
      </w:pPr>
      <w:r>
        <w:t xml:space="preserve">Kashika, T., and J. Hanko. 1999.</w:t>
      </w:r>
      <w:r>
        <w:t xml:space="preserve"> </w:t>
      </w:r>
      <w:r>
        <w:t xml:space="preserve">“An Example of the Manuscript for</w:t>
      </w:r>
      <w:r>
        <w:t xml:space="preserve"> </w:t>
      </w:r>
      <w:r>
        <w:t xml:space="preserve">VSJ</w:t>
      </w:r>
      <w:r>
        <w:t xml:space="preserve"> </w:t>
      </w:r>
      <w:r>
        <w:t xml:space="preserve">Journal.”</w:t>
      </w:r>
      <w:r>
        <w:t xml:space="preserve"> </w:t>
      </w:r>
      <w:r>
        <w:rPr>
          <w:iCs/>
          <w:i/>
        </w:rPr>
        <w:t xml:space="preserve">VSJ</w:t>
      </w:r>
      <w:r>
        <w:rPr>
          <w:iCs/>
          <w:i/>
        </w:rPr>
        <w:t xml:space="preserve"> </w:t>
      </w:r>
      <w:r>
        <w:rPr>
          <w:iCs/>
          <w:i/>
        </w:rPr>
        <w:t xml:space="preserve">Journal</w:t>
      </w:r>
      <w:r>
        <w:t xml:space="preserve"> </w:t>
      </w:r>
      <w:r>
        <w:t xml:space="preserve">10 (5): 10–15.</w:t>
      </w:r>
    </w:p>
    <w:bookmarkEnd w:id="46"/>
    <w:bookmarkStart w:id="47"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47"/>
    <w:bookmarkStart w:id="48"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8"/>
    <w:bookmarkStart w:id="49"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49"/>
    <w:bookmarkStart w:id="50"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50"/>
    <w:bookmarkStart w:id="51" w:name="Xe1ed393460d70ae130097d8290c1064969f62fc"/>
    <w:p>
      <w:pPr>
        <w:pStyle w:val="Bibliography"/>
      </w:pPr>
      <w:r>
        <w:t xml:space="preserve">可視化太郎, and 情報花子. 1998.</w:t>
      </w:r>
      <w:r>
        <w:t xml:space="preserve"> </w:t>
      </w:r>
      <w:r>
        <w:t xml:space="preserve">“可視化情報学会における論文の書き方.”</w:t>
      </w:r>
      <w:r>
        <w:t xml:space="preserve"> </w:t>
      </w:r>
      <w:r>
        <w:rPr>
          <w:iCs/>
          <w:i/>
        </w:rPr>
        <w:t xml:space="preserve">可視化情報</w:t>
      </w:r>
      <w:r>
        <w:t xml:space="preserve"> </w:t>
      </w:r>
      <w:r>
        <w:t xml:space="preserve">100 (1000): 11–12.</w:t>
      </w:r>
    </w:p>
    <w:bookmarkEnd w:id="51"/>
    <w:bookmarkEnd w:id="52"/>
    <w:bookmarkEnd w:id="53"/>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hyperlink" Id="rId21" Target="https://www.socialprogress.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2021-07-02T01:35:36Z</dcterms:created>
  <dcterms:modified xsi:type="dcterms:W3CDTF">2021-07-02T01:35:36Z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