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生のデータを見るだけでは分析したり理解したりするのが難しいデータに対して、その分析や理解のために可視化を行う研究はたくさん行われてきた</w:t>
      </w:r>
      <w:r>
        <w:t xml:space="preserve">(Gschwandtner and Erhart 2018; Bryan, Ma, and Woodring 2016)</w:t>
      </w:r>
      <w:r>
        <w:t xml:space="preserve">。</w:t>
      </w:r>
      <w:r>
        <w:t xml:space="preserve"> </w:t>
      </w:r>
      <w:r>
        <w:t xml:space="preserve">しかし可視化によるデータの分析や理解に慣れていないユーザ、可視化だけでは理解が難しいデータを解析したいユーザがいるのため、データの分析や理解のために必ずしも可視化で満足させれるわけではない。</w:t>
      </w:r>
      <w:r>
        <w:t xml:space="preserve"> </w:t>
      </w:r>
      <w:r>
        <w:t xml:space="preserve">そこで文章と可視化によってデータの説明をする</w:t>
      </w:r>
      <w:r>
        <w:rPr>
          <w:bCs/>
          <w:b/>
        </w:rPr>
        <w:t xml:space="preserve">説明的可視化</w:t>
      </w:r>
      <w:r>
        <w:t xml:space="preserve">が使用されてる</w:t>
      </w:r>
      <w:r>
        <w:t xml:space="preserve">(Hosokawa, Arimoto, and Wakita 2020; Latif and Beck 2019; Ynnerman, Löwgren, and Tibell 2018)</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時系列データは必ずしも同様の事柄に対して一つのデータだけではなく複数のデータが存在することがある(新型コロナ感謝数の推移など)。</w:t>
      </w:r>
      <w:r>
        <w:t xml:space="preserve"> </w:t>
      </w:r>
      <w:r>
        <w:t xml:space="preserve">このような場合、時系列データは可視化による理解が困難になるため、説明的可視化を使ってデータの説明をするのが望ましい。</w:t>
      </w:r>
      <w:r>
        <w:t xml:space="preserve"> </w:t>
      </w:r>
      <w:r>
        <w:t xml:space="preserve">しかし今まで説明的可視化を使ってこのようなデータを説明する研究は行われてきていない。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時系列データについての説明的可視化を行う上で、今まで研究されてきた説明的可視化と時系列データに対する可視化をみていく。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t xml:space="preserve">図は各州の年間の死亡者数、ハリケーンの発生数に対して実際にiMRのシステムを使用した例である。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t xml:space="preserve">図では横軸を収入、縦軸を平均寿命とした例で、ドットの動きによって過去100年で世界各国の収入や平均寿命がどのように変化していったかが分かるようになっている。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2"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このときSPiデータを時系列データとして分析するときに、ユーザーは地理的な階層(東アジアの中の日本やヨーロッパの中のイギリスなど)の情報を含んでデータを分析したいと仮定している。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実際にシステムを作る前に、以下のように要件を定める。</w:t>
      </w:r>
    </w:p>
    <w:p>
      <w:pPr>
        <w:pStyle w:val="BodyTex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pStyle w:val="BodyTex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p>
    <w:p>
      <w:pPr>
        <w:pStyle w:val="BodyTex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しかし、ある範囲に含まれる国を全てユーザーが知っていることはほとんどない。</w:t>
      </w:r>
      <w:r>
        <w:t xml:space="preserve"> </w:t>
      </w:r>
      <w:r>
        <w:t xml:space="preserve">そのため、選択する地理的範囲を資格的にユーザーに提供する必要がある。</w:t>
      </w:r>
    </w:p>
    <w:p>
      <w:pPr>
        <w:pStyle w:val="BodyTex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7"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w:t>
      </w:r>
      <w:r>
        <w:t xml:space="preserve">)、色を他の表現と異なるマゼンタ色を使う。</w:t>
      </w:r>
      <w:r>
        <w:t xml:space="preserve"> </w:t>
      </w:r>
      <w:r>
        <w:t xml:space="preserve">注目する国と類似する国のデータに関してカーキ色を使う。</w:t>
      </w:r>
    </w:p>
    <w:p>
      <w:pPr>
        <w:pStyle w:val="BodyText"/>
      </w:pPr>
      <w:r>
        <w:rPr>
          <w:bCs/>
          <w:b/>
        </w:rPr>
        <w:t xml:space="preserve">傾向の変化する点</w:t>
      </w:r>
      <w:r>
        <w:t xml:space="preserve"> </w:t>
      </w:r>
      <w:r>
        <w:t xml:space="preserve">データの傾向の変化する点の求める方法ははJunhuaたち</w:t>
      </w:r>
      <w:r>
        <w:t xml:space="preserve">(Lu et al. 2020)</w:t>
      </w:r>
      <w:r>
        <w:t xml:space="preserve">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End w:id="27"/>
    <w:bookmarkStart w:id="28" w:name="地域の可視化"/>
    <w:p>
      <w:pPr>
        <w:pStyle w:val="Heading2"/>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8"/>
    <w:bookmarkStart w:id="29" w:name="文章生成"/>
    <w:p>
      <w:pPr>
        <w:pStyle w:val="Heading2"/>
      </w:pPr>
      <w:r>
        <w:t xml:space="preserve">文章生成</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w:t>
      </w:r>
      <w:r>
        <w:t xml:space="preserve"> </w:t>
      </w:r>
      <w:r>
        <w:t xml:space="preserve">折れ線の表示において、注目したい国データの変動をより詳細にみたいときのために、ボタンによって縦軸の幅を調整できるようにしている。その他にも、選択した地理的範囲がアジアや南アメリカなど世界全体ではないときに、その選択した地理的範囲のデータだけを表す縦軸にするか世界のデータの範囲を縦軸にするかを調整するボタンも準備してい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一方世界のデータの範囲を縦軸にすることで、世界から比べて極端に値の低い、または大きい国がその選択した地理的範囲に含まれていることなどを知ることができる。</w:t>
      </w:r>
    </w:p>
    <w:p>
      <w:pPr>
        <w:pStyle w:val="BodyText"/>
      </w:pPr>
      <w:r>
        <w:rPr>
          <w:bCs/>
          <w:b/>
        </w:rPr>
        <w:t xml:space="preserve">フィルタリング</w:t>
      </w:r>
    </w:p>
    <w:p>
      <w:pPr>
        <w:pStyle w:val="BodyText"/>
      </w:pPr>
      <w:r>
        <w:rPr>
          <w:bCs/>
          <w:b/>
        </w:rPr>
        <w:t xml:space="preserve">クエリ</w:t>
      </w:r>
    </w:p>
    <w:p>
      <w:pPr>
        <w:pStyle w:val="BodyText"/>
      </w:pPr>
      <w:r>
        <w:rPr>
          <w:bCs/>
          <w:b/>
        </w:rPr>
        <w:t xml:space="preserve">関連付け</w:t>
      </w:r>
    </w:p>
    <w:p>
      <w:pPr>
        <w:pStyle w:val="BodyText"/>
      </w:pPr>
      <w:r>
        <w:rPr>
          <w:bCs/>
          <w:b/>
        </w:rPr>
        <w:t xml:space="preserve">パラメータ選択</w:t>
      </w:r>
    </w:p>
    <w:p>
      <w:pPr>
        <w:pStyle w:val="BodyText"/>
      </w:pPr>
      <w:r>
        <w:t xml:space="preserve">ぼたん</w:t>
      </w:r>
      <w:r>
        <w:t xml:space="preserve"> </w:t>
      </w:r>
      <w:r>
        <w:t xml:space="preserve">折れ線/国選択</w:t>
      </w:r>
    </w:p>
    <w:bookmarkEnd w:id="30"/>
    <w:bookmarkStart w:id="31" w:name="システム"/>
    <w:p>
      <w:pPr>
        <w:pStyle w:val="Heading2"/>
      </w:pPr>
      <w:r>
        <w:t xml:space="preserve">システム</w:t>
      </w:r>
    </w:p>
    <w:bookmarkEnd w:id="31"/>
    <w:bookmarkEnd w:id="32"/>
    <w:bookmarkStart w:id="33" w:name="ユースケース"/>
    <w:p>
      <w:pPr>
        <w:pStyle w:val="Heading1"/>
      </w:pPr>
      <w:r>
        <w:t xml:space="preserve">ユースケース</w:t>
      </w:r>
    </w:p>
    <w:p>
      <w:pPr>
        <w:pStyle w:val="FirstParagraph"/>
      </w:pPr>
      <w:r>
        <w:t xml:space="preserve">ユースケース</w:t>
      </w:r>
    </w:p>
    <w:bookmarkEnd w:id="33"/>
    <w:bookmarkStart w:id="34" w:name="考察"/>
    <w:p>
      <w:pPr>
        <w:pStyle w:val="Heading1"/>
      </w:pPr>
      <w:r>
        <w:t xml:space="preserve">考察</w:t>
      </w:r>
    </w:p>
    <w:p>
      <w:pPr>
        <w:pStyle w:val="FirstParagraph"/>
      </w:pPr>
      <w:r>
        <w:t xml:space="preserve">考察</w:t>
      </w:r>
    </w:p>
    <w:bookmarkEnd w:id="34"/>
    <w:bookmarkStart w:id="36" w:name="まとめ"/>
    <w:p>
      <w:pPr>
        <w:pStyle w:val="Heading1"/>
      </w:pPr>
      <w:r>
        <w:t xml:space="preserve">まとめ</w:t>
      </w:r>
    </w:p>
    <w:p>
      <w:pPr>
        <w:pStyle w:val="FirstParagraph"/>
      </w:pPr>
      <w:r>
        <w:t xml:space="preserve">まとめ</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35"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35"/>
    <w:bookmarkEnd w:id="36"/>
    <w:bookmarkStart w:id="37"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37"/>
    <w:bookmarkStart w:id="40" w:name="文字及び改行"/>
    <w:p>
      <w:pPr>
        <w:pStyle w:val="Heading1"/>
      </w:pPr>
      <w:r>
        <w:t xml:space="preserve">文字及び改行</w:t>
      </w:r>
    </w:p>
    <w:bookmarkStart w:id="38"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38"/>
    <w:bookmarkStart w:id="39"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39"/>
    <w:bookmarkEnd w:id="40"/>
    <w:bookmarkStart w:id="42"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42"/>
    <w:bookmarkStart w:id="43"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43"/>
    <w:bookmarkStart w:id="44"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44"/>
    <w:bookmarkStart w:id="46" w:name="その他"/>
    <w:p>
      <w:pPr>
        <w:pStyle w:val="Heading1"/>
      </w:pPr>
      <w:r>
        <w:t xml:space="preserve">その他</w:t>
      </w:r>
    </w:p>
    <w:bookmarkStart w:id="45"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45"/>
    <w:bookmarkEnd w:id="46"/>
    <w:bookmarkStart w:id="60" w:name="参-考-文-献"/>
    <w:p>
      <w:pPr>
        <w:pStyle w:val="Heading1"/>
      </w:pPr>
      <w:r>
        <w:t xml:space="preserve">参　考　文　献</w:t>
      </w:r>
    </w:p>
    <w:bookmarkStart w:id="59" w:name="refs"/>
    <w:bookmarkStart w:id="47"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7"/>
    <w:bookmarkStart w:id="48"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8"/>
    <w:bookmarkStart w:id="49"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9"/>
    <w:bookmarkStart w:id="50"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50"/>
    <w:bookmarkStart w:id="51"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51"/>
    <w:bookmarkStart w:id="52"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52"/>
    <w:bookmarkStart w:id="53"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53"/>
    <w:bookmarkStart w:id="54"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54"/>
    <w:bookmarkStart w:id="55"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55"/>
    <w:bookmarkStart w:id="56" w:name="ref-unsd2003united"/>
    <w:p>
      <w:pPr>
        <w:pStyle w:val="Bibliography"/>
      </w:pPr>
      <w:r>
        <w:t xml:space="preserve">UNSD, UNdata. 2003.</w:t>
      </w:r>
      <w:r>
        <w:t xml:space="preserve"> </w:t>
      </w:r>
      <w:r>
        <w:t xml:space="preserve">“United Nations Statistics Division.”</w:t>
      </w:r>
    </w:p>
    <w:bookmarkEnd w:id="56"/>
    <w:bookmarkStart w:id="57"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7"/>
    <w:bookmarkStart w:id="58"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58"/>
    <w:bookmarkEnd w:id="59"/>
    <w:bookmarkEnd w:id="60"/>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2021-07-04T00:56:44Z</dcterms:created>
  <dcterms:modified xsi:type="dcterms:W3CDTF">2021-07-04T00:56:44Z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