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0"/>
        <w:jc w:val="center"/>
      </w:pPr>
      <w:r>
        <w:rPr>
          <w:rFonts w:ascii="Calibri" w:hAnsi="Calibri"/>
          <w:b/>
          <w:color w:val="0B2D5C"/>
          <w:sz w:val="44"/>
        </w:rPr>
        <w:t>Optimal Execution with</w:t>
        <w:br/>
        <w:t>Non-Linear (Power-Law) Market Impact</w:t>
      </w:r>
    </w:p>
    <w:p>
      <w:pPr>
        <w:jc w:val="center"/>
      </w:pPr>
      <w:r>
        <w:rPr>
          <w:rFonts w:ascii="Calibri" w:hAnsi="Calibri"/>
          <w:sz w:val="28"/>
        </w:rPr>
      </w:r>
    </w:p>
    <w:p>
      <w:pPr>
        <w:jc w:val="center"/>
      </w:pPr>
      <w:r>
        <w:rPr>
          <w:rFonts w:ascii="Calibri" w:hAnsi="Calibri"/>
          <w:sz w:val="28"/>
        </w:rPr>
        <w:t>CODS 612 — Computational Optimization in Finance</w:t>
      </w:r>
    </w:p>
    <w:p>
      <w:pPr>
        <w:jc w:val="center"/>
      </w:pPr>
      <w:r>
        <w:rPr>
          <w:rFonts w:ascii="Calibri" w:hAnsi="Calibri"/>
          <w:sz w:val="28"/>
        </w:rPr>
        <w:t>Authors: Ali &amp; Mohamed</w:t>
      </w:r>
    </w:p>
    <w:p>
      <w:pPr>
        <w:jc w:val="center"/>
      </w:pPr>
      <w:r>
        <w:rPr>
          <w:rFonts w:ascii="Calibri" w:hAnsi="Calibri"/>
          <w:sz w:val="28"/>
        </w:rPr>
        <w:t>Professor: Professor Yerkin</w:t>
      </w:r>
    </w:p>
    <w:p>
      <w:r>
        <w:br w:type="page"/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1.  Introduction</w:t>
      </w:r>
    </w:p>
    <w:p>
      <w:pPr>
        <w:spacing w:after="80"/>
        <w:jc w:val="both"/>
      </w:pPr>
      <w:r>
        <w:rPr>
          <w:rFonts w:ascii="Calibri" w:hAnsi="Calibri"/>
          <w:sz w:val="22"/>
        </w:rPr>
        <w:t>Institutional traders who need to unwind large positions face a fundamental tension: liquidating too quickly crashes the price (market-impact cost), while liquidating too slowly leaves residual inventory exposed to volatility (risk penalty). The Almgren-Chriss framework (2000) casts this tradeoff as an explicit optimization problem and has become the industry reference for scheduled execution algorithms (VWAP, TWAP, IS).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classical formulation assumes linear temporary impact, which makes the problem a convex Quadratic Program with a tidy closed-form solution. However, three decades of empirical work — the so-called "Square Root Law" — consistently show that real impact scales sub-linearly, as |v|^β with β ≈ 0.5–0.6 across equities, FX, and futures.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This project implements both models, compares their optimal trajectories under the professor's parameter set, and quantifies the objective-value gap: how much higher the linear strategy's expected certainty-equivalent cost is under the true power-law model. We verify our numerical solution with an independent CVXPY power-cone solver because the original SLSQP solver was found to terminate at sub-optimal points at low β.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2.  Theoretical Framework</w:t>
      </w:r>
    </w:p>
    <w:p>
      <w:pPr>
        <w:spacing w:after="80"/>
        <w:jc w:val="both"/>
      </w:pPr>
      <w:r>
        <w:rPr>
          <w:rFonts w:ascii="Calibri" w:hAnsi="Calibri"/>
          <w:sz w:val="22"/>
        </w:rPr>
        <w:t>Let X = 1,000,000 shares be liquidated over N = 50 trading intervals across the liquidation horizon. If this is interpreted as one 6.5-hour trading day, each interval is approximately 7.8 minutes. Define x_k as the inventory remaining after period k, with boundary conditions x_0 = X and x_N = 0. Per-period trades are v_k = x_{k−1} − x_k. The general objective with a power-law impact exponent β is:</w:t>
      </w:r>
    </w:p>
    <w:p>
      <w:pPr>
        <w:jc w:val="center"/>
      </w:pPr>
      <w:r>
        <w:rPr>
          <w:rFonts w:ascii="Calibri" w:hAnsi="Calibri"/>
          <w:i/>
          <w:sz w:val="24"/>
        </w:rPr>
        <w:t>min_x  Σ [ η · |v_k|^(1+β)  +  γ · σ² · x_k² ]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2.1  Linear Model (β = 1.0)</w:t>
      </w:r>
    </w:p>
    <w:p>
      <w:pPr>
        <w:spacing w:after="80"/>
        <w:jc w:val="both"/>
      </w:pPr>
      <w:r>
        <w:rPr>
          <w:rFonts w:ascii="Calibri" w:hAnsi="Calibri"/>
          <w:sz w:val="22"/>
        </w:rPr>
        <w:t>Setting β = 1.0 reduces the impact term to η·v_k², giving a pure Quadratic Program with closed-form solution x_k = X · sinh(κ(N−k)) / sinh(κN), where κ = √(γσ²/η) is the continuous-time / small-step approximation of the urgency parameter. The exact discrete-time value is θ = arccosh(1 + γσ²/(2η)). At the baseline parameters θ and κ differ by less than 1e-10, so we use the simpler form.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2.2  Power-Law Model (β = 0.6)</w:t>
      </w:r>
    </w:p>
    <w:p>
      <w:pPr>
        <w:spacing w:after="80"/>
        <w:jc w:val="both"/>
      </w:pPr>
      <w:r>
        <w:rPr>
          <w:rFonts w:ascii="Calibri" w:hAnsi="Calibri"/>
          <w:sz w:val="22"/>
        </w:rPr>
        <w:t>When β is less than 1.0, the marginal price impact per share — I(v) proportional to |v|^β — is concave in trade size. However, the total temporary cost term v·I(v) proportional to |v|^(1+β) remains convex for all β &gt; 0. The optimization problem is therefore still convex; it simply admits no closed-form solution and must be solved numerically. The absolute value |v_k| is essential because a fractional exponent on a negative number is undefined in ℝ — the solver may traverse points with negative v_k during iteration.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3.  Methodology</w:t>
      </w:r>
    </w:p>
    <w:p>
      <w:pPr>
        <w:spacing w:after="80"/>
        <w:jc w:val="both"/>
      </w:pPr>
      <w:r>
        <w:rPr>
          <w:rFonts w:ascii="Calibri" w:hAnsi="Calibri"/>
          <w:sz w:val="22"/>
        </w:rPr>
        <w:t>Baseline parameters: X = 1,000,000 shares, N = 50 intervals, σ = 0.02, γ = 2.5·10⁻⁶, η = 2.0·10⁻⁴, β = 0.6.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linear model is evaluated from the closed-form sinh expression. The power-law model is solved using two independent optimizers: SLSQP (scipy) on the 49 intermediate inventory levels, and CVXPY (SCS / CLARABEL) using a disciplined-convex power-cone formulation in normalized units u = v/X.</w:t>
      </w:r>
    </w:p>
    <w:p>
      <w:pPr>
        <w:spacing w:after="80"/>
        <w:jc w:val="both"/>
      </w:pPr>
      <w:r>
        <w:rPr>
          <w:rFonts w:ascii="Calibri" w:hAnsi="Calibri"/>
          <w:sz w:val="22"/>
        </w:rPr>
        <w:t>CVXPY verification: to verify our SLSQP solver we independently re-solved the power-law problem using CVXPY with power-cone constraints. The two solvers agree for β ≥ 0.8 to within 1e-04 relative objective, but at lower β — where the objective landscape is very flat and SLSQP's monotonicity-constrained line-search struggles — CVXPY finds lower-cost optima (up to 26.3% lower objective at β = 0.3). The numerical results reported below use CVXPY as the primary solver; SLSQP served as an independent cross-check.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4.  Results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4.1  Trajectories at baseline parameters</w:t>
      </w:r>
    </w:p>
    <w:p>
      <w:pPr>
        <w:spacing w:after="80"/>
        <w:jc w:val="both"/>
      </w:pPr>
      <w:r>
        <w:rPr>
          <w:rFonts w:ascii="Calibri" w:hAnsi="Calibri"/>
          <w:sz w:val="22"/>
        </w:rPr>
        <w:t>At baseline γ the linear model produces a near-straight-line trajectory — κN ≈ 0.35 is small, so the sinh curve is almost linear and the schedule is close to TWAP (~20,000 shares per interval). The CVXPY-verified power-law trajectory at β = 0.6 is meaningfully more front-loaded than SLSQP had estimated: v_1 ≈ 28,588 shares vs. SLSQP's 21,909.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4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4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1. Linear vs. power-law (β=0.6) optimal trajectories.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4.2  Cost mismatch analysis</w:t>
      </w:r>
    </w:p>
    <w:p>
      <w:pPr>
        <w:spacing w:after="80"/>
        <w:jc w:val="both"/>
      </w:pPr>
      <w:r>
        <w:rPr>
          <w:rFonts w:ascii="Calibri" w:hAnsi="Calibri"/>
          <w:sz w:val="22"/>
        </w:rPr>
        <w:t>We evaluate four certainty-equivalent costs — two trajectories × two cost models — to isolate the excess objective under the power-law model incurred by optimizing with a linear-impact assumption: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Label</w:t>
            </w:r>
          </w:p>
        </w:tc>
        <w:tc>
          <w:tcPr>
            <w:tcW w:type="dxa" w:w="2160"/>
          </w:tcPr>
          <w:p>
            <w:r>
              <w:t>Trajectory</w:t>
            </w:r>
          </w:p>
        </w:tc>
        <w:tc>
          <w:tcPr>
            <w:tcW w:type="dxa" w:w="2160"/>
          </w:tcPr>
          <w:p>
            <w:r>
              <w:t>Cost model</w:t>
            </w:r>
          </w:p>
        </w:tc>
        <w:tc>
          <w:tcPr>
            <w:tcW w:type="dxa" w:w="2160"/>
          </w:tcPr>
          <w:p>
            <w:r>
              <w:t>Cost</w:t>
            </w:r>
          </w:p>
        </w:tc>
      </w:tr>
      <w:tr>
        <w:tc>
          <w:tcPr>
            <w:tcW w:type="dxa" w:w="2160"/>
          </w:tcPr>
          <w:p>
            <w:r>
              <w:t>(a)</w:t>
            </w:r>
          </w:p>
        </w:tc>
        <w:tc>
          <w:tcPr>
            <w:tcW w:type="dxa" w:w="2160"/>
          </w:tcPr>
          <w:p>
            <w:r>
              <w:t>Linear (Ali)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$4,016,156</w:t>
            </w:r>
          </w:p>
        </w:tc>
      </w:tr>
      <w:tr>
        <w:tc>
          <w:tcPr>
            <w:tcW w:type="dxa" w:w="2160"/>
          </w:tcPr>
          <w:p>
            <w:r>
              <w:t>(b)</w:t>
            </w:r>
          </w:p>
        </w:tc>
        <w:tc>
          <w:tcPr>
            <w:tcW w:type="dxa" w:w="2160"/>
          </w:tcPr>
          <w:p>
            <w:r>
              <w:t>Linear (Ali)</w:t>
            </w:r>
          </w:p>
        </w:tc>
        <w:tc>
          <w:tcPr>
            <w:tcW w:type="dxa" w:w="2160"/>
          </w:tcPr>
          <w:p>
            <w:r>
              <w:t>Power-law β=0.6</w:t>
            </w:r>
          </w:p>
        </w:tc>
        <w:tc>
          <w:tcPr>
            <w:tcW w:type="dxa" w:w="2160"/>
          </w:tcPr>
          <w:p>
            <w:r>
              <w:t>$92,289</w:t>
            </w:r>
          </w:p>
        </w:tc>
      </w:tr>
      <w:tr>
        <w:tc>
          <w:tcPr>
            <w:tcW w:type="dxa" w:w="2160"/>
          </w:tcPr>
          <w:p>
            <w:r>
              <w:t>(c)</w:t>
            </w:r>
          </w:p>
        </w:tc>
        <w:tc>
          <w:tcPr>
            <w:tcW w:type="dxa" w:w="2160"/>
          </w:tcPr>
          <w:p>
            <w:r>
              <w:t>Power-law (CVXPY)</w:t>
            </w:r>
          </w:p>
        </w:tc>
        <w:tc>
          <w:tcPr>
            <w:tcW w:type="dxa" w:w="2160"/>
          </w:tcPr>
          <w:p>
            <w:r>
              <w:t>Power-law β=0.6</w:t>
            </w:r>
          </w:p>
        </w:tc>
        <w:tc>
          <w:tcPr>
            <w:tcW w:type="dxa" w:w="2160"/>
          </w:tcPr>
          <w:p>
            <w:r>
              <w:t>$90,953</w:t>
            </w:r>
          </w:p>
        </w:tc>
      </w:tr>
      <w:tr>
        <w:tc>
          <w:tcPr>
            <w:tcW w:type="dxa" w:w="2160"/>
          </w:tcPr>
          <w:p>
            <w:r>
              <w:t>(d)</w:t>
            </w:r>
          </w:p>
        </w:tc>
        <w:tc>
          <w:tcPr>
            <w:tcW w:type="dxa" w:w="2160"/>
          </w:tcPr>
          <w:p>
            <w:r>
              <w:t>Power-law (CVXPY)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$4,149,501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Objective gap (b) − (c)</w:t>
            </w:r>
          </w:p>
        </w:tc>
        <w:tc>
          <w:tcPr>
            <w:tcW w:type="dxa" w:w="2160"/>
          </w:tcPr>
          <w:p>
            <w:r>
              <w:t>$1,336   (1.47 %)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sz w:val="22"/>
        </w:rPr>
        <w:t>At baseline the linear trajectory incurs an objective-value gap of $1,336 — 1.47 % above the verified power-law optimum. Note that this gap combines two effects: a true impact-cost difference and a risk-penalty difference. At the baseline parameters the power-law optimum typically achieves similar direct impact cost to the linear trajectory but pays less in risk penalty. The gap therefore reflects a utility-weighted certainty-equivalent cost under the chosen γ, not pure realized cash slippage.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4.3  Objective gap vs. 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1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gap_vs_b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1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2. Certainty-equivalent objective gap of the linear trajectory under the true power-law model, as a function of β. CVXPY-verified.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β</w:t>
            </w:r>
          </w:p>
        </w:tc>
        <w:tc>
          <w:tcPr>
            <w:tcW w:type="dxa" w:w="2880"/>
          </w:tcPr>
          <w:p>
            <w:r>
              <w:t>gap (abs)</w:t>
            </w:r>
          </w:p>
        </w:tc>
        <w:tc>
          <w:tcPr>
            <w:tcW w:type="dxa" w:w="2880"/>
          </w:tcPr>
          <w:p>
            <w:r>
              <w:t>gap (%)</w:t>
            </w:r>
          </w:p>
        </w:tc>
      </w:tr>
      <w:tr>
        <w:tc>
          <w:tcPr>
            <w:tcW w:type="dxa" w:w="2880"/>
          </w:tcPr>
          <w:p>
            <w:r>
              <w:t>0.30</w:t>
            </w:r>
          </w:p>
        </w:tc>
        <w:tc>
          <w:tcPr>
            <w:tcW w:type="dxa" w:w="2880"/>
          </w:tcPr>
          <w:p>
            <w:r>
              <w:t>$12,239.18</w:t>
            </w:r>
          </w:p>
        </w:tc>
        <w:tc>
          <w:tcPr>
            <w:tcW w:type="dxa" w:w="2880"/>
          </w:tcPr>
          <w:p>
            <w:r>
              <w:t>156.8005%</w:t>
            </w:r>
          </w:p>
        </w:tc>
      </w:tr>
      <w:tr>
        <w:tc>
          <w:tcPr>
            <w:tcW w:type="dxa" w:w="2880"/>
          </w:tcPr>
          <w:p>
            <w:r>
              <w:t>0.40</w:t>
            </w:r>
          </w:p>
        </w:tc>
        <w:tc>
          <w:tcPr>
            <w:tcW w:type="dxa" w:w="2880"/>
          </w:tcPr>
          <w:p>
            <w:r>
              <w:t>$7,977.78</w:t>
            </w:r>
          </w:p>
        </w:tc>
        <w:tc>
          <w:tcPr>
            <w:tcW w:type="dxa" w:w="2880"/>
          </w:tcPr>
          <w:p>
            <w:r>
              <w:t>42.7291%</w:t>
            </w:r>
          </w:p>
        </w:tc>
      </w:tr>
      <w:tr>
        <w:tc>
          <w:tcPr>
            <w:tcW w:type="dxa" w:w="2880"/>
          </w:tcPr>
          <w:p>
            <w:r>
              <w:t>0.50</w:t>
            </w:r>
          </w:p>
        </w:tc>
        <w:tc>
          <w:tcPr>
            <w:tcW w:type="dxa" w:w="2880"/>
          </w:tcPr>
          <w:p>
            <w:r>
              <w:t>$3,746.11</w:t>
            </w:r>
          </w:p>
        </w:tc>
        <w:tc>
          <w:tcPr>
            <w:tcW w:type="dxa" w:w="2880"/>
          </w:tcPr>
          <w:p>
            <w:r>
              <w:t>9.2086%</w:t>
            </w:r>
          </w:p>
        </w:tc>
      </w:tr>
      <w:tr>
        <w:tc>
          <w:tcPr>
            <w:tcW w:type="dxa" w:w="2880"/>
          </w:tcPr>
          <w:p>
            <w:r>
              <w:t>0.60</w:t>
            </w:r>
          </w:p>
        </w:tc>
        <w:tc>
          <w:tcPr>
            <w:tcW w:type="dxa" w:w="2880"/>
          </w:tcPr>
          <w:p>
            <w:r>
              <w:t>$1,335.65</w:t>
            </w:r>
          </w:p>
        </w:tc>
        <w:tc>
          <w:tcPr>
            <w:tcW w:type="dxa" w:w="2880"/>
          </w:tcPr>
          <w:p>
            <w:r>
              <w:t>1.4685%</w:t>
            </w:r>
          </w:p>
        </w:tc>
      </w:tr>
      <w:tr>
        <w:tc>
          <w:tcPr>
            <w:tcW w:type="dxa" w:w="2880"/>
          </w:tcPr>
          <w:p>
            <w:r>
              <w:t>0.70</w:t>
            </w:r>
          </w:p>
        </w:tc>
        <w:tc>
          <w:tcPr>
            <w:tcW w:type="dxa" w:w="2880"/>
          </w:tcPr>
          <w:p>
            <w:r>
              <w:t>$412.44</w:t>
            </w:r>
          </w:p>
        </w:tc>
        <w:tc>
          <w:tcPr>
            <w:tcW w:type="dxa" w:w="2880"/>
          </w:tcPr>
          <w:p>
            <w:r>
              <w:t>0.1869%</w:t>
            </w:r>
          </w:p>
        </w:tc>
      </w:tr>
      <w:tr>
        <w:tc>
          <w:tcPr>
            <w:tcW w:type="dxa" w:w="2880"/>
          </w:tcPr>
          <w:p>
            <w:r>
              <w:t>0.80</w:t>
            </w:r>
          </w:p>
        </w:tc>
        <w:tc>
          <w:tcPr>
            <w:tcW w:type="dxa" w:w="2880"/>
          </w:tcPr>
          <w:p>
            <w:r>
              <w:t>$111.85</w:t>
            </w:r>
          </w:p>
        </w:tc>
        <w:tc>
          <w:tcPr>
            <w:tcW w:type="dxa" w:w="2880"/>
          </w:tcPr>
          <w:p>
            <w:r>
              <w:t>0.0197%</w:t>
            </w:r>
          </w:p>
        </w:tc>
      </w:tr>
      <w:tr>
        <w:tc>
          <w:tcPr>
            <w:tcW w:type="dxa" w:w="2880"/>
          </w:tcPr>
          <w:p>
            <w:r>
              <w:t>0.90</w:t>
            </w:r>
          </w:p>
        </w:tc>
        <w:tc>
          <w:tcPr>
            <w:tcW w:type="dxa" w:w="2880"/>
          </w:tcPr>
          <w:p>
            <w:r>
              <w:t>$20.24</w:t>
            </w:r>
          </w:p>
        </w:tc>
        <w:tc>
          <w:tcPr>
            <w:tcW w:type="dxa" w:w="2880"/>
          </w:tcPr>
          <w:p>
            <w:r>
              <w:t>0.0013%</w:t>
            </w:r>
          </w:p>
        </w:tc>
      </w:tr>
      <w:tr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$0.00</w:t>
            </w:r>
          </w:p>
        </w:tc>
        <w:tc>
          <w:tcPr>
            <w:tcW w:type="dxa" w:w="2880"/>
          </w:tcPr>
          <w:p>
            <w:r>
              <w:t>0.0000%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sz w:val="22"/>
        </w:rPr>
        <w:t>The gap explodes as β drops: 1.47 % at β = 0.6, 9.2 % at β = 0.5, 42.7 % at β = 0.4, and 156.8 % at β = 0.3 — the linear strategy's certainty-equivalent cost is more than 2.5× the true optimum.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4.4  Risk-aversion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962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r_gamma_sens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62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3. Linear-model trajectories across five risk-aversion levels. Higher γ → more front-loaded liquidation.</w:t>
      </w:r>
    </w:p>
    <w:p>
      <w:pPr>
        <w:spacing w:after="80"/>
        <w:jc w:val="both"/>
      </w:pPr>
      <w:r>
        <w:rPr>
          <w:rFonts w:ascii="Calibri" w:hAnsi="Calibri"/>
          <w:sz w:val="22"/>
        </w:rPr>
        <w:t>Risk aversion γ acts as the urgency dial through κ = √(γσ²/η). Combining this with the β-sweep, the linear and power-law models diverge most dramatically at the (γ high, β low) corner — urgent liquidation in illiquid assets.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4.5  Cost gap as a function of urgency (κ)</w:t>
      </w:r>
    </w:p>
    <w:p>
      <w:pPr>
        <w:spacing w:after="80"/>
        <w:jc w:val="both"/>
      </w:pPr>
      <w:r>
        <w:rPr>
          <w:rFonts w:ascii="Calibri" w:hAnsi="Calibri"/>
          <w:sz w:val="22"/>
        </w:rPr>
        <w:t>Following feedback from our project review, we extended the sensitivity analysis to study how the cost gap varies with the urgency parameter κ. Recall that κ = √(γσ²/η) bundles risk aversion, volatility, and impact cost into a single number. A small κ describes a patient liquidation; a large κ describes an urgent one.</w:t>
      </w:r>
    </w:p>
    <w:p>
      <w:pPr>
        <w:spacing w:after="80"/>
        <w:jc w:val="both"/>
      </w:pPr>
      <w:r>
        <w:rPr>
          <w:rFonts w:ascii="Calibri" w:hAnsi="Calibri"/>
          <w:sz w:val="22"/>
        </w:rPr>
        <w:t>We swept κ across nine values from 0.001 (very patient) to 5.0 (extremely urgent), holding σ and η at baseline and adjusting γ accordingly. At each κ we computed both the linear and power-law (β = 0.6) optimal trajectories, then evaluated the linear trajectory under the power-law cost function. The resulting gap quantifies the certainty-equivalent excess cost of using the linear strategy when reality follows a power-law impact rule.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47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gap_vs_kapp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4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4. Transaction cost gap as a function of urgency κ. Both absolute (red, left axis) and relative (blue dashed, right axis) representations are shown. The gap is small in the patient regime but grows substantially as κ rises.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8974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vs_kappa_two_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7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5. Transaction costs of the linear and power-law strategies plotted across the κ range. The vertical separation between the two lines is the cost gap shown in Figure 4.</w:t>
      </w:r>
    </w:p>
    <w:p>
      <w:pPr>
        <w:spacing w:after="80"/>
        <w:jc w:val="both"/>
      </w:pPr>
      <w:r>
        <w:rPr>
          <w:rFonts w:ascii="Calibri" w:hAnsi="Calibri"/>
          <w:sz w:val="22"/>
        </w:rPr>
        <w:t>Figure 5 presents the same κ sweep in absolute cost terms rather than relative gap. Both strategies' total transaction costs are plotted on a logarithmic axis. The visual divergence makes the practical scale of the disagreement clear: at moderate urgency the linear strategy can cost orders of magnitude more than the power-law optimum. At very high κ, both strategies converge as the optimal action becomes near-immediate liquidation under both impact models.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chart confirms what we observed in the γ trajectory comparison: when liquidation is patient, both models produce near-identical costs, but as urgency rises the linear model's misspecification of impact becomes increasingly expensive. Combined with the β sensitivity in §4.3, this shows two distinct failure modes of the linear model: it breaks down when impact is highly non-linear (low β) OR when liquidation is urgent (high κ). In a real execution context, both can occur simultaneously.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Technical subtlety: the curve is non-monotone, peaking around κ ≈ 0.5–1.0 and shrinking again at κ = 5. At extreme urgency both strategies are forced toward immediate liquidation, so the shapes converge and the relative cost gap contracts.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5.  Discussion &amp; Conclusion</w:t>
      </w:r>
    </w:p>
    <w:p>
      <w:pPr>
        <w:spacing w:after="80"/>
        <w:jc w:val="both"/>
      </w:pPr>
      <w:r>
        <w:rPr>
          <w:rFonts w:ascii="Calibri" w:hAnsi="Calibri"/>
          <w:sz w:val="22"/>
        </w:rPr>
        <w:t>At the professor's baseline parameters the linear Almgren-Chriss model carries a certainty-equivalent objective gap of 1.47 % relative to the verified power-law optimum — an order of magnitude larger than the 0.1 % we originally reported using SLSQP alone. The approximation degrades catastrophically in the (β &lt; 0.5, γ high) regime, where a linear optimizer can leave triple-digit percentage excess objective on the table. Production execution systems should calibrate their impact exponent empirically.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5.1  Limitations</w:t>
      </w:r>
    </w:p>
    <w:p>
      <w:pPr>
        <w:spacing w:after="80"/>
        <w:jc w:val="both"/>
      </w:pPr>
      <w:r>
        <w:rPr>
          <w:rFonts w:ascii="Calibri" w:hAnsi="Calibri"/>
          <w:sz w:val="22"/>
        </w:rPr>
        <w:t>Solver robustness: SLSQP hits its iteration cap at extreme parameter values. This motivated the CVXPY re-solve. A production implementation should use an interior-point solver or the analytical KKT conditions for robustness.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η's implicit units across β: a second methodological caveat concerns the β sensitivity analysis. The coefficient η has implicitly different physical units across different β values, because the impact term η·|v|^(1+β) has different dimensional scaling. We kept η fixed across β as specified by the project brief, but this means the β sweep mixes two effects: changing impact curvature, and changing impact scale. A fully rigorous sensitivity would renormalize η at each β to match a reference impact cost. We flag this as a limitation rather than a finding.</w:t>
      </w:r>
    </w:p>
    <w:p>
      <w:pPr>
        <w:spacing w:after="80"/>
        <w:jc w:val="both"/>
      </w:pPr>
      <w:r>
        <w:rPr>
          <w:rFonts w:ascii="Calibri" w:hAnsi="Calibri"/>
          <w:sz w:val="22"/>
        </w:rPr>
        <w:t>Future work: cross-asset impact (portfolio execution), stochastic volatility, and online adaptive execution (reinforcement-learning-based schedules) are natural extensions.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6.  References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[1] Almgren, R. and Chriss, N. (2000). Optimal execution of portfolio transactions. Journal of Risk, 3(2), 5–39.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[2] Almgren, R., Thum, C., Hauptmann, E., and Li, H. (2005). Direct estimation of equity market impact. Risk, 18(7), 58–62.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[3] Bouchaud, J.-P. (2010). Price impact. Encyclopedia of Quantitative Finance.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[4] Cornuéjols, G. and Tütüncü, R. (2007). Optimization Methods in Finance. Cambridge University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