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/>
        <w:jc w:val="center"/>
      </w:pPr>
      <w:r>
        <w:rPr>
          <w:rFonts w:ascii="Calibri" w:hAnsi="Calibri"/>
          <w:b/>
          <w:color w:val="0B2D5C"/>
          <w:sz w:val="44"/>
        </w:rPr>
        <w:t>Optimal Execution with</w:t>
        <w:br/>
        <w:t>Non-Linear (Power-Law) Market Impact</w:t>
      </w:r>
    </w:p>
    <w:p>
      <w:pPr>
        <w:jc w:val="center"/>
      </w:pPr>
      <w:r>
        <w:rPr>
          <w:rFonts w:ascii="Calibri" w:hAnsi="Calibri"/>
          <w:sz w:val="28"/>
        </w:rPr>
      </w:r>
    </w:p>
    <w:p>
      <w:pPr>
        <w:jc w:val="center"/>
      </w:pPr>
      <w:r>
        <w:rPr>
          <w:rFonts w:ascii="Calibri" w:hAnsi="Calibri"/>
          <w:sz w:val="28"/>
        </w:rPr>
        <w:t>CODS 612 — Computational Optimization in Finance</w:t>
      </w:r>
    </w:p>
    <w:p>
      <w:pPr>
        <w:jc w:val="center"/>
      </w:pPr>
      <w:r>
        <w:rPr>
          <w:rFonts w:ascii="Calibri" w:hAnsi="Calibri"/>
          <w:sz w:val="28"/>
        </w:rPr>
        <w:t>Authors: Ali &amp; Mohamed</w:t>
      </w:r>
    </w:p>
    <w:p>
      <w:pPr>
        <w:jc w:val="center"/>
      </w:pPr>
      <w:r>
        <w:rPr>
          <w:rFonts w:ascii="Calibri" w:hAnsi="Calibri"/>
          <w:sz w:val="28"/>
        </w:rPr>
        <w:t>Professor: Professor Yerkin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1.  Introduction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Institutional traders who need to unwind large positions face a fundamental tension: liquidating too quickly crashes the price (market-impact cost), while liquidating too slowly leaves residual inventory exposed to volatility (risk penalty). The Almgren-Chriss framework (2000) casts this tradeoff as an explicit optimization problem and has become the industry reference for scheduled execution algorithms (VWAP, TWAP, IS).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classical formulation assumes linear temporary impact, which makes the problem a convex Quadratic Program with a tidy closed-form solution. However, three decades of empirical work — the so-called "Square Root Law" — consistently show that real impact scales sub-linearly, as |v|^β with β ≈ 0.5–0.6 across equities, FX, and futures.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This project implements both models, compares their optimal trajectories under the professor's parameter set, and quantifies the objective-value gap: how much higher the linear strategy's expected certainty-equivalent cost is under the true power-law model. We verify our numerical solution with an independent CVXPY power-cone solver because the original SLSQP solver was found to terminate at sub-optimal points at low β.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2.  Theoretical Framework</w:t>
      </w:r>
    </w:p>
    <w:p>
      <w:pPr>
        <w:spacing w:after="80"/>
        <w:jc w:val="both"/>
      </w:pPr>
      <w:r>
        <w:rPr>
          <w:rFonts w:ascii="Calibri" w:hAnsi="Calibri"/>
          <w:sz w:val="22"/>
        </w:rPr>
        <w:t>Let X = 1,000,000 shares be liquidated over N = 50 trading intervals across the liquidation horizon. If this is interpreted as one 6.5-hour trading day, each interval is approximately 7.8 minutes. Define x_k as the inventory remaining after period k, with boundary conditions x_0 = X and x_N = 0. Per-period trades are v_k = x_{k−1} − x_k. The general objective with a power-law impact exponent β is:</w:t>
      </w:r>
    </w:p>
    <w:p>
      <w:pPr>
        <w:jc w:val="center"/>
      </w:pPr>
      <w:r>
        <w:rPr>
          <w:rFonts w:ascii="Calibri" w:hAnsi="Calibri"/>
          <w:i/>
          <w:sz w:val="24"/>
        </w:rPr>
        <w:t>min_x  Σ [ η · |v_k|^(1+β)  +  γ · σ² · x_k² ]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2.1  Linear Model (β = 1.0)</w:t>
      </w:r>
    </w:p>
    <w:p>
      <w:pPr>
        <w:spacing w:after="80"/>
        <w:jc w:val="both"/>
      </w:pPr>
      <w:r>
        <w:rPr>
          <w:rFonts w:ascii="Calibri" w:hAnsi="Calibri"/>
          <w:sz w:val="22"/>
        </w:rPr>
        <w:t>Setting β = 1.0 reduces the impact term to η·v_k², giving a pure Quadratic Program with closed-form solution x_k = X · sinh(κ(N−k)) / sinh(κN), where κ = √(γσ²/η) is the continuous-time / small-step approximation of the urgency parameter. The exact discrete-time value is θ = arccosh(1 + γσ²/(2η)). At the baseline parameters θ and κ differ by less than 1e-10, so we use the simpler form.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2.2  Power-Law Model (β = 0.6)</w:t>
      </w:r>
    </w:p>
    <w:p>
      <w:pPr>
        <w:spacing w:after="80"/>
        <w:jc w:val="both"/>
      </w:pPr>
      <w:r>
        <w:rPr>
          <w:rFonts w:ascii="Calibri" w:hAnsi="Calibri"/>
          <w:sz w:val="22"/>
        </w:rPr>
        <w:t>When β is less than 1.0, the marginal price impact per share — I(v) proportional to |v|^β — is concave in trade size. However, the total temporary cost term v·I(v) proportional to |v|^(1+β) remains convex for all β &gt; 0. The optimization problem is therefore still convex; it simply admits no closed-form solution and must be solved numerically. The absolute value |v_k| is essential because a fractional exponent on a negative number is undefined in ℝ — the solver may traverse points with negative v_k during iteration.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3.  Methodology</w:t>
      </w:r>
    </w:p>
    <w:p>
      <w:pPr>
        <w:spacing w:after="80"/>
        <w:jc w:val="both"/>
      </w:pPr>
      <w:r>
        <w:rPr>
          <w:rFonts w:ascii="Calibri" w:hAnsi="Calibri"/>
          <w:sz w:val="22"/>
        </w:rPr>
        <w:t>Baseline parameters: X = 1,000,000 shares, N = 50 intervals, σ = 0.02, γ = 2.5·10⁻⁶, η = 2.0·10⁻⁴, β = 0.6.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linear model is evaluated from the closed-form sinh expression. The power-law model is solved using two independent optimizers: SLSQP (scipy) on the 49 intermediate inventory levels, and CVXPY (SCS / CLARABEL) using a disciplined-convex power-cone formulation in normalized units u = v/X.</w:t>
      </w:r>
    </w:p>
    <w:p>
      <w:pPr>
        <w:spacing w:after="80"/>
        <w:jc w:val="both"/>
      </w:pPr>
      <w:r>
        <w:rPr>
          <w:rFonts w:ascii="Calibri" w:hAnsi="Calibri"/>
          <w:sz w:val="22"/>
        </w:rPr>
        <w:t>CVXPY verification: to verify our SLSQP solver we independently re-solved the power-law problem using CVXPY with power-cone constraints. The two solvers agree for β ≥ 0.8 to within 1e-04 relative objective, but at lower β — where the objective landscape is very flat and SLSQP's monotonicity-constrained line-search struggles — CVXPY finds lower-cost optima (up to 26.3% lower objective at β = 0.3). The numerical results reported below use CVXPY as the primary solver; SLSQP served as an independent cross-check.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4.  Results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4.1  Trajectories at baseline parameters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baseline γ the linear model produces a near-straight-line trajectory — κN ≈ 0.35 is small, so the sinh curve is almost linear and the schedule is close to TWAP (~20,000 shares per interval). The CVXPY-verified power-law trajectory at β = 0.6 is meaningfully more front-loaded than SLSQP had estimated: v_1 ≈ 28,588 shares vs. SLSQP's 21,909.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1. Linear vs. power-law (β=0.6) optimal trajectories.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4.2  Cost mismatch analysis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evaluate four certainty-equivalent costs — two trajectories × two cost models — to isolate the excess objective under the power-law model incurred by optimizing with a linear-impact assumption: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Trajectory</w:t>
            </w:r>
          </w:p>
        </w:tc>
        <w:tc>
          <w:tcPr>
            <w:tcW w:type="dxa" w:w="2160"/>
          </w:tcPr>
          <w:p>
            <w:r>
              <w:t>Cost model</w:t>
            </w:r>
          </w:p>
        </w:tc>
        <w:tc>
          <w:tcPr>
            <w:tcW w:type="dxa" w:w="2160"/>
          </w:tcPr>
          <w:p>
            <w:r>
              <w:t>Cost</w:t>
            </w:r>
          </w:p>
        </w:tc>
      </w:tr>
      <w:tr>
        <w:tc>
          <w:tcPr>
            <w:tcW w:type="dxa" w:w="2160"/>
          </w:tcPr>
          <w:p>
            <w:r>
              <w:t>(a)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$4,016,156</w:t>
            </w:r>
          </w:p>
        </w:tc>
      </w:tr>
      <w:tr>
        <w:tc>
          <w:tcPr>
            <w:tcW w:type="dxa" w:w="2160"/>
          </w:tcPr>
          <w:p>
            <w:r>
              <w:t>(b)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$92,289</w:t>
            </w:r>
          </w:p>
        </w:tc>
      </w:tr>
      <w:tr>
        <w:tc>
          <w:tcPr>
            <w:tcW w:type="dxa" w:w="2160"/>
          </w:tcPr>
          <w:p>
            <w:r>
              <w:t>(c)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$90,953</w:t>
            </w:r>
          </w:p>
        </w:tc>
      </w:tr>
      <w:tr>
        <w:tc>
          <w:tcPr>
            <w:tcW w:type="dxa" w:w="2160"/>
          </w:tcPr>
          <w:p>
            <w:r>
              <w:t>(d)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$4,149,501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Objective gap (b) − (c)</w:t>
            </w:r>
          </w:p>
        </w:tc>
        <w:tc>
          <w:tcPr>
            <w:tcW w:type="dxa" w:w="2160"/>
          </w:tcPr>
          <w:p>
            <w:r>
              <w:t>$1,336   (1.47 %)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At baseline the linear trajectory incurs an objective-value gap of $1,336 — 1.47 % above the verified power-law optimum. Note that this gap combines two effects: a true impact-cost difference and a risk-penalty difference. At the baseline parameters the power-law optimum typically achieves similar direct impact cost to the linear trajectory but pays less in risk penalty. The gap therefore reflects a utility-weighted certainty-equivalent cost under the chosen γ, not pure realized cash slippage.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4.3  Objective gap vs. 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2. Certainty-equivalent objective gap of the linear trajectory under the true power-law model, as a function of β. CVXPY-verified.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β</w:t>
            </w:r>
          </w:p>
        </w:tc>
        <w:tc>
          <w:tcPr>
            <w:tcW w:type="dxa" w:w="2880"/>
          </w:tcPr>
          <w:p>
            <w:r>
              <w:t>gap (abs)</w:t>
            </w:r>
          </w:p>
        </w:tc>
        <w:tc>
          <w:tcPr>
            <w:tcW w:type="dxa" w:w="2880"/>
          </w:tcPr>
          <w:p>
            <w:r>
              <w:t>gap (%)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$12,239.18</w:t>
            </w:r>
          </w:p>
        </w:tc>
        <w:tc>
          <w:tcPr>
            <w:tcW w:type="dxa" w:w="2880"/>
          </w:tcPr>
          <w:p>
            <w:r>
              <w:t>156.8005%</w:t>
            </w:r>
          </w:p>
        </w:tc>
      </w:tr>
      <w:tr>
        <w:tc>
          <w:tcPr>
            <w:tcW w:type="dxa" w:w="2880"/>
          </w:tcPr>
          <w:p>
            <w:r>
              <w:t>0.40</w:t>
            </w:r>
          </w:p>
        </w:tc>
        <w:tc>
          <w:tcPr>
            <w:tcW w:type="dxa" w:w="2880"/>
          </w:tcPr>
          <w:p>
            <w:r>
              <w:t>$7,977.78</w:t>
            </w:r>
          </w:p>
        </w:tc>
        <w:tc>
          <w:tcPr>
            <w:tcW w:type="dxa" w:w="2880"/>
          </w:tcPr>
          <w:p>
            <w:r>
              <w:t>42.7291%</w:t>
            </w:r>
          </w:p>
        </w:tc>
      </w:tr>
      <w:tr>
        <w:tc>
          <w:tcPr>
            <w:tcW w:type="dxa" w:w="2880"/>
          </w:tcPr>
          <w:p>
            <w:r>
              <w:t>0.50</w:t>
            </w:r>
          </w:p>
        </w:tc>
        <w:tc>
          <w:tcPr>
            <w:tcW w:type="dxa" w:w="2880"/>
          </w:tcPr>
          <w:p>
            <w:r>
              <w:t>$3,746.11</w:t>
            </w:r>
          </w:p>
        </w:tc>
        <w:tc>
          <w:tcPr>
            <w:tcW w:type="dxa" w:w="2880"/>
          </w:tcPr>
          <w:p>
            <w:r>
              <w:t>9.2086%</w:t>
            </w:r>
          </w:p>
        </w:tc>
      </w:tr>
      <w:tr>
        <w:tc>
          <w:tcPr>
            <w:tcW w:type="dxa" w:w="2880"/>
          </w:tcPr>
          <w:p>
            <w:r>
              <w:t>0.60</w:t>
            </w:r>
          </w:p>
        </w:tc>
        <w:tc>
          <w:tcPr>
            <w:tcW w:type="dxa" w:w="2880"/>
          </w:tcPr>
          <w:p>
            <w:r>
              <w:t>$1,335.65</w:t>
            </w:r>
          </w:p>
        </w:tc>
        <w:tc>
          <w:tcPr>
            <w:tcW w:type="dxa" w:w="2880"/>
          </w:tcPr>
          <w:p>
            <w:r>
              <w:t>1.4685%</w:t>
            </w:r>
          </w:p>
        </w:tc>
      </w:tr>
      <w:tr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$412.44</w:t>
            </w:r>
          </w:p>
        </w:tc>
        <w:tc>
          <w:tcPr>
            <w:tcW w:type="dxa" w:w="2880"/>
          </w:tcPr>
          <w:p>
            <w:r>
              <w:t>0.1869%</w:t>
            </w:r>
          </w:p>
        </w:tc>
      </w:tr>
      <w:tr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$111.85</w:t>
            </w:r>
          </w:p>
        </w:tc>
        <w:tc>
          <w:tcPr>
            <w:tcW w:type="dxa" w:w="2880"/>
          </w:tcPr>
          <w:p>
            <w:r>
              <w:t>0.0197%</w:t>
            </w:r>
          </w:p>
        </w:tc>
      </w:tr>
      <w:tr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$20.24</w:t>
            </w:r>
          </w:p>
        </w:tc>
        <w:tc>
          <w:tcPr>
            <w:tcW w:type="dxa" w:w="2880"/>
          </w:tcPr>
          <w:p>
            <w:r>
              <w:t>0.0013%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$0.00</w:t>
            </w:r>
          </w:p>
        </w:tc>
        <w:tc>
          <w:tcPr>
            <w:tcW w:type="dxa" w:w="2880"/>
          </w:tcPr>
          <w:p>
            <w:r>
              <w:t>0.0000%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The gap explodes as β drops: 1.47 % at β = 0.6, 9.2 % at β = 0.5, 42.7 % at β = 0.4, and 156.8 % at β = 0.3 — the linear strategy's certainty-equivalent cost is more than 2.5× the true optimum.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4.4  Risk-aversion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6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gamm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3. Linear-model trajectories across five risk-aversion levels. Higher γ → more front-loaded liquidation.</w:t>
      </w:r>
    </w:p>
    <w:p>
      <w:pPr>
        <w:spacing w:after="80"/>
        <w:jc w:val="both"/>
      </w:pPr>
      <w:r>
        <w:rPr>
          <w:rFonts w:ascii="Calibri" w:hAnsi="Calibri"/>
          <w:sz w:val="22"/>
        </w:rPr>
        <w:t>Risk aversion γ acts as the urgency dial through κ = √(γσ²/η). Combining this with the β-sweep, the linear and power-law models diverge most dramatically at the (γ high, β low) corner — urgent liquidation in illiquid assets.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4.5  Cost gap as a function of urgency (κ)</w:t>
      </w:r>
    </w:p>
    <w:p>
      <w:pPr>
        <w:spacing w:after="80"/>
        <w:jc w:val="both"/>
      </w:pPr>
      <w:r>
        <w:rPr>
          <w:rFonts w:ascii="Calibri" w:hAnsi="Calibri"/>
          <w:sz w:val="22"/>
        </w:rPr>
        <w:t>Following feedback from our project review, we extended the sensitivity analysis to study how the cost gap varies with the urgency parameter κ. Recall that κ = √(γσ²/η) bundles risk aversion, volatility, and impact cost into a single number. A small κ describes a patient liquidation; a large κ describes an urgent one.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swept κ across nine values from 0.001 (very patient) to 5.0 (extremely urgent), holding σ and η at baseline and adjusting γ accordingly. At each κ we computed both the linear and power-law (β = 0.6) optimal trajectories, then evaluated the linear trajectory under the power-law cost function. The resulting gap quantifies the certainty-equivalent excess cost of using the linear strategy when reality follows a power-law impact rule.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kap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4. Transaction cost gap as a function of urgency κ. Both absolute (red, left axis) and relative (blue dashed, right axis) representations are shown. The gap is small in the patient regime but grows substantially as κ rises.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chart confirms what we observed in the γ trajectory comparison: when liquidation is patient, both models produce near-identical costs, but as urgency rises the linear model's misspecification of impact becomes increasingly expensive. Combined with the β sensitivity in §4.3, this shows two distinct failure modes of the linear model: it breaks down when impact is highly non-linear (low β) OR when liquidation is urgent (high κ). In a real execution context, both can occur simultaneously.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Technical subtlety: the curve is non-monotone, peaking around κ ≈ 0.5–1.0 and shrinking again at κ = 5. At extreme urgency both strategies are forced toward immediate liquidation, so the shapes converge and the relative cost gap contracts.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5.  Discussion &amp; Conclusion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the professor's baseline parameters the linear Almgren-Chriss model carries a certainty-equivalent objective gap of 1.47 % relative to the verified power-law optimum — an order of magnitude larger than the 0.1 % we originally reported using SLSQP alone. The approximation degrades catastrophically in the (β &lt; 0.5, γ high) regime, where a linear optimizer can leave triple-digit percentage excess objective on the table. Production execution systems should calibrate their impact exponent empirically.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5.1  Limitations</w:t>
      </w:r>
    </w:p>
    <w:p>
      <w:pPr>
        <w:spacing w:after="80"/>
        <w:jc w:val="both"/>
      </w:pPr>
      <w:r>
        <w:rPr>
          <w:rFonts w:ascii="Calibri" w:hAnsi="Calibri"/>
          <w:sz w:val="22"/>
        </w:rPr>
        <w:t>Solver robustness: SLSQP hits its iteration cap at extreme parameter values. This motivated the CVXPY re-solve. A production implementation should use an interior-point solver or the analytical KKT conditions for robustness.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η's implicit units across β: a second methodological caveat concerns the β sensitivity analysis. The coefficient η has implicitly different physical units across different β values, because the impact term η·|v|^(1+β) has different dimensional scaling. We kept η fixed across β as specified by the project brief, but this means the β sweep mixes two effects: changing impact curvature, and changing impact scale. A fully rigorous sensitivity would renormalize η at each β to match a reference impact cost. We flag this as a limitation rather than a finding.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Future work: cross-asset impact (portfolio execution), stochastic volatility, and online adaptive execution (reinforcement-learning-based schedules) are natural extensions.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6.  References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[1] Almgren, R. and Chriss, N. (2000). Optimal execution of portfolio transactions. Journal of Risk, 3(2), 5–39.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[2] Almgren, R., Thum, C., Hauptmann, E., and Li, H. (2005). Direct estimation of equity market impact. Risk, 18(7), 58–62.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[3] Bouchaud, J.-P. (2010). Price impact. Encyclopedia of Quantitative Finance.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[4] Cornuéjols, G. and Tütüncü, R. (2007). Optimization Methods in Finance. Cambridge University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