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20"/>
        <w:jc w:val="center"/>
      </w:pPr>
      <w:r>
        <w:rPr>
          <w:rFonts w:ascii="Calibri" w:hAnsi="Calibri"/>
          <w:b/>
          <w:color w:val="0B2D5C"/>
          <w:sz w:val="44"/>
        </w:rPr>
        <w:t>Optimal Execution with</w:t>
        <w:br/>
        <w:t>Non-Linear (Power-Law) Market Impact</w:t>
      </w:r>
    </w:p>
    <w:p>
      <w:pPr>
        <w:jc w:val="center"/>
      </w:pPr>
      <w:r>
        <w:rPr>
          <w:rFonts w:ascii="Calibri" w:hAnsi="Calibri"/>
          <w:sz w:val="28"/>
        </w:rPr>
      </w:r>
    </w:p>
    <w:p>
      <w:pPr>
        <w:jc w:val="center"/>
      </w:pPr>
      <w:r>
        <w:rPr>
          <w:rFonts w:ascii="Calibri" w:hAnsi="Calibri"/>
          <w:sz w:val="28"/>
        </w:rPr>
        <w:t>CODS 612 — Computational Optimization in Finance</w:t>
      </w:r>
    </w:p>
    <w:p>
      <w:pPr>
        <w:jc w:val="center"/>
      </w:pPr>
      <w:r>
        <w:rPr>
          <w:rFonts w:ascii="Calibri" w:hAnsi="Calibri"/>
          <w:sz w:val="28"/>
        </w:rPr>
        <w:t>Authors: Ali &amp; Mohamed</w:t>
      </w:r>
    </w:p>
    <w:p>
      <w:pPr>
        <w:jc w:val="center"/>
      </w:pPr>
      <w:r>
        <w:rPr>
          <w:rFonts w:ascii="Calibri" w:hAnsi="Calibri"/>
          <w:sz w:val="28"/>
        </w:rPr>
        <w:t>Professor: Professor Yerkin</w:t>
      </w:r>
    </w:p>
    <w:p>
      <w:r>
        <w:br w:type="page"/>
      </w:r>
    </w:p>
    <w:p>
      <w:pPr>
        <w:spacing w:before="160" w:after="60"/>
      </w:pPr>
      <w:r>
        <w:rPr>
          <w:rFonts w:ascii="Calibri" w:hAnsi="Calibri"/>
          <w:b/>
          <w:color w:val="0B2D5C"/>
          <w:sz w:val="26"/>
        </w:rPr>
        <w:t>1.  Introduction</w:t>
      </w:r>
    </w:p>
    <w:p>
      <w:pPr>
        <w:spacing w:after="80"/>
        <w:jc w:val="both"/>
      </w:pPr>
      <w:r>
        <w:rPr>
          <w:rFonts w:ascii="Calibri" w:hAnsi="Calibri"/>
          <w:sz w:val="22"/>
        </w:rPr>
        <w:t>Institutional traders who need to unwind large positions face a fundamental tension: liquidating too quickly crashes the price (market-impact cost), while liquidating too slowly leaves residual inventory exposed to volatility (risk penalty). The Almgren-Chriss framework (2000) casts this tradeoff as an explicit optimization problem and has become the industry reference for scheduled execution algorithms (VWAP, TWAP, IS).</w:t>
      </w:r>
    </w:p>
    <w:p>
      <w:pPr>
        <w:spacing w:after="80"/>
        <w:jc w:val="both"/>
      </w:pPr>
      <w:r>
        <w:rPr>
          <w:rFonts w:ascii="Calibri" w:hAnsi="Calibri"/>
          <w:sz w:val="22"/>
        </w:rPr>
        <w:t>The classical formulation assumes linear temporary impact, which makes the problem a convex Quadratic Program with a tidy closed-form solution. However, three decades of empirical work — the so-called "Square Root Law" — consistently show that real impact scales sub-linearly, as |v|^β with β ≈ 0.5–0.6 across equities, FX, and futures.</w:t>
      </w:r>
    </w:p>
    <w:p>
      <w:pPr>
        <w:spacing w:after="80"/>
        <w:jc w:val="both"/>
      </w:pPr>
      <w:r>
        <w:rPr>
          <w:rFonts w:ascii="Calibri" w:hAnsi="Calibri"/>
          <w:sz w:val="22"/>
        </w:rPr>
        <w:t>This project implements both models, compares their optimal trajectories under the professor's parameter set, and quantifies the objective-value gap: how much higher the linear strategy's expected certainty-equivalent cost is under the true power-law model. We verify our numerical solution with an independent CVXPY power-cone solver because the original SLSQP solver was found to terminate at sub-optimal points at low β.</w:t>
      </w:r>
    </w:p>
    <w:p>
      <w:pPr>
        <w:spacing w:before="160" w:after="60"/>
      </w:pPr>
      <w:r>
        <w:rPr>
          <w:rFonts w:ascii="Calibri" w:hAnsi="Calibri"/>
          <w:b/>
          <w:color w:val="0B2D5C"/>
          <w:sz w:val="26"/>
        </w:rPr>
        <w:t>2.  Theoretical Framework</w:t>
      </w:r>
    </w:p>
    <w:p>
      <w:pPr>
        <w:spacing w:after="80"/>
        <w:jc w:val="both"/>
      </w:pPr>
      <w:r>
        <w:rPr>
          <w:rFonts w:ascii="Calibri" w:hAnsi="Calibri"/>
          <w:sz w:val="22"/>
        </w:rPr>
        <w:t>Let X = 1,000,000 shares be liquidated over N = 50 trading intervals across the liquidation horizon. If this is interpreted as one 6.5-hour trading day, each interval is approximately 7.8 minutes. Define x_k as the inventory remaining after period k, with boundary conditions x_0 = X and x_N = 0. Per-period trades are v_k = x_{k−1} − x_k. The general objective with a power-law impact exponent β is:</w:t>
      </w:r>
    </w:p>
    <w:p>
      <w:pPr>
        <w:jc w:val="center"/>
      </w:pPr>
      <w:r>
        <w:rPr>
          <w:rFonts w:ascii="Calibri" w:hAnsi="Calibri"/>
          <w:i/>
          <w:sz w:val="24"/>
        </w:rPr>
        <w:t>min_x  Σ [ η · |v_k|^(1+β)  +  γ · σ² · x_k² ]</w:t>
      </w:r>
    </w:p>
    <w:p>
      <w:pPr>
        <w:spacing w:before="160" w:after="60"/>
      </w:pPr>
      <w:r>
        <w:rPr>
          <w:rFonts w:ascii="Calibri" w:hAnsi="Calibri"/>
          <w:b/>
          <w:color w:val="0B2D5C"/>
          <w:sz w:val="24"/>
        </w:rPr>
        <w:t>2.1  Linear Model (β = 1.0)</w:t>
      </w:r>
    </w:p>
    <w:p>
      <w:pPr>
        <w:spacing w:after="80"/>
        <w:jc w:val="both"/>
      </w:pPr>
      <w:r>
        <w:rPr>
          <w:rFonts w:ascii="Calibri" w:hAnsi="Calibri"/>
          <w:sz w:val="22"/>
        </w:rPr>
        <w:t>Setting β = 1.0 reduces the impact term to η·v_k², giving a pure Quadratic Program with closed-form solution x_k = X · sinh(κ(N−k)) / sinh(κN), where κ = √(γσ²/η) is the continuous-time / small-step approximation of the urgency parameter. The exact discrete-time value is θ = arccosh(1 + γσ²/(2η)). At the baseline parameters θ and κ differ by less than 1e-10, so we use the simpler form.</w:t>
      </w:r>
    </w:p>
    <w:p>
      <w:pPr>
        <w:spacing w:before="160" w:after="60"/>
      </w:pPr>
      <w:r>
        <w:rPr>
          <w:rFonts w:ascii="Calibri" w:hAnsi="Calibri"/>
          <w:b/>
          <w:color w:val="0B2D5C"/>
          <w:sz w:val="24"/>
        </w:rPr>
        <w:t>2.2  Power-Law Model (β = 0.6)</w:t>
      </w:r>
    </w:p>
    <w:p>
      <w:pPr>
        <w:spacing w:after="80"/>
        <w:jc w:val="both"/>
      </w:pPr>
      <w:r>
        <w:rPr>
          <w:rFonts w:ascii="Calibri" w:hAnsi="Calibri"/>
          <w:sz w:val="22"/>
        </w:rPr>
        <w:t>When β is less than 1.0, the marginal price impact per share — I(v) proportional to |v|^β — is concave in trade size. However, the total temporary cost term v·I(v) proportional to |v|^(1+β) remains convex for all β &gt; 0. The optimization problem is therefore still convex; it simply admits no closed-form solution and must be solved numerically. The absolute value |v_k| is essential because a fractional exponent on a negative number is undefined in ℝ — the solver may traverse points with negative v_k during iteration.</w:t>
      </w:r>
    </w:p>
    <w:p>
      <w:pPr>
        <w:spacing w:before="160" w:after="60"/>
      </w:pPr>
      <w:r>
        <w:rPr>
          <w:rFonts w:ascii="Calibri" w:hAnsi="Calibri"/>
          <w:b/>
          <w:color w:val="0B2D5C"/>
          <w:sz w:val="26"/>
        </w:rPr>
        <w:t>3.  Methodology</w:t>
      </w:r>
    </w:p>
    <w:p>
      <w:pPr>
        <w:spacing w:after="80"/>
        <w:jc w:val="both"/>
      </w:pPr>
      <w:r>
        <w:rPr>
          <w:rFonts w:ascii="Calibri" w:hAnsi="Calibri"/>
          <w:sz w:val="22"/>
        </w:rPr>
        <w:t>Baseline parameters: X = 1,000,000 shares, N = 50 intervals, σ = 0.02, γ = 2.5·10⁻⁶, η = 2.0·10⁻⁴, β = 0.6.</w:t>
      </w:r>
    </w:p>
    <w:p>
      <w:pPr>
        <w:spacing w:after="80"/>
        <w:jc w:val="both"/>
      </w:pPr>
      <w:r>
        <w:rPr>
          <w:rFonts w:ascii="Calibri" w:hAnsi="Calibri"/>
          <w:sz w:val="22"/>
        </w:rPr>
        <w:t>The linear model is evaluated from the closed-form sinh expression. The power-law model is solved using two independent optimizers: SLSQP (scipy) on the 49 intermediate inventory levels, and CVXPY (SCS / CLARABEL) using a disciplined-convex power-cone formulation in normalized units u = v/X.</w:t>
      </w:r>
    </w:p>
    <w:p>
      <w:pPr>
        <w:spacing w:after="80"/>
        <w:jc w:val="both"/>
      </w:pPr>
      <w:r>
        <w:rPr>
          <w:rFonts w:ascii="Calibri" w:hAnsi="Calibri"/>
          <w:sz w:val="22"/>
        </w:rPr>
        <w:t>CVXPY verification: to verify our SLSQP solver we independently re-solved the power-law problem using CVXPY with power-cone constraints. The two solvers agree for β ≥ 0.8 to within 1e-04 relative objective, but at lower β — where the objective landscape is very flat and SLSQP's monotonicity-constrained line-search struggles — CVXPY finds lower-cost optima (up to 26.3% lower objective at β = 0.3). The numerical results reported below use CVXPY as the primary solver; SLSQP served as an independent cross-check.</w:t>
      </w:r>
    </w:p>
    <w:p>
      <w:pPr>
        <w:spacing w:before="160" w:after="60"/>
      </w:pPr>
      <w:r>
        <w:rPr>
          <w:rFonts w:ascii="Calibri" w:hAnsi="Calibri"/>
          <w:b/>
          <w:color w:val="0B2D5C"/>
          <w:sz w:val="26"/>
        </w:rPr>
        <w:t>4.  Results</w:t>
      </w:r>
    </w:p>
    <w:p>
      <w:pPr>
        <w:spacing w:before="160" w:after="60"/>
      </w:pPr>
      <w:r>
        <w:rPr>
          <w:rFonts w:ascii="Calibri" w:hAnsi="Calibri"/>
          <w:b/>
          <w:color w:val="0B2D5C"/>
          <w:sz w:val="24"/>
        </w:rPr>
        <w:t>4.1  Trajectories at baseline parameters</w:t>
      </w:r>
    </w:p>
    <w:p>
      <w:pPr>
        <w:spacing w:after="80"/>
        <w:jc w:val="both"/>
      </w:pPr>
      <w:r>
        <w:rPr>
          <w:rFonts w:ascii="Calibri" w:hAnsi="Calibri"/>
          <w:sz w:val="22"/>
        </w:rPr>
        <w:t>At baseline γ the linear model produces a near-straight-line trajectory — κN ≈ 0.35 is small, so the sinh curve is almost linear and the schedule is close to TWAP (~20,000 shares per interval). The power-law trajectory at β = 0.6 is meaningfully more front-loaded than SLSQP had estimated: v_1 ≈ 28,588 shares vs. SLSQP's 21,909.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440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ectory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44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55E6B"/>
          <w:sz w:val="18"/>
        </w:rPr>
        <w:t>Figure 1. Linear vs. power-law (β=0.6) optimal trajectories.</w:t>
      </w:r>
    </w:p>
    <w:p>
      <w:pPr>
        <w:spacing w:before="160" w:after="60"/>
      </w:pPr>
      <w:r>
        <w:rPr>
          <w:rFonts w:ascii="Calibri" w:hAnsi="Calibri"/>
          <w:b/>
          <w:color w:val="0B2D5C"/>
          <w:sz w:val="24"/>
        </w:rPr>
        <w:t>4.2  Cost mismatch analysis</w:t>
      </w:r>
    </w:p>
    <w:p>
      <w:pPr>
        <w:spacing w:after="80"/>
        <w:jc w:val="both"/>
      </w:pPr>
      <w:r>
        <w:rPr>
          <w:rFonts w:ascii="Calibri" w:hAnsi="Calibri"/>
          <w:sz w:val="22"/>
        </w:rPr>
        <w:t>We evaluate four certainty-equivalent costs — two trajectories × two cost models — to isolate the excess objective under the power-law model incurred by optimizing with a linear-impact assumption: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Label</w:t>
            </w:r>
          </w:p>
        </w:tc>
        <w:tc>
          <w:tcPr>
            <w:tcW w:type="dxa" w:w="2160"/>
          </w:tcPr>
          <w:p>
            <w:r>
              <w:t>Trajectory</w:t>
            </w:r>
          </w:p>
        </w:tc>
        <w:tc>
          <w:tcPr>
            <w:tcW w:type="dxa" w:w="2160"/>
          </w:tcPr>
          <w:p>
            <w:r>
              <w:t>Cost model</w:t>
            </w:r>
          </w:p>
        </w:tc>
        <w:tc>
          <w:tcPr>
            <w:tcW w:type="dxa" w:w="2160"/>
          </w:tcPr>
          <w:p>
            <w:r>
              <w:t>Cost</w:t>
            </w:r>
          </w:p>
        </w:tc>
      </w:tr>
      <w:tr>
        <w:tc>
          <w:tcPr>
            <w:tcW w:type="dxa" w:w="2160"/>
          </w:tcPr>
          <w:p>
            <w:r>
              <w:t>(a)</w:t>
            </w:r>
          </w:p>
        </w:tc>
        <w:tc>
          <w:tcPr>
            <w:tcW w:type="dxa" w:w="2160"/>
          </w:tcPr>
          <w:p>
            <w:r>
              <w:t>Linear</w:t>
            </w:r>
          </w:p>
        </w:tc>
        <w:tc>
          <w:tcPr>
            <w:tcW w:type="dxa" w:w="2160"/>
          </w:tcPr>
          <w:p>
            <w:r>
              <w:t>Linear</w:t>
            </w:r>
          </w:p>
        </w:tc>
        <w:tc>
          <w:tcPr>
            <w:tcW w:type="dxa" w:w="2160"/>
          </w:tcPr>
          <w:p>
            <w:r>
              <w:t>$4,016,156</w:t>
            </w:r>
          </w:p>
        </w:tc>
      </w:tr>
      <w:tr>
        <w:tc>
          <w:tcPr>
            <w:tcW w:type="dxa" w:w="2160"/>
          </w:tcPr>
          <w:p>
            <w:r>
              <w:t>(b)</w:t>
            </w:r>
          </w:p>
        </w:tc>
        <w:tc>
          <w:tcPr>
            <w:tcW w:type="dxa" w:w="2160"/>
          </w:tcPr>
          <w:p>
            <w:r>
              <w:t>Linear</w:t>
            </w:r>
          </w:p>
        </w:tc>
        <w:tc>
          <w:tcPr>
            <w:tcW w:type="dxa" w:w="2160"/>
          </w:tcPr>
          <w:p>
            <w:r>
              <w:t>Power-law β=0.6</w:t>
            </w:r>
          </w:p>
        </w:tc>
        <w:tc>
          <w:tcPr>
            <w:tcW w:type="dxa" w:w="2160"/>
          </w:tcPr>
          <w:p>
            <w:r>
              <w:t>$92,289</w:t>
            </w:r>
          </w:p>
        </w:tc>
      </w:tr>
      <w:tr>
        <w:tc>
          <w:tcPr>
            <w:tcW w:type="dxa" w:w="2160"/>
          </w:tcPr>
          <w:p>
            <w:r>
              <w:t>(c)</w:t>
            </w:r>
          </w:p>
        </w:tc>
        <w:tc>
          <w:tcPr>
            <w:tcW w:type="dxa" w:w="2160"/>
          </w:tcPr>
          <w:p>
            <w:r>
              <w:t>Power-law</w:t>
            </w:r>
          </w:p>
        </w:tc>
        <w:tc>
          <w:tcPr>
            <w:tcW w:type="dxa" w:w="2160"/>
          </w:tcPr>
          <w:p>
            <w:r>
              <w:t>Power-law β=0.6</w:t>
            </w:r>
          </w:p>
        </w:tc>
        <w:tc>
          <w:tcPr>
            <w:tcW w:type="dxa" w:w="2160"/>
          </w:tcPr>
          <w:p>
            <w:r>
              <w:t>$90,953</w:t>
            </w:r>
          </w:p>
        </w:tc>
      </w:tr>
      <w:tr>
        <w:tc>
          <w:tcPr>
            <w:tcW w:type="dxa" w:w="2160"/>
          </w:tcPr>
          <w:p>
            <w:r>
              <w:t>(d)</w:t>
            </w:r>
          </w:p>
        </w:tc>
        <w:tc>
          <w:tcPr>
            <w:tcW w:type="dxa" w:w="2160"/>
          </w:tcPr>
          <w:p>
            <w:r>
              <w:t>Power-law</w:t>
            </w:r>
          </w:p>
        </w:tc>
        <w:tc>
          <w:tcPr>
            <w:tcW w:type="dxa" w:w="2160"/>
          </w:tcPr>
          <w:p>
            <w:r>
              <w:t>Linear</w:t>
            </w:r>
          </w:p>
        </w:tc>
        <w:tc>
          <w:tcPr>
            <w:tcW w:type="dxa" w:w="2160"/>
          </w:tcPr>
          <w:p>
            <w:r>
              <w:t>$4,149,501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Objective gap (b) − (c)</w:t>
            </w:r>
          </w:p>
        </w:tc>
        <w:tc>
          <w:tcPr>
            <w:tcW w:type="dxa" w:w="2160"/>
          </w:tcPr>
          <w:p>
            <w:r>
              <w:t>$1,336   (1.47 %)</w:t>
            </w:r>
          </w:p>
        </w:tc>
      </w:tr>
    </w:tbl>
    <w:p>
      <w:pPr>
        <w:spacing w:after="80"/>
        <w:jc w:val="both"/>
      </w:pPr>
      <w:r>
        <w:rPr>
          <w:rFonts w:ascii="Calibri" w:hAnsi="Calibri"/>
          <w:sz w:val="22"/>
        </w:rPr>
        <w:t>At baseline the linear trajectory incurs an objective-value gap of $1,336 — 1.47 % above the verified power-law optimum. Note that this gap combines two effects: a true impact-cost difference and a risk-penalty difference. At the baseline parameters the power-law optimum typically achieves similar direct impact cost to the linear trajectory but pays less in risk penalty. The gap therefore reflects a utility-weighted certainty-equivalent cost under the chosen γ, not pure realized cash slippage.</w:t>
      </w:r>
    </w:p>
    <w:p>
      <w:pPr>
        <w:spacing w:before="160" w:after="60"/>
      </w:pPr>
      <w:r>
        <w:rPr>
          <w:rFonts w:ascii="Calibri" w:hAnsi="Calibri"/>
          <w:b/>
          <w:color w:val="0B2D5C"/>
          <w:sz w:val="24"/>
        </w:rPr>
        <w:t>4.3  Objective gap vs. 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1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_gap_vs_be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1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55E6B"/>
          <w:sz w:val="18"/>
        </w:rPr>
        <w:t>Figure 2. Certainty-equivalent objective gap of the linear trajectory under the true power-law model, as a function of β.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β</w:t>
            </w:r>
          </w:p>
        </w:tc>
        <w:tc>
          <w:tcPr>
            <w:tcW w:type="dxa" w:w="2880"/>
          </w:tcPr>
          <w:p>
            <w:r>
              <w:t>gap (abs)</w:t>
            </w:r>
          </w:p>
        </w:tc>
        <w:tc>
          <w:tcPr>
            <w:tcW w:type="dxa" w:w="2880"/>
          </w:tcPr>
          <w:p>
            <w:r>
              <w:t>gap (%)</w:t>
            </w:r>
          </w:p>
        </w:tc>
      </w:tr>
      <w:tr>
        <w:tc>
          <w:tcPr>
            <w:tcW w:type="dxa" w:w="2880"/>
          </w:tcPr>
          <w:p>
            <w:r>
              <w:t>0.30</w:t>
            </w:r>
          </w:p>
        </w:tc>
        <w:tc>
          <w:tcPr>
            <w:tcW w:type="dxa" w:w="2880"/>
          </w:tcPr>
          <w:p>
            <w:r>
              <w:t>$12,239.18</w:t>
            </w:r>
          </w:p>
        </w:tc>
        <w:tc>
          <w:tcPr>
            <w:tcW w:type="dxa" w:w="2880"/>
          </w:tcPr>
          <w:p>
            <w:r>
              <w:t>156.8005%</w:t>
            </w:r>
          </w:p>
        </w:tc>
      </w:tr>
      <w:tr>
        <w:tc>
          <w:tcPr>
            <w:tcW w:type="dxa" w:w="2880"/>
          </w:tcPr>
          <w:p>
            <w:r>
              <w:t>0.40</w:t>
            </w:r>
          </w:p>
        </w:tc>
        <w:tc>
          <w:tcPr>
            <w:tcW w:type="dxa" w:w="2880"/>
          </w:tcPr>
          <w:p>
            <w:r>
              <w:t>$7,977.78</w:t>
            </w:r>
          </w:p>
        </w:tc>
        <w:tc>
          <w:tcPr>
            <w:tcW w:type="dxa" w:w="2880"/>
          </w:tcPr>
          <w:p>
            <w:r>
              <w:t>42.7291%</w:t>
            </w:r>
          </w:p>
        </w:tc>
      </w:tr>
      <w:tr>
        <w:tc>
          <w:tcPr>
            <w:tcW w:type="dxa" w:w="2880"/>
          </w:tcPr>
          <w:p>
            <w:r>
              <w:t>0.50</w:t>
            </w:r>
          </w:p>
        </w:tc>
        <w:tc>
          <w:tcPr>
            <w:tcW w:type="dxa" w:w="2880"/>
          </w:tcPr>
          <w:p>
            <w:r>
              <w:t>$3,746.11</w:t>
            </w:r>
          </w:p>
        </w:tc>
        <w:tc>
          <w:tcPr>
            <w:tcW w:type="dxa" w:w="2880"/>
          </w:tcPr>
          <w:p>
            <w:r>
              <w:t>9.2086%</w:t>
            </w:r>
          </w:p>
        </w:tc>
      </w:tr>
      <w:tr>
        <w:tc>
          <w:tcPr>
            <w:tcW w:type="dxa" w:w="2880"/>
          </w:tcPr>
          <w:p>
            <w:r>
              <w:t>0.60</w:t>
            </w:r>
          </w:p>
        </w:tc>
        <w:tc>
          <w:tcPr>
            <w:tcW w:type="dxa" w:w="2880"/>
          </w:tcPr>
          <w:p>
            <w:r>
              <w:t>$1,335.65</w:t>
            </w:r>
          </w:p>
        </w:tc>
        <w:tc>
          <w:tcPr>
            <w:tcW w:type="dxa" w:w="2880"/>
          </w:tcPr>
          <w:p>
            <w:r>
              <w:t>1.4685%</w:t>
            </w:r>
          </w:p>
        </w:tc>
      </w:tr>
      <w:tr>
        <w:tc>
          <w:tcPr>
            <w:tcW w:type="dxa" w:w="2880"/>
          </w:tcPr>
          <w:p>
            <w:r>
              <w:t>0.70</w:t>
            </w:r>
          </w:p>
        </w:tc>
        <w:tc>
          <w:tcPr>
            <w:tcW w:type="dxa" w:w="2880"/>
          </w:tcPr>
          <w:p>
            <w:r>
              <w:t>$412.44</w:t>
            </w:r>
          </w:p>
        </w:tc>
        <w:tc>
          <w:tcPr>
            <w:tcW w:type="dxa" w:w="2880"/>
          </w:tcPr>
          <w:p>
            <w:r>
              <w:t>0.1869%</w:t>
            </w:r>
          </w:p>
        </w:tc>
      </w:tr>
      <w:tr>
        <w:tc>
          <w:tcPr>
            <w:tcW w:type="dxa" w:w="2880"/>
          </w:tcPr>
          <w:p>
            <w:r>
              <w:t>0.80</w:t>
            </w:r>
          </w:p>
        </w:tc>
        <w:tc>
          <w:tcPr>
            <w:tcW w:type="dxa" w:w="2880"/>
          </w:tcPr>
          <w:p>
            <w:r>
              <w:t>$111.85</w:t>
            </w:r>
          </w:p>
        </w:tc>
        <w:tc>
          <w:tcPr>
            <w:tcW w:type="dxa" w:w="2880"/>
          </w:tcPr>
          <w:p>
            <w:r>
              <w:t>0.0197%</w:t>
            </w:r>
          </w:p>
        </w:tc>
      </w:tr>
      <w:tr>
        <w:tc>
          <w:tcPr>
            <w:tcW w:type="dxa" w:w="2880"/>
          </w:tcPr>
          <w:p>
            <w:r>
              <w:t>0.90</w:t>
            </w:r>
          </w:p>
        </w:tc>
        <w:tc>
          <w:tcPr>
            <w:tcW w:type="dxa" w:w="2880"/>
          </w:tcPr>
          <w:p>
            <w:r>
              <w:t>$20.24</w:t>
            </w:r>
          </w:p>
        </w:tc>
        <w:tc>
          <w:tcPr>
            <w:tcW w:type="dxa" w:w="2880"/>
          </w:tcPr>
          <w:p>
            <w:r>
              <w:t>0.0013%</w:t>
            </w:r>
          </w:p>
        </w:tc>
      </w:tr>
      <w:tr>
        <w:tc>
          <w:tcPr>
            <w:tcW w:type="dxa" w:w="2880"/>
          </w:tcPr>
          <w:p>
            <w:r>
              <w:t>1.00</w:t>
            </w:r>
          </w:p>
        </w:tc>
        <w:tc>
          <w:tcPr>
            <w:tcW w:type="dxa" w:w="2880"/>
          </w:tcPr>
          <w:p>
            <w:r>
              <w:t>$0.00</w:t>
            </w:r>
          </w:p>
        </w:tc>
        <w:tc>
          <w:tcPr>
            <w:tcW w:type="dxa" w:w="2880"/>
          </w:tcPr>
          <w:p>
            <w:r>
              <w:t>0.0000%</w:t>
            </w:r>
          </w:p>
        </w:tc>
      </w:tr>
    </w:tbl>
    <w:p>
      <w:pPr>
        <w:spacing w:after="80"/>
        <w:jc w:val="both"/>
      </w:pPr>
      <w:r>
        <w:rPr>
          <w:rFonts w:ascii="Calibri" w:hAnsi="Calibri"/>
          <w:sz w:val="22"/>
        </w:rPr>
        <w:t>The gap explodes as β drops: 1.47 % at β = 0.6, 9.2 % at β = 0.5, 42.7 % at β = 0.4, and 156.8 % at β = 0.3 — the linear strategy's certainty-equivalent cost is more than 2.5× the true optimum.</w:t>
      </w:r>
    </w:p>
    <w:p>
      <w:pPr>
        <w:spacing w:before="160" w:after="60"/>
      </w:pPr>
      <w:r>
        <w:rPr>
          <w:rFonts w:ascii="Calibri" w:hAnsi="Calibri"/>
          <w:b/>
          <w:color w:val="0B2D5C"/>
          <w:sz w:val="24"/>
        </w:rPr>
        <w:t>4.4  Risk-aversion sensitivity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29626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ar_gamma_sensitiv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962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55E6B"/>
          <w:sz w:val="18"/>
        </w:rPr>
        <w:t>Figure 3. Linear-model trajectories across five risk-aversion levels. Higher γ → more front-loaded liquidation.</w:t>
      </w:r>
    </w:p>
    <w:p>
      <w:pPr>
        <w:spacing w:after="80"/>
        <w:jc w:val="both"/>
      </w:pPr>
      <w:r>
        <w:rPr>
          <w:rFonts w:ascii="Calibri" w:hAnsi="Calibri"/>
          <w:sz w:val="22"/>
        </w:rPr>
        <w:t>Risk aversion γ acts as the urgency dial through κ = √(γσ²/η). Combining this with the β-sweep, the linear and power-law models diverge most dramatically at the (γ high, β low) corner — urgent liquidation in illiquid assets.</w:t>
      </w:r>
    </w:p>
    <w:p>
      <w:pPr>
        <w:spacing w:before="160" w:after="60"/>
      </w:pPr>
      <w:r>
        <w:rPr>
          <w:rFonts w:ascii="Calibri" w:hAnsi="Calibri"/>
          <w:b/>
          <w:color w:val="0B2D5C"/>
          <w:sz w:val="24"/>
        </w:rPr>
        <w:t>4.5  Cost gap as a function of urgency (κ)</w:t>
      </w:r>
    </w:p>
    <w:p>
      <w:pPr>
        <w:spacing w:after="80"/>
        <w:jc w:val="both"/>
      </w:pPr>
      <w:r>
        <w:rPr>
          <w:rFonts w:ascii="Calibri" w:hAnsi="Calibri"/>
          <w:sz w:val="22"/>
        </w:rPr>
        <w:t>Following feedback from our project review, we extended the sensitivity analysis to study how the cost gap varies with the urgency parameter κ. Recall that κ = √(γσ²/η) bundles risk aversion, volatility, and impact cost into a single number. A small κ describes a patient liquidation; a large κ describes an urgent one.</w:t>
      </w:r>
    </w:p>
    <w:p>
      <w:pPr>
        <w:spacing w:after="80"/>
        <w:jc w:val="both"/>
      </w:pPr>
      <w:r>
        <w:rPr>
          <w:rFonts w:ascii="Calibri" w:hAnsi="Calibri"/>
          <w:sz w:val="22"/>
        </w:rPr>
        <w:t>We swept κ across nine values from 0.001 (very patient) to 5.0 (extremely urgent), holding σ and η at baseline and adjusting γ accordingly. At each κ we computed both the linear and power-law (β = 0.6) optimal trajectories, then evaluated the linear trajectory under the power-law cost function. The resulting gap quantifies the certainty-equivalent excess cost of using the linear strategy when reality follows a power-law impact rule.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947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_gap_vs_kapp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94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55E6B"/>
          <w:sz w:val="18"/>
        </w:rPr>
        <w:t>Figure 4. Transaction cost gap as a function of urgency κ. Both absolute (red, left axis) and relative (blue dashed, right axis) representations are shown. The gap is small in the patient regime but grows substantially as κ rises.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974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_vs_kappa_two_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97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55E6B"/>
          <w:sz w:val="18"/>
        </w:rPr>
        <w:t>Figure 5. Transaction costs of the linear and power-law strategies plotted across the κ range. The vertical separation between the two lines is the cost gap shown in Figure 4.</w:t>
      </w:r>
    </w:p>
    <w:p>
      <w:pPr>
        <w:spacing w:after="80"/>
        <w:jc w:val="both"/>
      </w:pPr>
      <w:r>
        <w:rPr>
          <w:rFonts w:ascii="Calibri" w:hAnsi="Calibri"/>
          <w:sz w:val="22"/>
        </w:rPr>
        <w:t>Figure 5 presents the same κ sweep in absolute cost terms rather than relative gap. Both strategies' total transaction costs are plotted on a logarithmic axis. The visual divergence makes the practical scale of the disagreement clear: at moderate urgency the linear strategy can cost orders of magnitude more than the power-law optimum. At very high κ, both strategies converge as the optimal action becomes near-immediate liquidation under both impact models.</w:t>
      </w:r>
    </w:p>
    <w:p>
      <w:pPr>
        <w:spacing w:after="80"/>
        <w:jc w:val="both"/>
      </w:pPr>
      <w:r>
        <w:rPr>
          <w:rFonts w:ascii="Calibri" w:hAnsi="Calibri"/>
          <w:sz w:val="22"/>
        </w:rPr>
        <w:t>The chart confirms what we observed in the γ trajectory comparison: when liquidation is patient, both models produce near-identical costs, but as urgency rises the linear model's misspecification of impact becomes increasingly expensive. Combined with the β sensitivity in §4.3, this shows two distinct failure modes of the linear model: it breaks down when impact is highly non-linear (low β) OR when liquidation is urgent (high κ). In a real execution context, both can occur simultaneously.</w:t>
      </w:r>
    </w:p>
    <w:p>
      <w:pPr>
        <w:spacing w:after="80"/>
        <w:jc w:val="both"/>
      </w:pPr>
      <w:r>
        <w:rPr>
          <w:rFonts w:ascii="Calibri" w:hAnsi="Calibri"/>
          <w:sz w:val="22"/>
        </w:rPr>
        <w:t>Technical subtlety: the curve is non-monotone, peaking around κ ≈ 0.5–1.0 and shrinking again at κ = 5. At extreme urgency both strategies are forced toward immediate liquidation, so the shapes converge and the relative cost gap contracts.</w:t>
      </w:r>
    </w:p>
    <w:p>
      <w:pPr>
        <w:spacing w:before="160" w:after="60"/>
      </w:pPr>
      <w:r>
        <w:rPr>
          <w:rFonts w:ascii="Calibri" w:hAnsi="Calibri"/>
          <w:b/>
          <w:color w:val="0B2D5C"/>
          <w:sz w:val="26"/>
        </w:rPr>
        <w:t>5.  Discussion &amp; Conclusion</w:t>
      </w:r>
    </w:p>
    <w:p>
      <w:pPr>
        <w:spacing w:after="80"/>
        <w:jc w:val="both"/>
      </w:pPr>
      <w:r>
        <w:rPr>
          <w:rFonts w:ascii="Calibri" w:hAnsi="Calibri"/>
          <w:sz w:val="22"/>
        </w:rPr>
        <w:t>At the professor's baseline parameters the linear Almgren-Chriss model carries a certainty-equivalent objective gap of 1.47 % relative to the verified power-law optimum — an order of magnitude larger than the 0.1 % we originally reported using SLSQP alone. The approximation degrades catastrophically in the (β &lt; 0.5, γ high) regime, where a linear optimizer can leave triple-digit percentage excess objective on the table. Production execution systems should calibrate their impact exponent empirically.</w:t>
      </w:r>
    </w:p>
    <w:p>
      <w:pPr>
        <w:spacing w:before="160" w:after="60"/>
      </w:pPr>
      <w:r>
        <w:rPr>
          <w:rFonts w:ascii="Calibri" w:hAnsi="Calibri"/>
          <w:b/>
          <w:color w:val="0B2D5C"/>
          <w:sz w:val="24"/>
        </w:rPr>
        <w:t>5.1  Limitations</w:t>
      </w:r>
    </w:p>
    <w:p>
      <w:pPr>
        <w:spacing w:after="80"/>
        <w:jc w:val="both"/>
      </w:pPr>
      <w:r>
        <w:rPr>
          <w:rFonts w:ascii="Calibri" w:hAnsi="Calibri"/>
          <w:sz w:val="22"/>
        </w:rPr>
        <w:t>Solver robustness: SLSQP hits its iteration cap at extreme parameter values. This motivated the CVXPY re-solve. A production implementation should use an interior-point solver or the analytical KKT conditions for robustness.</w:t>
      </w:r>
    </w:p>
    <w:p>
      <w:pPr>
        <w:spacing w:after="80"/>
        <w:jc w:val="both"/>
      </w:pPr>
      <w:r>
        <w:rPr>
          <w:rFonts w:ascii="Calibri" w:hAnsi="Calibri"/>
          <w:sz w:val="22"/>
        </w:rPr>
        <w:t>η's implicit units across β: a second methodological caveat concerns the β sensitivity analysis. The coefficient η has implicitly different physical units across different β values, because the impact term η·|v|^(1+β) has different dimensional scaling. We kept η fixed across β as specified by the project brief, but this means the β sweep mixes two effects: changing impact curvature, and changing impact scale. A fully rigorous sensitivity would renormalize η at each β to match a reference impact cost. We flag this as a limitation rather than a finding.</w:t>
      </w:r>
    </w:p>
    <w:p>
      <w:pPr>
        <w:spacing w:after="80"/>
        <w:jc w:val="both"/>
      </w:pPr>
      <w:r>
        <w:rPr>
          <w:rFonts w:ascii="Calibri" w:hAnsi="Calibri"/>
          <w:sz w:val="22"/>
        </w:rPr>
        <w:t>Future work: cross-asset impact (portfolio execution), stochastic volatility, and online adaptive execution (reinforcement-learning-based schedules) are natural extensions.</w:t>
      </w:r>
    </w:p>
    <w:p>
      <w:pPr>
        <w:spacing w:before="160" w:after="60"/>
      </w:pPr>
      <w:r>
        <w:rPr>
          <w:rFonts w:ascii="Calibri" w:hAnsi="Calibri"/>
          <w:b/>
          <w:color w:val="0B2D5C"/>
          <w:sz w:val="26"/>
        </w:rPr>
        <w:t>6.  References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[1] Almgren, R. and Chriss, N. (2000). Optimal execution of portfolio transactions. Journal of Risk, 3(2), 5–39.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[2] Almgren, R., Thum, C., Hauptmann, E., and Li, H. (2005). Direct estimation of equity market impact. Risk, 18(7), 58–62.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[3] Bouchaud, J.-P. (2010). Price impact. Encyclopedia of Quantitative Finance.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[4] Cornuéjols, G. and Tütüncü, R. (2007). Optimization Methods in Finance. Cambridge University Press.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