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DA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880"/>
        <w:jc w:val="center"/>
        <w:textAlignment w:val="auto"/>
        <w:rPr>
          <w:b/>
          <w:bCs/>
          <w:color w:val="31859C" w:themeColor="accent5" w:themeShade="BF"/>
          <w:sz w:val="36"/>
          <w:szCs w:val="36"/>
        </w:rPr>
      </w:pPr>
      <w:r>
        <w:rPr>
          <w:rFonts w:hint="default"/>
          <w:b/>
          <w:bCs/>
          <w:i/>
          <w:iCs/>
          <w:sz w:val="24"/>
          <w:szCs w:val="24"/>
          <w:lang w:val="es-ES"/>
        </w:rPr>
        <w:t>Universidad de Caldas</w:t>
      </w:r>
    </w:p>
    <w:p w14:paraId="5141D2F7">
      <w:pPr>
        <w:spacing w:before="1440" w:after="360"/>
        <w:jc w:val="center"/>
        <w:rPr>
          <w:color w:val="31859C" w:themeColor="accent5" w:themeShade="BF"/>
        </w:rPr>
      </w:pPr>
      <w:r>
        <w:rPr>
          <w:b/>
          <w:bCs/>
          <w:color w:val="31859C" w:themeColor="accent5" w:themeShade="BF"/>
          <w:sz w:val="36"/>
          <w:szCs w:val="36"/>
        </w:rPr>
        <w:t>ESPECIFICACIONES DE ENTREGABLES</w:t>
      </w:r>
    </w:p>
    <w:p w14:paraId="550F3C9F">
      <w:pPr>
        <w:spacing w:after="240"/>
        <w:jc w:val="center"/>
        <w:rPr>
          <w:color w:val="31859C" w:themeColor="accent5" w:themeShade="BF"/>
        </w:rPr>
      </w:pPr>
      <w:r>
        <w:rPr>
          <w:color w:val="31859C" w:themeColor="accent5" w:themeShade="BF"/>
          <w:sz w:val="28"/>
          <w:szCs w:val="28"/>
        </w:rPr>
        <w:t>Proyecto K-Q</w:t>
      </w:r>
      <w:r>
        <w:rPr>
          <w:rFonts w:hint="default"/>
          <w:color w:val="31859C" w:themeColor="accent5" w:themeShade="BF"/>
          <w:sz w:val="28"/>
          <w:szCs w:val="28"/>
          <w:lang w:val="es-ES"/>
        </w:rPr>
        <w:t>G</w:t>
      </w:r>
      <w:r>
        <w:rPr>
          <w:color w:val="31859C" w:themeColor="accent5" w:themeShade="BF"/>
          <w:sz w:val="28"/>
          <w:szCs w:val="28"/>
        </w:rPr>
        <w:t>MIP: Manual de Usuario</w:t>
      </w:r>
    </w:p>
    <w:p w14:paraId="620B2839">
      <w:pPr>
        <w:spacing w:after="2880"/>
        <w:jc w:val="center"/>
        <w:rPr>
          <w:rFonts w:hint="default"/>
          <w:i/>
          <w:iCs/>
          <w:sz w:val="24"/>
          <w:szCs w:val="24"/>
          <w:lang w:val="es-ES"/>
        </w:rPr>
      </w:pPr>
      <w:r>
        <w:rPr>
          <w:i/>
          <w:iCs/>
          <w:sz w:val="24"/>
          <w:szCs w:val="24"/>
        </w:rPr>
        <w:t>Análisis y Diseño de Algoritmos</w:t>
      </w:r>
    </w:p>
    <w:p w14:paraId="6ADD9A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880"/>
        <w:jc w:val="center"/>
        <w:textAlignment w:val="auto"/>
        <w:rPr>
          <w:rFonts w:hint="default"/>
          <w:i/>
          <w:iCs/>
          <w:sz w:val="24"/>
          <w:szCs w:val="24"/>
          <w:lang w:val="es-ES"/>
        </w:rPr>
      </w:pPr>
      <w:r>
        <w:rPr>
          <w:rFonts w:hint="default"/>
          <w:i/>
          <w:iCs/>
          <w:sz w:val="24"/>
          <w:szCs w:val="24"/>
          <w:lang w:val="es-ES"/>
        </w:rPr>
        <w:t>Facultad de Inteligencia Artificial e Ingenierías</w:t>
      </w:r>
    </w:p>
    <w:p w14:paraId="61B41AD2">
      <w:pPr>
        <w:spacing w:after="2880"/>
        <w:jc w:val="center"/>
        <w:rPr>
          <w:rFonts w:hint="default"/>
          <w:i/>
          <w:iCs/>
          <w:sz w:val="24"/>
          <w:szCs w:val="24"/>
          <w:lang w:val="es-ES"/>
        </w:rPr>
      </w:pPr>
      <w:r>
        <w:rPr>
          <w:rFonts w:hint="default"/>
          <w:i/>
          <w:iCs/>
          <w:sz w:val="24"/>
          <w:szCs w:val="24"/>
          <w:lang w:val="es-ES"/>
        </w:rPr>
        <w:t>2026-1</w:t>
      </w:r>
    </w:p>
    <w:p w14:paraId="530FA461">
      <w:pPr>
        <w:pStyle w:val="2"/>
        <w:rPr>
          <w:color w:val="31859C" w:themeColor="accent5" w:themeShade="BF"/>
        </w:rPr>
      </w:pPr>
      <w:r>
        <w:rPr>
          <w:color w:val="31859C" w:themeColor="accent5" w:themeShade="BF"/>
        </w:rPr>
        <w:t>Introducción</w:t>
      </w:r>
    </w:p>
    <w:p w14:paraId="1EA46152">
      <w:pPr>
        <w:spacing w:after="240"/>
      </w:pPr>
      <w:r>
        <w:t>Como parte integral del proyecto K-Q</w:t>
      </w:r>
      <w:r>
        <w:rPr>
          <w:rFonts w:hint="default"/>
          <w:lang w:val="es-ES"/>
        </w:rPr>
        <w:t>G</w:t>
      </w:r>
      <w:r>
        <w:t xml:space="preserve">MIP, cada equipo debe entregar documentación técnica completa que permita comprender el trabajo desarrollado. </w:t>
      </w:r>
      <w:r>
        <w:rPr>
          <w:rFonts w:hint="default"/>
          <w:lang w:val="es-ES"/>
        </w:rPr>
        <w:t xml:space="preserve">En particular </w:t>
      </w:r>
      <w:r>
        <w:t xml:space="preserve"> el Manual de Usuario, </w:t>
      </w:r>
      <w:r>
        <w:rPr>
          <w:rFonts w:hint="default"/>
          <w:lang w:val="es-ES"/>
        </w:rPr>
        <w:t xml:space="preserve">está </w:t>
      </w:r>
      <w:r>
        <w:t xml:space="preserve">orientado a usuarios finales que necesitan operar el software </w:t>
      </w:r>
      <w:r>
        <w:rPr>
          <w:rFonts w:hint="default"/>
          <w:lang w:val="es-ES"/>
        </w:rPr>
        <w:t>de forma rápida siguiendo un orden en la ejecución</w:t>
      </w:r>
      <w:r>
        <w:t>.</w:t>
      </w:r>
    </w:p>
    <w:p w14:paraId="391E5EBD">
      <w:pPr>
        <w:spacing w:after="240"/>
      </w:pPr>
      <w:r>
        <w:t xml:space="preserve">La calidad de la documentación es un criterio de evaluación fundamental, ya que refleja la profundidad de comprensión del problema, la capacidad de comunicar </w:t>
      </w:r>
      <w:r>
        <w:rPr>
          <w:rFonts w:hint="default"/>
          <w:lang w:val="es-ES"/>
        </w:rPr>
        <w:t xml:space="preserve">las estrategias </w:t>
      </w:r>
      <w:r>
        <w:t xml:space="preserve">complejas de manera efectiva, y </w:t>
      </w:r>
      <w:r>
        <w:rPr>
          <w:rFonts w:hint="default"/>
          <w:lang w:val="es-ES"/>
        </w:rPr>
        <w:t xml:space="preserve">la claridad con la que </w:t>
      </w:r>
      <w:r>
        <w:t xml:space="preserve">se aborda el desarrollo de software. Un </w:t>
      </w:r>
      <w:r>
        <w:rPr>
          <w:rFonts w:hint="default"/>
          <w:lang w:val="es-ES"/>
        </w:rPr>
        <w:t xml:space="preserve">buen </w:t>
      </w:r>
      <w:r>
        <w:t xml:space="preserve">proyecto </w:t>
      </w:r>
      <w:r>
        <w:rPr>
          <w:rFonts w:hint="default"/>
          <w:lang w:val="es-ES"/>
        </w:rPr>
        <w:t xml:space="preserve">se refuerza </w:t>
      </w:r>
      <w:r>
        <w:t>con documentación</w:t>
      </w:r>
      <w:r>
        <w:rPr>
          <w:rFonts w:hint="default"/>
          <w:lang w:val="es-ES"/>
        </w:rPr>
        <w:t xml:space="preserve"> clara, completa y efectiva que</w:t>
      </w:r>
      <w:r>
        <w:t xml:space="preserve"> potencia significativamente el impacto del trabajo realizado.</w:t>
      </w:r>
    </w:p>
    <w:p w14:paraId="14B2BC42">
      <w:pPr>
        <w:spacing w:after="480"/>
      </w:pPr>
      <w:r>
        <w:t xml:space="preserve">Este documento especifica en detalle los requisitos, estructura y contenido que deben tener </w:t>
      </w:r>
      <w:r>
        <w:rPr>
          <w:rFonts w:hint="default"/>
          <w:lang w:val="es-ES"/>
        </w:rPr>
        <w:t>el manual de usuario</w:t>
      </w:r>
      <w:r>
        <w:t xml:space="preserve">. </w:t>
      </w:r>
    </w:p>
    <w:p w14:paraId="77575F7B">
      <w:pPr>
        <w:pStyle w:val="2"/>
        <w:rPr>
          <w:color w:val="31859C" w:themeColor="accent5" w:themeShade="BF"/>
        </w:rPr>
      </w:pPr>
      <w:r>
        <w:rPr>
          <w:color w:val="31859C" w:themeColor="accent5" w:themeShade="BF"/>
        </w:rPr>
        <w:t>Convenciones de Nomenclatura</w:t>
      </w:r>
    </w:p>
    <w:p w14:paraId="5197542D">
      <w:pPr>
        <w:spacing w:after="240"/>
      </w:pPr>
      <w:r>
        <w:t>Para mantener consistencia y facilitar la organización del código, se establecen las siguientes convenciones de nomenclatura para los repositorios y carpetas del proyecto: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5D252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31849B" w:themeFill="accent5" w:themeFillShade="B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50B4EB">
            <w:r>
              <w:rPr>
                <w:b/>
                <w:bCs/>
                <w:color w:val="FFFFFF"/>
              </w:rPr>
              <w:t>Estrategia</w:t>
            </w:r>
          </w:p>
        </w:tc>
        <w:tc>
          <w:tcPr>
            <w:tcW w:w="6240" w:type="dxa"/>
            <w:shd w:val="clear" w:color="auto" w:fill="31849B" w:themeFill="accent5" w:themeFillShade="B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88F5B">
            <w:r>
              <w:rPr>
                <w:b/>
                <w:bCs/>
                <w:color w:val="FFFFFF"/>
              </w:rPr>
              <w:t>Nombre de Repositorio/Carpeta</w:t>
            </w:r>
          </w:p>
        </w:tc>
      </w:tr>
      <w:tr w14:paraId="3B42C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F63A8">
            <w:pPr>
              <w:rPr>
                <w:rFonts w:hint="default"/>
                <w:lang w:val="es-ES"/>
              </w:rPr>
            </w:pPr>
            <w:r>
              <w:rPr>
                <w:b/>
                <w:bCs/>
              </w:rPr>
              <w:t xml:space="preserve">GeoMIP </w:t>
            </w:r>
            <w:r>
              <w:rPr>
                <w:rFonts w:hint="default"/>
                <w:b/>
                <w:bCs/>
                <w:lang w:val="es-ES"/>
              </w:rPr>
              <w:t>K-particiones</w:t>
            </w:r>
          </w:p>
        </w:tc>
        <w:tc>
          <w:tcPr>
            <w:tcW w:w="62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20EB95">
            <w:r>
              <w:rPr>
                <w:rFonts w:ascii="Courier New" w:hAnsi="Courier New" w:eastAsia="Courier New" w:cs="Courier New"/>
                <w:b/>
                <w:bCs/>
              </w:rPr>
              <w:t>KGeoMIP</w:t>
            </w:r>
          </w:p>
        </w:tc>
      </w:tr>
      <w:tr w14:paraId="03987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8FFBB2">
            <w:r>
              <w:rPr>
                <w:b/>
                <w:bCs/>
              </w:rPr>
              <w:t xml:space="preserve">QNodes </w:t>
            </w:r>
            <w:r>
              <w:rPr>
                <w:rFonts w:hint="default"/>
                <w:b/>
                <w:bCs/>
                <w:lang w:val="es-ES"/>
              </w:rPr>
              <w:t>K-particiones</w:t>
            </w:r>
          </w:p>
        </w:tc>
        <w:tc>
          <w:tcPr>
            <w:tcW w:w="62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FF0CA8">
            <w:r>
              <w:rPr>
                <w:rFonts w:ascii="Courier New" w:hAnsi="Courier New" w:eastAsia="Courier New" w:cs="Courier New"/>
                <w:b/>
                <w:bCs/>
              </w:rPr>
              <w:t>KQNodes</w:t>
            </w:r>
          </w:p>
        </w:tc>
      </w:tr>
    </w:tbl>
    <w:p w14:paraId="4EF83653">
      <w:pPr>
        <w:spacing w:after="240"/>
      </w:pPr>
    </w:p>
    <w:p w14:paraId="5821FC94">
      <w:pPr>
        <w:spacing w:after="180"/>
      </w:pPr>
      <w:r>
        <w:t>Estas convenciones deben aplicarse consistentemente en:</w:t>
      </w:r>
    </w:p>
    <w:p w14:paraId="520F3C08">
      <w:pPr>
        <w:pStyle w:val="16"/>
        <w:numPr>
          <w:ilvl w:val="0"/>
          <w:numId w:val="1"/>
        </w:numPr>
      </w:pPr>
      <w:r>
        <w:t>Nombre del repositorio Git</w:t>
      </w:r>
    </w:p>
    <w:p w14:paraId="09F1742C">
      <w:pPr>
        <w:pStyle w:val="16"/>
        <w:numPr>
          <w:ilvl w:val="0"/>
          <w:numId w:val="1"/>
        </w:numPr>
      </w:pPr>
      <w:r>
        <w:t>Carpeta principal del proyecto</w:t>
      </w:r>
    </w:p>
    <w:p w14:paraId="7339D87B">
      <w:pPr>
        <w:pStyle w:val="16"/>
        <w:numPr>
          <w:ilvl w:val="0"/>
          <w:numId w:val="1"/>
        </w:numPr>
      </w:pPr>
      <w:r>
        <w:t>Nombre de la clase principal que implementa la estrategia</w:t>
      </w:r>
    </w:p>
    <w:p w14:paraId="707B72D8">
      <w:pPr>
        <w:pStyle w:val="16"/>
        <w:numPr>
          <w:ilvl w:val="0"/>
          <w:numId w:val="1"/>
        </w:numPr>
        <w:spacing w:after="240"/>
      </w:pPr>
      <w:r>
        <w:t>Referencias en documentación y presentaciones</w:t>
      </w:r>
    </w:p>
    <w:p w14:paraId="6AEB4666">
      <w:pPr>
        <w:spacing w:after="480"/>
      </w:pPr>
      <w:r>
        <w:t>La 'K' inicial hace referencia a 'k-particiones', distinguiendo claramente estas extensiones de las implementaciones originales de bi-particiones (GeoMIP y QNodes).</w:t>
      </w:r>
    </w:p>
    <w:p w14:paraId="20C4D808">
      <w:pPr>
        <w:pStyle w:val="2"/>
        <w:rPr>
          <w:color w:val="31859C" w:themeColor="accent5" w:themeShade="BF"/>
        </w:rPr>
      </w:pPr>
      <w:r>
        <w:rPr>
          <w:color w:val="31859C" w:themeColor="accent5" w:themeShade="BF"/>
        </w:rPr>
        <w:t>Manual de Usuario</w:t>
      </w:r>
    </w:p>
    <w:p w14:paraId="78977EF9">
      <w:pPr>
        <w:pStyle w:val="3"/>
      </w:pPr>
      <w:r>
        <w:rPr>
          <w:color w:val="31859C" w:themeColor="accent5" w:themeShade="BF"/>
        </w:rPr>
        <w:t>1</w:t>
      </w:r>
      <w:r>
        <w:rPr>
          <w:rFonts w:hint="default"/>
          <w:color w:val="31859C" w:themeColor="accent5" w:themeShade="BF"/>
          <w:lang w:val="es-ES"/>
        </w:rPr>
        <w:t>.</w:t>
      </w:r>
      <w:r>
        <w:rPr>
          <w:color w:val="31859C" w:themeColor="accent5" w:themeShade="BF"/>
        </w:rPr>
        <w:t xml:space="preserve"> Propósito </w:t>
      </w:r>
    </w:p>
    <w:p w14:paraId="5E041247">
      <w:pPr>
        <w:spacing w:after="240"/>
      </w:pPr>
      <w:r>
        <w:t xml:space="preserve">El Manual de Usuario está dirigido </w:t>
      </w:r>
      <w:r>
        <w:rPr>
          <w:rFonts w:hint="default"/>
          <w:lang w:val="es-ES"/>
        </w:rPr>
        <w:t>a</w:t>
      </w:r>
      <w:r>
        <w:t xml:space="preserve"> usuarios finales que necesitan utilizar el software desarrollado sin </w:t>
      </w:r>
      <w:r>
        <w:rPr>
          <w:rFonts w:hint="default"/>
          <w:lang w:val="es-ES"/>
        </w:rPr>
        <w:t>entrar en los</w:t>
      </w:r>
      <w:r>
        <w:t xml:space="preserve"> detalles algorítmicos internos. Este documento debe permitir a un usuario  instalar, configurar y utilizar el software exitosamente para analizar </w:t>
      </w:r>
      <w:r>
        <w:rPr>
          <w:rFonts w:hint="default"/>
          <w:lang w:val="es-ES"/>
        </w:rPr>
        <w:t xml:space="preserve">los </w:t>
      </w:r>
      <w:r>
        <w:t>sistemas</w:t>
      </w:r>
      <w:r>
        <w:rPr>
          <w:rFonts w:hint="default"/>
          <w:lang w:val="es-ES"/>
        </w:rPr>
        <w:t xml:space="preserve"> propios</w:t>
      </w:r>
      <w:r>
        <w:t>.</w:t>
      </w:r>
    </w:p>
    <w:p w14:paraId="370FC9A6">
      <w:pPr>
        <w:pStyle w:val="3"/>
        <w:rPr>
          <w:color w:val="31859C" w:themeColor="accent5" w:themeShade="BF"/>
        </w:rPr>
      </w:pPr>
      <w:r>
        <w:rPr>
          <w:color w:val="31859C" w:themeColor="accent5" w:themeShade="BF"/>
        </w:rPr>
        <w:t>2. Estructura y Contenido Requerido</w:t>
      </w:r>
    </w:p>
    <w:p w14:paraId="64A807B9">
      <w:pPr>
        <w:pStyle w:val="4"/>
        <w:rPr>
          <w:color w:val="31859C" w:themeColor="accent5" w:themeShade="BF"/>
        </w:rPr>
      </w:pPr>
      <w:r>
        <w:rPr>
          <w:color w:val="31859C" w:themeColor="accent5" w:themeShade="BF"/>
        </w:rPr>
        <w:t>2.1 Introducción y Visión General</w:t>
      </w:r>
    </w:p>
    <w:p w14:paraId="340E9541">
      <w:pPr>
        <w:spacing w:after="180"/>
      </w:pPr>
      <w:r>
        <w:t>Presentación accesible del software y sus capacidades:</w:t>
      </w:r>
    </w:p>
    <w:p w14:paraId="236B5383">
      <w:pPr>
        <w:pStyle w:val="16"/>
        <w:numPr>
          <w:ilvl w:val="0"/>
          <w:numId w:val="1"/>
        </w:numPr>
      </w:pPr>
      <w:r>
        <w:rPr>
          <w:b/>
          <w:bCs/>
        </w:rPr>
        <w:t xml:space="preserve">Qué hace el software: </w:t>
      </w:r>
      <w:r>
        <w:t xml:space="preserve">Explicación en lenguaje </w:t>
      </w:r>
      <w:r>
        <w:rPr>
          <w:rFonts w:hint="default"/>
          <w:lang w:val="es-ES"/>
        </w:rPr>
        <w:t>sencillo</w:t>
      </w:r>
      <w:r>
        <w:t xml:space="preserve"> </w:t>
      </w:r>
      <w:r>
        <w:rPr>
          <w:rFonts w:hint="default"/>
          <w:lang w:val="es-ES"/>
        </w:rPr>
        <w:t xml:space="preserve">cual es </w:t>
      </w:r>
      <w:r>
        <w:t>la funcionalidad principal (encontrar k-particiones óptimas de sistemas).</w:t>
      </w:r>
    </w:p>
    <w:p w14:paraId="34A8703B">
      <w:pPr>
        <w:pStyle w:val="16"/>
        <w:numPr>
          <w:ilvl w:val="0"/>
          <w:numId w:val="1"/>
        </w:numPr>
      </w:pPr>
      <w:r>
        <w:rPr>
          <w:b/>
          <w:bCs/>
        </w:rPr>
        <w:t xml:space="preserve">Para qué sirve: </w:t>
      </w:r>
      <w:r>
        <w:t>Aplicaciones prácticas y casos de uso típicos.</w:t>
      </w:r>
    </w:p>
    <w:p w14:paraId="300A4726">
      <w:pPr>
        <w:pStyle w:val="16"/>
        <w:numPr>
          <w:ilvl w:val="0"/>
          <w:numId w:val="1"/>
        </w:numPr>
      </w:pPr>
      <w:r>
        <w:rPr>
          <w:b/>
          <w:bCs/>
        </w:rPr>
        <w:t xml:space="preserve">Conceptos básicos: </w:t>
      </w:r>
      <w:r>
        <w:t>Explicación intuitiva de qué es una k-partición y qué significa 'partición de mínima información', sin matemáticas avanzadas.</w:t>
      </w:r>
    </w:p>
    <w:p w14:paraId="1A9F70BC">
      <w:pPr>
        <w:pStyle w:val="16"/>
        <w:numPr>
          <w:ilvl w:val="0"/>
          <w:numId w:val="1"/>
        </w:numPr>
        <w:spacing w:after="240"/>
      </w:pPr>
      <w:r>
        <w:rPr>
          <w:b/>
          <w:bCs/>
        </w:rPr>
        <w:t xml:space="preserve">Capacidades y limitaciones: </w:t>
      </w:r>
      <w:r>
        <w:t>Qué puede y qué no puede hacer el software, tamaños de sistema que puede manejar razonablemente.</w:t>
      </w:r>
    </w:p>
    <w:p w14:paraId="5EB30B95">
      <w:pPr>
        <w:pStyle w:val="4"/>
        <w:rPr>
          <w:color w:val="31859C" w:themeColor="accent5" w:themeShade="BF"/>
        </w:rPr>
      </w:pPr>
      <w:r>
        <w:rPr>
          <w:color w:val="31859C" w:themeColor="accent5" w:themeShade="BF"/>
        </w:rPr>
        <w:t>2.2 Requisitos del Sistema</w:t>
      </w:r>
    </w:p>
    <w:p w14:paraId="0C160361">
      <w:pPr>
        <w:spacing w:after="180"/>
      </w:pPr>
      <w:r>
        <w:t>Especificaciones técnicas mínimas y recomendadas:</w:t>
      </w:r>
    </w:p>
    <w:p w14:paraId="2CF47134">
      <w:pPr>
        <w:pStyle w:val="16"/>
        <w:numPr>
          <w:ilvl w:val="0"/>
          <w:numId w:val="1"/>
        </w:numPr>
      </w:pPr>
      <w:r>
        <w:rPr>
          <w:b/>
          <w:bCs/>
        </w:rPr>
        <w:t xml:space="preserve">Sistema operativo: </w:t>
      </w:r>
      <w:r>
        <w:t>Versiones de Windows, macOS o Linux soportadas.</w:t>
      </w:r>
    </w:p>
    <w:p w14:paraId="0AD09B7E">
      <w:pPr>
        <w:pStyle w:val="16"/>
        <w:numPr>
          <w:ilvl w:val="0"/>
          <w:numId w:val="1"/>
        </w:numPr>
      </w:pPr>
      <w:r>
        <w:rPr>
          <w:b/>
          <w:bCs/>
        </w:rPr>
        <w:t xml:space="preserve">Hardware: </w:t>
      </w:r>
      <w:r>
        <w:t>Procesador (velocidad y núcleos recomendados), memoria RAM (mínima y recomendada según tamaño de sistema a analizar), y espacio en disco.</w:t>
      </w:r>
    </w:p>
    <w:p w14:paraId="1976AC47">
      <w:pPr>
        <w:pStyle w:val="16"/>
        <w:numPr>
          <w:ilvl w:val="0"/>
          <w:numId w:val="1"/>
        </w:numPr>
        <w:spacing w:after="240"/>
      </w:pPr>
      <w:r>
        <w:rPr>
          <w:b/>
          <w:bCs/>
        </w:rPr>
        <w:t xml:space="preserve">Software: </w:t>
      </w:r>
      <w:r>
        <w:t>Versión de Python requerida, bibliotecas necesarias con versiones específicas, y herramientas adicionales si las hay.</w:t>
      </w:r>
    </w:p>
    <w:p w14:paraId="339A75F1">
      <w:pPr>
        <w:pStyle w:val="4"/>
        <w:rPr>
          <w:color w:val="31859C" w:themeColor="accent5" w:themeShade="BF"/>
        </w:rPr>
      </w:pPr>
      <w:r>
        <w:rPr>
          <w:color w:val="31859C" w:themeColor="accent5" w:themeShade="BF"/>
        </w:rPr>
        <w:t>2.3 Instalación Paso a Paso</w:t>
      </w:r>
    </w:p>
    <w:p w14:paraId="676D7CA2">
      <w:pPr>
        <w:spacing w:after="180"/>
      </w:pPr>
      <w:r>
        <w:t>Guía detallada y secuencial para instalar el software:</w:t>
      </w:r>
    </w:p>
    <w:p w14:paraId="4F728A75">
      <w:pPr>
        <w:pStyle w:val="16"/>
        <w:numPr>
          <w:ilvl w:val="0"/>
          <w:numId w:val="1"/>
        </w:numPr>
      </w:pPr>
      <w:r>
        <w:rPr>
          <w:b/>
          <w:bCs/>
        </w:rPr>
        <w:t xml:space="preserve">Descarga del proyecto: </w:t>
      </w:r>
      <w:r>
        <w:t>Dónde obtener el código fuente (repositorio Git, archivo comprimido, etc.), instrucciones específicas de descarga.</w:t>
      </w:r>
    </w:p>
    <w:p w14:paraId="65D294E4">
      <w:pPr>
        <w:pStyle w:val="16"/>
        <w:numPr>
          <w:ilvl w:val="0"/>
          <w:numId w:val="1"/>
        </w:numPr>
      </w:pPr>
      <w:r>
        <w:rPr>
          <w:b/>
          <w:bCs/>
        </w:rPr>
        <w:t xml:space="preserve">Instalación de dependencias: </w:t>
      </w:r>
      <w:r>
        <w:t>Comandos exactos para instalar Python y bibliotecas necesarias, manejo de entornos virtuales, y solución a problemas comunes de instalación.</w:t>
      </w:r>
    </w:p>
    <w:p w14:paraId="2F8963D4">
      <w:pPr>
        <w:pStyle w:val="16"/>
        <w:numPr>
          <w:ilvl w:val="0"/>
          <w:numId w:val="1"/>
        </w:numPr>
      </w:pPr>
      <w:r>
        <w:rPr>
          <w:b/>
          <w:bCs/>
        </w:rPr>
        <w:t xml:space="preserve">Configuración inicial: </w:t>
      </w:r>
      <w:r>
        <w:t>Archivos de configuración que deben modificarse, variables de entorno necesarias, y verificación de instalación correcta.</w:t>
      </w:r>
    </w:p>
    <w:p w14:paraId="56E8094B">
      <w:pPr>
        <w:pStyle w:val="16"/>
        <w:numPr>
          <w:ilvl w:val="0"/>
          <w:numId w:val="1"/>
        </w:numPr>
        <w:spacing w:after="240"/>
      </w:pPr>
      <w:r>
        <w:rPr>
          <w:b/>
          <w:bCs/>
        </w:rPr>
        <w:t xml:space="preserve">Capturas de pantalla: </w:t>
      </w:r>
      <w:r>
        <w:t>Imágenes mostrando cada paso del proceso de instalación, especialmente en puntos donde usuarios suelen tener dudas.</w:t>
      </w:r>
    </w:p>
    <w:p w14:paraId="299A8AAA">
      <w:pPr>
        <w:pStyle w:val="4"/>
        <w:rPr>
          <w:color w:val="31859C" w:themeColor="accent5" w:themeShade="BF"/>
        </w:rPr>
      </w:pPr>
      <w:r>
        <w:rPr>
          <w:color w:val="31859C" w:themeColor="accent5" w:themeShade="BF"/>
        </w:rPr>
        <w:t>2.4 Video Tutorial de Instalación y Uso</w:t>
      </w:r>
    </w:p>
    <w:p w14:paraId="2752965C">
      <w:pPr>
        <w:spacing w:after="240"/>
      </w:pPr>
      <w:r>
        <w:t>Cada equipo debe producir un video demostrativo que facilite la comprensión del proceso de instalación y uso básico del software.</w:t>
      </w:r>
    </w:p>
    <w:p w14:paraId="6CEF1C0E">
      <w:pPr>
        <w:spacing w:after="180"/>
      </w:pPr>
      <w:r>
        <w:rPr>
          <w:b/>
          <w:bCs/>
        </w:rPr>
        <w:t>Características del video:</w:t>
      </w:r>
    </w:p>
    <w:p w14:paraId="1124D2B3">
      <w:pPr>
        <w:pStyle w:val="16"/>
        <w:numPr>
          <w:ilvl w:val="0"/>
          <w:numId w:val="1"/>
        </w:numPr>
      </w:pPr>
      <w:r>
        <w:rPr>
          <w:b/>
          <w:bCs/>
        </w:rPr>
        <w:t xml:space="preserve">Duración: </w:t>
      </w:r>
      <w:r>
        <w:t>Entre 8 y 15 minutos. Debe ser suficientemente detallado pero conciso.</w:t>
      </w:r>
    </w:p>
    <w:p w14:paraId="3D7F8423">
      <w:pPr>
        <w:pStyle w:val="16"/>
        <w:numPr>
          <w:ilvl w:val="0"/>
          <w:numId w:val="1"/>
        </w:numPr>
      </w:pPr>
      <w:r>
        <w:rPr>
          <w:b/>
          <w:bCs/>
        </w:rPr>
        <w:t xml:space="preserve">Contenido obligatorio: </w:t>
      </w:r>
    </w:p>
    <w:p w14:paraId="70FD5AB9">
      <w:pPr>
        <w:pStyle w:val="16"/>
        <w:numPr>
          <w:ilvl w:val="1"/>
          <w:numId w:val="2"/>
        </w:numPr>
        <w:ind w:left="1440" w:leftChars="0" w:hanging="360" w:firstLineChars="0"/>
      </w:pPr>
      <w:r>
        <w:t>Proceso completo de instalación desde cero en un sistema limpio</w:t>
      </w:r>
    </w:p>
    <w:p w14:paraId="265B169F">
      <w:pPr>
        <w:pStyle w:val="16"/>
        <w:numPr>
          <w:ilvl w:val="1"/>
          <w:numId w:val="2"/>
        </w:numPr>
        <w:ind w:left="1440" w:leftChars="0" w:hanging="360" w:firstLineChars="0"/>
      </w:pPr>
      <w:r>
        <w:t>Configuración inicial del entorno</w:t>
      </w:r>
    </w:p>
    <w:p w14:paraId="6F6D8BD4">
      <w:pPr>
        <w:pStyle w:val="16"/>
        <w:numPr>
          <w:ilvl w:val="1"/>
          <w:numId w:val="2"/>
        </w:numPr>
        <w:ind w:left="1440" w:leftChars="0" w:hanging="360" w:firstLineChars="0"/>
      </w:pPr>
      <w:r>
        <w:t>Ejecución de al menos un ejemplo completo mostrando:</w:t>
      </w:r>
    </w:p>
    <w:p w14:paraId="7A9C7621">
      <w:pPr>
        <w:pStyle w:val="16"/>
        <w:numPr>
          <w:numId w:val="0"/>
        </w:numPr>
        <w:ind w:left="1080" w:leftChars="0" w:firstLine="499" w:firstLineChars="0"/>
      </w:pPr>
      <w:r>
        <w:t>• Preparación de datos de entrada</w:t>
      </w:r>
    </w:p>
    <w:p w14:paraId="5EA7455F">
      <w:pPr>
        <w:pStyle w:val="16"/>
        <w:numPr>
          <w:numId w:val="0"/>
        </w:numPr>
        <w:ind w:left="1080" w:leftChars="0" w:firstLine="499" w:firstLineChars="0"/>
      </w:pPr>
      <w:r>
        <w:t>• Ejecución del programa con diferentes valores de k</w:t>
      </w:r>
    </w:p>
    <w:p w14:paraId="7412E14A">
      <w:pPr>
        <w:pStyle w:val="16"/>
        <w:numPr>
          <w:numId w:val="0"/>
        </w:numPr>
        <w:ind w:left="1080" w:leftChars="0" w:firstLine="499" w:firstLineChars="0"/>
      </w:pPr>
      <w:r>
        <w:t>• Interpretación de los resultados obtenidos</w:t>
      </w:r>
    </w:p>
    <w:p w14:paraId="7A378FB6">
      <w:pPr>
        <w:pStyle w:val="16"/>
        <w:numPr>
          <w:ilvl w:val="1"/>
          <w:numId w:val="2"/>
        </w:numPr>
        <w:spacing w:after="180"/>
        <w:ind w:left="1440" w:leftChars="0" w:hanging="360" w:firstLineChars="0"/>
      </w:pPr>
      <w:r>
        <w:t>Visualización de resultados</w:t>
      </w:r>
    </w:p>
    <w:p w14:paraId="0E9B63FE">
      <w:pPr>
        <w:pStyle w:val="16"/>
        <w:numPr>
          <w:ilvl w:val="0"/>
          <w:numId w:val="1"/>
        </w:numPr>
      </w:pPr>
      <w:r>
        <w:rPr>
          <w:b/>
          <w:bCs/>
        </w:rPr>
        <w:t xml:space="preserve">Calidad técnica: </w:t>
      </w:r>
    </w:p>
    <w:p w14:paraId="6F982729">
      <w:pPr>
        <w:pStyle w:val="16"/>
        <w:numPr>
          <w:ilvl w:val="1"/>
          <w:numId w:val="1"/>
        </w:numPr>
      </w:pPr>
      <w:r>
        <w:t>Captura de pantalla clara y legible (</w:t>
      </w:r>
      <w:r>
        <w:rPr>
          <w:rFonts w:hint="default"/>
          <w:lang w:val="es-ES"/>
        </w:rPr>
        <w:t xml:space="preserve">les dejo esta que es una buena </w:t>
      </w:r>
      <w:r>
        <w:t>resolución</w:t>
      </w:r>
      <w:r>
        <w:rPr>
          <w:rFonts w:hint="default"/>
          <w:lang w:val="es-ES"/>
        </w:rPr>
        <w:t>, ojalá</w:t>
      </w:r>
      <w:r>
        <w:t xml:space="preserve"> mínim</w:t>
      </w:r>
      <w:r>
        <w:rPr>
          <w:rFonts w:hint="default"/>
          <w:lang w:val="es-ES"/>
        </w:rPr>
        <w:t>o</w:t>
      </w:r>
      <w:r>
        <w:t xml:space="preserve"> 1280x720)</w:t>
      </w:r>
    </w:p>
    <w:p w14:paraId="0AF8791E">
      <w:pPr>
        <w:pStyle w:val="16"/>
        <w:numPr>
          <w:ilvl w:val="1"/>
          <w:numId w:val="1"/>
        </w:numPr>
      </w:pPr>
      <w:r>
        <w:t>Audio claro si se incluye narración en vivo, o</w:t>
      </w:r>
    </w:p>
    <w:p w14:paraId="3CAEEA31">
      <w:pPr>
        <w:pStyle w:val="16"/>
        <w:numPr>
          <w:ilvl w:val="1"/>
          <w:numId w:val="1"/>
        </w:numPr>
      </w:pPr>
      <w:r>
        <w:t>Subtítulos en español</w:t>
      </w:r>
      <w:r>
        <w:rPr>
          <w:rFonts w:hint="default"/>
          <w:lang w:val="es-ES"/>
        </w:rPr>
        <w:t xml:space="preserve"> y d</w:t>
      </w:r>
      <w:r>
        <w:t xml:space="preserve">eben sincronizarse correctamente con el contenido </w:t>
      </w:r>
      <w:r>
        <w:rPr>
          <w:rFonts w:hint="default"/>
          <w:lang w:val="es-ES"/>
        </w:rPr>
        <w:t>(</w:t>
      </w:r>
      <w:r>
        <w:t>si no hay narración</w:t>
      </w:r>
      <w:r>
        <w:rPr>
          <w:rFonts w:hint="default"/>
          <w:lang w:val="es-ES"/>
        </w:rPr>
        <w:t>)</w:t>
      </w:r>
    </w:p>
    <w:p w14:paraId="03B37172">
      <w:pPr>
        <w:pStyle w:val="16"/>
        <w:numPr>
          <w:ilvl w:val="1"/>
          <w:numId w:val="1"/>
        </w:numPr>
      </w:pPr>
      <w:r>
        <w:t>Zoom apropiado en secciones donde se muestra código o comandos</w:t>
      </w:r>
    </w:p>
    <w:p w14:paraId="558867C2">
      <w:pPr>
        <w:pStyle w:val="16"/>
        <w:numPr>
          <w:ilvl w:val="1"/>
          <w:numId w:val="1"/>
        </w:numPr>
        <w:spacing w:after="180"/>
      </w:pPr>
      <w:r>
        <w:t>Edición básica para eliminar tiempos muertos o errores</w:t>
      </w:r>
    </w:p>
    <w:p w14:paraId="18BEDC07">
      <w:pPr>
        <w:pStyle w:val="16"/>
        <w:numPr>
          <w:ilvl w:val="0"/>
          <w:numId w:val="1"/>
        </w:numPr>
      </w:pPr>
      <w:r>
        <w:rPr>
          <w:b/>
          <w:bCs/>
        </w:rPr>
        <w:t xml:space="preserve">Formato de entrega: </w:t>
      </w:r>
    </w:p>
    <w:p w14:paraId="55A62A85">
      <w:pPr>
        <w:pStyle w:val="16"/>
        <w:numPr>
          <w:ilvl w:val="1"/>
          <w:numId w:val="1"/>
        </w:numPr>
      </w:pPr>
      <w:r>
        <w:rPr>
          <w:rFonts w:hint="default"/>
          <w:lang w:val="es-ES"/>
        </w:rPr>
        <w:t>E</w:t>
      </w:r>
      <w:r>
        <w:t>ntregar el archivo de video en formato MP4</w:t>
      </w:r>
    </w:p>
    <w:p w14:paraId="65825C03">
      <w:pPr>
        <w:pStyle w:val="16"/>
        <w:numPr>
          <w:ilvl w:val="0"/>
          <w:numId w:val="1"/>
        </w:numPr>
        <w:spacing w:after="240"/>
        <w:rPr>
          <w:b w:val="0"/>
          <w:bCs w:val="0"/>
        </w:rPr>
      </w:pPr>
      <w:r>
        <w:rPr>
          <w:b/>
          <w:bCs/>
        </w:rPr>
        <w:t xml:space="preserve">Herramientas sugeridas: </w:t>
      </w:r>
      <w:r>
        <w:rPr>
          <w:rFonts w:hint="default"/>
          <w:b/>
          <w:bCs/>
          <w:lang w:val="es-ES"/>
        </w:rPr>
        <w:t xml:space="preserve"> </w:t>
      </w:r>
      <w:r>
        <w:t>OBS Studio (gratuito), Camtasia, ScreenFlow, o herramientas similares de captura y edición de pantalla. Para subtítulos: YouTube Studio o herramientas de subtitulado como Subtitle Edit.</w:t>
      </w:r>
      <w:r>
        <w:rPr>
          <w:rFonts w:hint="default"/>
          <w:b w:val="0"/>
          <w:bCs w:val="0"/>
          <w:lang w:val="es-ES"/>
        </w:rPr>
        <w:t xml:space="preserve"> Esas son algunas algunas herramientas que les sugiero, pero ustedes pueden usar las herramientas  que mejor les parezcan. </w:t>
      </w:r>
    </w:p>
    <w:p w14:paraId="55752164">
      <w:pPr>
        <w:spacing w:after="240"/>
      </w:pPr>
      <w:r>
        <w:rPr>
          <w:rFonts w:hint="default"/>
          <w:b/>
          <w:bCs/>
          <w:i/>
          <w:iCs/>
          <w:lang w:val="es-ES"/>
        </w:rPr>
        <w:t>OJO</w:t>
      </w:r>
      <w:r>
        <w:rPr>
          <w:b/>
          <w:bCs/>
          <w:i/>
          <w:iCs/>
        </w:rPr>
        <w:t xml:space="preserve">: </w:t>
      </w:r>
      <w:r>
        <w:rPr>
          <w:i/>
          <w:iCs/>
        </w:rPr>
        <w:t xml:space="preserve">El video es un complemento esencial al manual escrito. Muchos usuarios aprenden mejor viendo el proceso en acción que leyendo instrucciones. Un video bien producido </w:t>
      </w:r>
      <w:r>
        <w:rPr>
          <w:rFonts w:hint="default"/>
          <w:i/>
          <w:iCs/>
          <w:lang w:val="es-ES"/>
        </w:rPr>
        <w:t>es una gran ayuda para</w:t>
      </w:r>
      <w:r>
        <w:rPr>
          <w:i/>
          <w:iCs/>
        </w:rPr>
        <w:t xml:space="preserve"> logra</w:t>
      </w:r>
      <w:r>
        <w:rPr>
          <w:rFonts w:hint="default"/>
          <w:i/>
          <w:iCs/>
          <w:lang w:val="es-ES"/>
        </w:rPr>
        <w:t>r</w:t>
      </w:r>
      <w:r>
        <w:rPr>
          <w:i/>
          <w:iCs/>
        </w:rPr>
        <w:t xml:space="preserve"> usar el software exitosamente</w:t>
      </w:r>
      <w:r>
        <w:rPr>
          <w:rFonts w:hint="default"/>
          <w:i/>
          <w:iCs/>
          <w:lang w:val="es-ES"/>
        </w:rPr>
        <w:t xml:space="preserve"> de forma rápida</w:t>
      </w:r>
      <w:r>
        <w:rPr>
          <w:i/>
          <w:iCs/>
        </w:rPr>
        <w:t>.</w:t>
      </w:r>
    </w:p>
    <w:p w14:paraId="0EF73CB5">
      <w:pPr>
        <w:pStyle w:val="4"/>
        <w:rPr>
          <w:color w:val="31859C" w:themeColor="accent5" w:themeShade="BF"/>
        </w:rPr>
      </w:pPr>
      <w:r>
        <w:rPr>
          <w:color w:val="31859C" w:themeColor="accent5" w:themeShade="BF"/>
        </w:rPr>
        <w:t>2.5 Guía de Uso Básico</w:t>
      </w:r>
    </w:p>
    <w:p w14:paraId="09FD9E9D">
      <w:pPr>
        <w:spacing w:after="180"/>
      </w:pPr>
      <w:r>
        <w:t>Instrucciones para realizar las operaciones más comunes:</w:t>
      </w:r>
    </w:p>
    <w:p w14:paraId="4A39A418">
      <w:pPr>
        <w:pStyle w:val="16"/>
        <w:numPr>
          <w:ilvl w:val="0"/>
          <w:numId w:val="1"/>
        </w:numPr>
      </w:pPr>
      <w:r>
        <w:rPr>
          <w:b/>
          <w:bCs/>
        </w:rPr>
        <w:t xml:space="preserve">Preparación de datos de entrada: </w:t>
      </w:r>
      <w:r>
        <w:t>Formato exacto requerido para especificar sistemas (archivos de texto, JSON, matrices, etc.), ejemplos de archivos de entrada válidos, y herramientas para generar o convertir datos.</w:t>
      </w:r>
    </w:p>
    <w:p w14:paraId="38AA612F">
      <w:pPr>
        <w:pStyle w:val="16"/>
        <w:numPr>
          <w:ilvl w:val="0"/>
          <w:numId w:val="1"/>
        </w:numPr>
      </w:pPr>
      <w:r>
        <w:rPr>
          <w:b/>
          <w:bCs/>
        </w:rPr>
        <w:t xml:space="preserve">Ejecución básica: </w:t>
      </w:r>
      <w:r>
        <w:t>Comando o interfaz para ejecutar el análisis, parámetros básicos necesarios (valor de k, sistema a analizar), y ejemplo completo de ejecución desde inicio hasta fin.</w:t>
      </w:r>
    </w:p>
    <w:p w14:paraId="12938719">
      <w:pPr>
        <w:pStyle w:val="16"/>
        <w:numPr>
          <w:ilvl w:val="0"/>
          <w:numId w:val="1"/>
        </w:numPr>
      </w:pPr>
      <w:r>
        <w:rPr>
          <w:b/>
          <w:bCs/>
        </w:rPr>
        <w:t xml:space="preserve">Interpretación de resultados: </w:t>
      </w:r>
      <w:r>
        <w:t>Qué información produce el software, cómo leer la salida (k-partición encontrada, valor de pérdida, etc.), y ejemplos de salidas típicas explicadas.</w:t>
      </w:r>
    </w:p>
    <w:p w14:paraId="67FE8CEB">
      <w:pPr>
        <w:pStyle w:val="16"/>
        <w:numPr>
          <w:ilvl w:val="0"/>
          <w:numId w:val="1"/>
        </w:numPr>
        <w:spacing w:after="240"/>
      </w:pPr>
      <w:r>
        <w:rPr>
          <w:b/>
          <w:bCs/>
        </w:rPr>
        <w:t xml:space="preserve">Casos de uso típicos: </w:t>
      </w:r>
      <w:r>
        <w:t>Escenarios comunes paso a paso (encontrar 3-partición de sistema pequeño, comparar particiones para diferentes k, etc.).</w:t>
      </w:r>
    </w:p>
    <w:p w14:paraId="2AC1551E">
      <w:pPr>
        <w:pStyle w:val="4"/>
        <w:rPr>
          <w:color w:val="31859C" w:themeColor="accent5" w:themeShade="BF"/>
        </w:rPr>
      </w:pPr>
      <w:r>
        <w:rPr>
          <w:color w:val="31859C" w:themeColor="accent5" w:themeShade="BF"/>
        </w:rPr>
        <w:t>2.6 Opciones y Parámetros Avanzados</w:t>
      </w:r>
    </w:p>
    <w:p w14:paraId="3F71B582">
      <w:pPr>
        <w:spacing w:after="180"/>
      </w:pPr>
      <w:r>
        <w:t>Configuraciones opcionales para usuarios experimentados:</w:t>
      </w:r>
    </w:p>
    <w:p w14:paraId="71BB94A0">
      <w:pPr>
        <w:pStyle w:val="16"/>
        <w:numPr>
          <w:ilvl w:val="0"/>
          <w:numId w:val="1"/>
        </w:numPr>
      </w:pPr>
      <w:r>
        <w:rPr>
          <w:b/>
          <w:bCs/>
        </w:rPr>
        <w:t xml:space="preserve">Parámetros de configuración: </w:t>
      </w:r>
      <w:r>
        <w:t>Lista completa de parámetros ajustables, descripción de qué controla cada parámetro, valores por defecto y rangos recomendados.</w:t>
      </w:r>
    </w:p>
    <w:p w14:paraId="0CD585C3">
      <w:pPr>
        <w:pStyle w:val="16"/>
        <w:numPr>
          <w:ilvl w:val="0"/>
          <w:numId w:val="1"/>
        </w:numPr>
      </w:pPr>
      <w:r>
        <w:rPr>
          <w:b/>
          <w:bCs/>
        </w:rPr>
        <w:t xml:space="preserve">Modos de operación: </w:t>
      </w:r>
      <w:r>
        <w:t>Si el software tiene múltiples modos (búsqueda exhaustiva, heurística, modo debug, etc.), explicar cada uno y cuándo usarlo.</w:t>
      </w:r>
    </w:p>
    <w:p w14:paraId="2B50FB2B">
      <w:pPr>
        <w:pStyle w:val="16"/>
        <w:numPr>
          <w:ilvl w:val="0"/>
          <w:numId w:val="1"/>
        </w:numPr>
      </w:pPr>
      <w:r>
        <w:rPr>
          <w:b/>
          <w:bCs/>
        </w:rPr>
        <w:t xml:space="preserve">Opciones de salida: </w:t>
      </w:r>
      <w:r>
        <w:t>Formatos de salida disponibles, nivel de detalle configurable, y opciones de visualización.</w:t>
      </w:r>
    </w:p>
    <w:p w14:paraId="05E1FD07">
      <w:pPr>
        <w:pStyle w:val="16"/>
        <w:numPr>
          <w:ilvl w:val="0"/>
          <w:numId w:val="1"/>
        </w:numPr>
        <w:spacing w:after="240"/>
      </w:pPr>
      <w:r>
        <w:rPr>
          <w:b/>
          <w:bCs/>
        </w:rPr>
        <w:t xml:space="preserve">Optimización de rendimiento: </w:t>
      </w:r>
      <w:r>
        <w:t>Consejos para ajustar parámetros según recursos disponibles, trade-offs entre precisión y velocidad.</w:t>
      </w:r>
    </w:p>
    <w:p w14:paraId="34ECBD89">
      <w:pPr>
        <w:pStyle w:val="4"/>
        <w:rPr>
          <w:color w:val="31859C" w:themeColor="accent5" w:themeShade="BF"/>
        </w:rPr>
      </w:pPr>
      <w:r>
        <w:rPr>
          <w:color w:val="31859C" w:themeColor="accent5" w:themeShade="BF"/>
        </w:rPr>
        <w:t>2.7 Solución de Problemas</w:t>
      </w:r>
    </w:p>
    <w:p w14:paraId="1D07D7C8">
      <w:pPr>
        <w:spacing w:after="180"/>
      </w:pPr>
      <w:r>
        <w:t>Diagnóstico y resolución de problemas comunes:</w:t>
      </w:r>
    </w:p>
    <w:p w14:paraId="70DB741A">
      <w:pPr>
        <w:pStyle w:val="16"/>
        <w:numPr>
          <w:ilvl w:val="0"/>
          <w:numId w:val="1"/>
        </w:numPr>
      </w:pPr>
      <w:r>
        <w:rPr>
          <w:b/>
          <w:bCs/>
        </w:rPr>
        <w:t xml:space="preserve">Errores comunes: </w:t>
      </w:r>
      <w:r>
        <w:t>Lista de mensajes de error frecuentes, qué significa cada error, y cómo solucionarlo.</w:t>
      </w:r>
    </w:p>
    <w:p w14:paraId="74BB41A3">
      <w:pPr>
        <w:pStyle w:val="16"/>
        <w:numPr>
          <w:ilvl w:val="0"/>
          <w:numId w:val="1"/>
        </w:numPr>
      </w:pPr>
      <w:r>
        <w:rPr>
          <w:b/>
          <w:bCs/>
        </w:rPr>
        <w:t xml:space="preserve">Problemas de instalación: </w:t>
      </w:r>
      <w:r>
        <w:t>Dependencias faltantes, conflictos de versiones, y problemas específicos por sistema operativo.</w:t>
      </w:r>
    </w:p>
    <w:p w14:paraId="4D50ABF7">
      <w:pPr>
        <w:pStyle w:val="16"/>
        <w:numPr>
          <w:ilvl w:val="0"/>
          <w:numId w:val="1"/>
        </w:numPr>
      </w:pPr>
      <w:r>
        <w:rPr>
          <w:b/>
          <w:bCs/>
        </w:rPr>
        <w:t xml:space="preserve">Problemas de ejecución: </w:t>
      </w:r>
      <w:r>
        <w:t>El programa no inicia, se cuelga durante ejecución, consume memoria excesiva, produce resultados inesperados.</w:t>
      </w:r>
    </w:p>
    <w:p w14:paraId="4F8C5469">
      <w:pPr>
        <w:pStyle w:val="16"/>
        <w:numPr>
          <w:ilvl w:val="0"/>
          <w:numId w:val="1"/>
        </w:numPr>
      </w:pPr>
      <w:r>
        <w:rPr>
          <w:b/>
          <w:bCs/>
        </w:rPr>
        <w:t xml:space="preserve">Datos de entrada problemáticos: </w:t>
      </w:r>
      <w:r>
        <w:t>Validación de formato, detección de errores en especificación del sistema, y ejemplos de corrección.</w:t>
      </w:r>
    </w:p>
    <w:p w14:paraId="6589F00C">
      <w:pPr>
        <w:pStyle w:val="4"/>
        <w:rPr>
          <w:color w:val="31859C" w:themeColor="accent5" w:themeShade="BF"/>
        </w:rPr>
      </w:pPr>
      <w:r>
        <w:rPr>
          <w:color w:val="31859C" w:themeColor="accent5" w:themeShade="BF"/>
        </w:rPr>
        <w:t>2.8 Ejemplos y Tutoriales</w:t>
      </w:r>
    </w:p>
    <w:p w14:paraId="1EC029AF">
      <w:pPr>
        <w:spacing w:after="180"/>
      </w:pPr>
      <w:r>
        <w:t>Casos prácticos completos que ilustran el uso del software:</w:t>
      </w:r>
    </w:p>
    <w:p w14:paraId="1797AD66">
      <w:pPr>
        <w:pStyle w:val="16"/>
        <w:numPr>
          <w:ilvl w:val="0"/>
          <w:numId w:val="1"/>
        </w:numPr>
      </w:pPr>
      <w:r>
        <w:rPr>
          <w:b/>
          <w:bCs/>
        </w:rPr>
        <w:t xml:space="preserve">Tutorial básico: </w:t>
      </w:r>
      <w:r>
        <w:t>Análisis paso a paso de un sistema simple (3-4 nodos), incluyendo preparación de datos, ejecución, e interpretación de resultados.</w:t>
      </w:r>
    </w:p>
    <w:p w14:paraId="5C5C42F5">
      <w:pPr>
        <w:pStyle w:val="16"/>
        <w:numPr>
          <w:ilvl w:val="0"/>
          <w:numId w:val="1"/>
        </w:numPr>
      </w:pPr>
      <w:r>
        <w:rPr>
          <w:b/>
          <w:bCs/>
        </w:rPr>
        <w:t xml:space="preserve">Caso de estudio intermedio: </w:t>
      </w:r>
      <w:r>
        <w:t>Sistema de tamaño moderado (8-10 nodos), explorando diferentes valores de k y comparando resultados.</w:t>
      </w:r>
    </w:p>
    <w:p w14:paraId="2A0539E4">
      <w:pPr>
        <w:pStyle w:val="16"/>
        <w:numPr>
          <w:ilvl w:val="0"/>
          <w:numId w:val="1"/>
        </w:numPr>
      </w:pPr>
      <w:r>
        <w:rPr>
          <w:b/>
          <w:bCs/>
        </w:rPr>
        <w:t xml:space="preserve">Ejemplo avanzado: </w:t>
      </w:r>
      <w:r>
        <w:t>Uso de parámetros avanzados, optimización de rendimiento para sistema grande, y análisis detallado de resultados.</w:t>
      </w:r>
    </w:p>
    <w:p w14:paraId="4E147E9E">
      <w:pPr>
        <w:pStyle w:val="4"/>
        <w:rPr>
          <w:color w:val="31859C" w:themeColor="accent5" w:themeShade="BF"/>
        </w:rPr>
      </w:pPr>
      <w:r>
        <w:rPr>
          <w:color w:val="31859C" w:themeColor="accent5" w:themeShade="BF"/>
        </w:rPr>
        <w:t>2.9 Referencia Rápida</w:t>
      </w:r>
    </w:p>
    <w:p w14:paraId="7EF99BDC">
      <w:pPr>
        <w:spacing w:after="180"/>
      </w:pPr>
      <w:r>
        <w:t>Material de consulta rápida</w:t>
      </w:r>
      <w:r>
        <w:rPr>
          <w:rFonts w:hint="default"/>
          <w:lang w:val="es-ES"/>
        </w:rPr>
        <w:t>, si es del caso</w:t>
      </w:r>
      <w:r>
        <w:t>:</w:t>
      </w:r>
    </w:p>
    <w:p w14:paraId="3BBE65BE">
      <w:pPr>
        <w:pStyle w:val="16"/>
        <w:numPr>
          <w:ilvl w:val="0"/>
          <w:numId w:val="1"/>
        </w:numPr>
      </w:pPr>
      <w:r>
        <w:rPr>
          <w:b/>
          <w:bCs/>
        </w:rPr>
        <w:t xml:space="preserve">Comandos principales: </w:t>
      </w:r>
      <w:r>
        <w:t>Lista de comandos con sintaxis y breve descripción.</w:t>
      </w:r>
    </w:p>
    <w:p w14:paraId="010D2288">
      <w:pPr>
        <w:pStyle w:val="16"/>
        <w:numPr>
          <w:ilvl w:val="0"/>
          <w:numId w:val="1"/>
        </w:numPr>
      </w:pPr>
      <w:r>
        <w:rPr>
          <w:b/>
          <w:bCs/>
        </w:rPr>
        <w:t xml:space="preserve">Tabla de parámetros: </w:t>
      </w:r>
      <w:r>
        <w:t>Referencia tabular de todos los parámetros con valores por defecto y rangos válidos.</w:t>
      </w:r>
    </w:p>
    <w:p w14:paraId="20C34F71">
      <w:pPr>
        <w:pStyle w:val="16"/>
        <w:numPr>
          <w:ilvl w:val="0"/>
          <w:numId w:val="1"/>
        </w:numPr>
      </w:pPr>
      <w:r>
        <w:rPr>
          <w:b/>
          <w:bCs/>
        </w:rPr>
        <w:t xml:space="preserve">Formato de archivos: </w:t>
      </w:r>
      <w:r>
        <w:t>Especificación técnica concisa de formatos de entrada y salida.</w:t>
      </w:r>
    </w:p>
    <w:p w14:paraId="079ECCDC">
      <w:pPr>
        <w:pStyle w:val="16"/>
        <w:numPr>
          <w:ilvl w:val="0"/>
          <w:numId w:val="1"/>
        </w:numPr>
        <w:spacing w:after="240"/>
      </w:pPr>
      <w:r>
        <w:rPr>
          <w:b/>
          <w:bCs/>
        </w:rPr>
        <w:t xml:space="preserve">Glosario: </w:t>
      </w:r>
      <w:r>
        <w:t>Definiciones breves de términos técnicos utilizados en el manual.</w:t>
      </w:r>
    </w:p>
    <w:p w14:paraId="7D6601B4">
      <w:pPr>
        <w:pStyle w:val="16"/>
        <w:numPr>
          <w:numId w:val="0"/>
        </w:numPr>
        <w:ind w:left="360" w:leftChars="0"/>
      </w:pPr>
    </w:p>
    <w:p w14:paraId="22583DD5">
      <w:pPr>
        <w:pStyle w:val="3"/>
        <w:rPr>
          <w:color w:val="31859C" w:themeColor="accent5" w:themeShade="BF"/>
        </w:rPr>
      </w:pPr>
      <w:r>
        <w:rPr>
          <w:color w:val="31859C" w:themeColor="accent5" w:themeShade="BF"/>
        </w:rPr>
        <w:t>2.</w:t>
      </w:r>
      <w:r>
        <w:rPr>
          <w:rFonts w:hint="default"/>
          <w:color w:val="31859C" w:themeColor="accent5" w:themeShade="BF"/>
          <w:lang w:val="es-ES"/>
        </w:rPr>
        <w:t>10</w:t>
      </w:r>
      <w:r>
        <w:rPr>
          <w:color w:val="31859C" w:themeColor="accent5" w:themeShade="BF"/>
        </w:rPr>
        <w:t xml:space="preserve"> Características de Formato y Presentación</w:t>
      </w:r>
    </w:p>
    <w:p w14:paraId="55BEC152">
      <w:pPr>
        <w:spacing w:after="180"/>
      </w:pPr>
      <w:r>
        <w:t>El Manual de Usuario debe cumplir con los siguientes estándares de formato:</w:t>
      </w:r>
    </w:p>
    <w:p w14:paraId="026973F1">
      <w:pPr>
        <w:pStyle w:val="16"/>
        <w:numPr>
          <w:ilvl w:val="0"/>
          <w:numId w:val="1"/>
        </w:numPr>
      </w:pPr>
      <w:r>
        <w:rPr>
          <w:b/>
          <w:bCs/>
        </w:rPr>
        <w:t xml:space="preserve">Extensión: </w:t>
      </w:r>
      <w:r>
        <w:t>Debe ser suficientemente completo pero conciso.</w:t>
      </w:r>
    </w:p>
    <w:p w14:paraId="674E0D9D">
      <w:pPr>
        <w:pStyle w:val="16"/>
        <w:numPr>
          <w:ilvl w:val="0"/>
          <w:numId w:val="1"/>
        </w:numPr>
      </w:pPr>
      <w:r>
        <w:rPr>
          <w:b/>
          <w:bCs/>
        </w:rPr>
        <w:t xml:space="preserve">Formato: </w:t>
      </w:r>
      <w:r>
        <w:t xml:space="preserve">Documento </w:t>
      </w:r>
      <w:r>
        <w:rPr>
          <w:rFonts w:hint="default"/>
          <w:lang w:val="es-ES"/>
        </w:rPr>
        <w:t xml:space="preserve"> word</w:t>
      </w:r>
      <w:r>
        <w:t>, tamaño carta,  fuente Arial o Calibri de 11puntos.</w:t>
      </w:r>
    </w:p>
    <w:p w14:paraId="66471E0A">
      <w:pPr>
        <w:pStyle w:val="16"/>
        <w:numPr>
          <w:ilvl w:val="0"/>
          <w:numId w:val="1"/>
        </w:numPr>
      </w:pPr>
      <w:r>
        <w:rPr>
          <w:b/>
          <w:bCs/>
        </w:rPr>
        <w:t xml:space="preserve">Lenguaje: </w:t>
      </w:r>
      <w:r>
        <w:t>Claro y accesible, evitando jerga técnica innecesaria. Cuando se usen términos técnicos, definirlos la primera vez.</w:t>
      </w:r>
    </w:p>
    <w:p w14:paraId="0D1FAF12">
      <w:pPr>
        <w:pStyle w:val="16"/>
        <w:numPr>
          <w:ilvl w:val="0"/>
          <w:numId w:val="1"/>
        </w:numPr>
      </w:pPr>
      <w:r>
        <w:rPr>
          <w:b/>
          <w:bCs/>
        </w:rPr>
        <w:t xml:space="preserve">Capturas de pantalla: </w:t>
      </w:r>
      <w:r>
        <w:t>Abundantes y de alta calidad. Marcar elementos relevantes con anotaciones cuando sea necesario.</w:t>
      </w:r>
    </w:p>
    <w:p w14:paraId="7C352F04">
      <w:pPr>
        <w:pStyle w:val="16"/>
        <w:numPr>
          <w:ilvl w:val="0"/>
          <w:numId w:val="1"/>
        </w:numPr>
      </w:pPr>
      <w:r>
        <w:rPr>
          <w:b/>
          <w:bCs/>
        </w:rPr>
        <w:t xml:space="preserve">Ejemplos de código: </w:t>
      </w:r>
      <w:r>
        <w:t>Usar fuente monoespaciada, con comentarios explicativos. Limitar longitud de ejemplos a lo esencial.</w:t>
      </w:r>
    </w:p>
    <w:p w14:paraId="57A5D8E7">
      <w:pPr>
        <w:pStyle w:val="16"/>
        <w:numPr>
          <w:ilvl w:val="0"/>
          <w:numId w:val="1"/>
        </w:numPr>
      </w:pPr>
      <w:r>
        <w:rPr>
          <w:b/>
          <w:bCs/>
        </w:rPr>
        <w:t xml:space="preserve">Organización visual: </w:t>
      </w:r>
      <w:r>
        <w:t>Uso de cajas de texto, íconos, o colores para destacar advertencias, notas importantes, o tips.</w:t>
      </w:r>
    </w:p>
    <w:p w14:paraId="0BE1DBA8">
      <w:pPr>
        <w:pStyle w:val="16"/>
        <w:numPr>
          <w:ilvl w:val="0"/>
          <w:numId w:val="1"/>
        </w:numPr>
      </w:pPr>
      <w:r>
        <w:rPr>
          <w:b/>
          <w:bCs/>
        </w:rPr>
        <w:t xml:space="preserve">Navegación: </w:t>
      </w:r>
      <w:r>
        <w:t>Tabla de contenidos con hipervínculos, índice si es extenso, y referencias cruzadas claras entre secciones.</w:t>
      </w:r>
    </w:p>
    <w:p w14:paraId="0FD25194">
      <w:pPr>
        <w:pStyle w:val="16"/>
        <w:numPr>
          <w:ilvl w:val="0"/>
          <w:numId w:val="1"/>
        </w:numPr>
      </w:pPr>
      <w:r>
        <w:rPr>
          <w:b/>
          <w:bCs/>
          <w:color w:val="C00000"/>
        </w:rPr>
        <w:t xml:space="preserve">Video tutorial: </w:t>
      </w:r>
      <w:r>
        <w:t>Enlace prominente al video en las primeras páginas del manual, idealmente en la sección de instalación.</w:t>
      </w:r>
    </w:p>
    <w:p w14:paraId="74473BAC">
      <w:pPr>
        <w:pStyle w:val="16"/>
        <w:numPr>
          <w:ilvl w:val="0"/>
          <w:numId w:val="1"/>
        </w:numPr>
        <w:spacing w:after="480"/>
      </w:pPr>
      <w:r>
        <w:rPr>
          <w:b/>
          <w:bCs/>
        </w:rPr>
        <w:t xml:space="preserve">Usabilidad: </w:t>
      </w:r>
      <w:r>
        <w:t xml:space="preserve">El manual debe ser completamente auto-contenido. </w:t>
      </w:r>
      <w:r>
        <w:rPr>
          <w:rFonts w:hint="default"/>
          <w:lang w:val="es-ES"/>
        </w:rPr>
        <w:t>La idea es que no debo</w:t>
      </w:r>
      <w:r>
        <w:t xml:space="preserve"> necesitar buscar información adicional para operaciones básicas.</w:t>
      </w:r>
    </w:p>
    <w:p w14:paraId="69F5F415">
      <w:pPr>
        <w:pStyle w:val="2"/>
        <w:rPr>
          <w:color w:val="31859C" w:themeColor="accent5" w:themeShade="BF"/>
        </w:rPr>
      </w:pPr>
      <w:r>
        <w:rPr>
          <w:color w:val="31859C" w:themeColor="accent5" w:themeShade="BF"/>
        </w:rPr>
        <w:t>Criterios de Evaluación de la Documentación</w:t>
      </w:r>
    </w:p>
    <w:p w14:paraId="637A9AE0">
      <w:pPr>
        <w:spacing w:after="360"/>
      </w:pPr>
      <w:r>
        <w:t>La documentación (Manual Técnico y Manual de Usuario) representa una porción significativa de la evaluación del proyecto. A continuación se detallan los criterios específicos que se utilizarán para evaluar cada manual.</w:t>
      </w:r>
    </w:p>
    <w:p w14:paraId="7CC93248">
      <w:pPr>
        <w:pStyle w:val="3"/>
      </w:pPr>
      <w:r>
        <w:rPr>
          <w:color w:val="31859C" w:themeColor="accent5" w:themeShade="BF"/>
        </w:rPr>
        <w:t>3.1 Evaluación del Manual Técnico (40% de la nota de documentación)</w:t>
      </w:r>
    </w:p>
    <w:p w14:paraId="63A23374">
      <w:pPr>
        <w:pStyle w:val="16"/>
        <w:numPr>
          <w:ilvl w:val="0"/>
          <w:numId w:val="1"/>
        </w:numPr>
      </w:pPr>
      <w:r>
        <w:rPr>
          <w:b/>
          <w:bCs/>
        </w:rPr>
        <w:t xml:space="preserve">Rigor matemático y claridad conceptual: </w:t>
      </w:r>
      <w:r>
        <w:t>Precisión en definiciones, corrección de formulaciones matemáticas, claridad en explicaciones de conceptos complejos.</w:t>
      </w:r>
    </w:p>
    <w:p w14:paraId="2E16463A">
      <w:pPr>
        <w:pStyle w:val="16"/>
        <w:numPr>
          <w:ilvl w:val="0"/>
          <w:numId w:val="1"/>
        </w:numPr>
      </w:pPr>
      <w:r>
        <w:rPr>
          <w:b/>
          <w:bCs/>
        </w:rPr>
        <w:t xml:space="preserve">Calidad de arquitectura y diagramas: </w:t>
      </w:r>
      <w:r>
        <w:t>Completitud de diagramas UML, corrección en notación, claridad visual, y utilidad para comprender la estructura del código.</w:t>
      </w:r>
    </w:p>
    <w:p w14:paraId="7794A9BA">
      <w:pPr>
        <w:pStyle w:val="16"/>
        <w:numPr>
          <w:ilvl w:val="0"/>
          <w:numId w:val="1"/>
        </w:numPr>
      </w:pPr>
      <w:r>
        <w:rPr>
          <w:b/>
          <w:bCs/>
        </w:rPr>
        <w:t xml:space="preserve">Calidad de la descripción algorítmica: </w:t>
      </w:r>
      <w:r>
        <w:t>Completitud del pseudocódigo, claridad en explicación de decisiones de diseño, facilidad de reproducción del algoritmo.</w:t>
      </w:r>
    </w:p>
    <w:p w14:paraId="311491E2">
      <w:pPr>
        <w:pStyle w:val="16"/>
        <w:numPr>
          <w:ilvl w:val="0"/>
          <w:numId w:val="1"/>
        </w:numPr>
      </w:pPr>
      <w:r>
        <w:rPr>
          <w:b/>
          <w:bCs/>
        </w:rPr>
        <w:t xml:space="preserve">Análisis de complejidad: </w:t>
      </w:r>
      <w:r>
        <w:t>Corrección del análisis teórico, identificación precisa de cuellos de botella, validación empírica del análisis.</w:t>
      </w:r>
    </w:p>
    <w:p w14:paraId="286CA5F2">
      <w:pPr>
        <w:pStyle w:val="16"/>
        <w:numPr>
          <w:ilvl w:val="0"/>
          <w:numId w:val="1"/>
        </w:numPr>
      </w:pPr>
      <w:r>
        <w:rPr>
          <w:b/>
          <w:bCs/>
        </w:rPr>
        <w:t xml:space="preserve">Resultados experimentales: </w:t>
      </w:r>
      <w:r>
        <w:t>Comprehensividad de experimentos, calidad de visualizaciones, profundidad del análisis e interpretación.</w:t>
      </w:r>
    </w:p>
    <w:p w14:paraId="2F0CE8FD">
      <w:pPr>
        <w:pStyle w:val="16"/>
        <w:numPr>
          <w:ilvl w:val="0"/>
          <w:numId w:val="1"/>
        </w:numPr>
        <w:spacing w:after="360"/>
      </w:pPr>
      <w:r>
        <w:rPr>
          <w:b/>
          <w:bCs/>
        </w:rPr>
        <w:t>Reflexión crítica</w:t>
      </w:r>
      <w:bookmarkStart w:id="0" w:name="_GoBack"/>
      <w:bookmarkEnd w:id="0"/>
      <w:r>
        <w:rPr>
          <w:b/>
          <w:bCs/>
        </w:rPr>
        <w:t xml:space="preserve">: </w:t>
      </w:r>
      <w:r>
        <w:t>Honestidad sobre limitaciones, identificación de mejoras potenciales, demostración de comprensión profunda.</w:t>
      </w:r>
    </w:p>
    <w:p w14:paraId="4D363EBB">
      <w:pPr>
        <w:pStyle w:val="3"/>
        <w:rPr>
          <w:color w:val="31859C" w:themeColor="accent5" w:themeShade="BF"/>
        </w:rPr>
      </w:pPr>
      <w:r>
        <w:rPr>
          <w:color w:val="31859C" w:themeColor="accent5" w:themeShade="BF"/>
        </w:rPr>
        <w:t>3.2 Evaluación del Manual de Usuario (30% de la nota de documentación)</w:t>
      </w:r>
    </w:p>
    <w:p w14:paraId="4BF84875">
      <w:pPr>
        <w:pStyle w:val="16"/>
        <w:numPr>
          <w:ilvl w:val="0"/>
          <w:numId w:val="1"/>
        </w:numPr>
      </w:pPr>
      <w:r>
        <w:rPr>
          <w:b/>
          <w:bCs/>
        </w:rPr>
        <w:t xml:space="preserve">Claridad y accesibilidad (25%): </w:t>
      </w:r>
      <w:r>
        <w:t>Lenguaje apropiado para audiencia no técnica, explicaciones intuitivas de conceptos complejos, evita jerga innecesaria.</w:t>
      </w:r>
    </w:p>
    <w:p w14:paraId="644FF721">
      <w:pPr>
        <w:pStyle w:val="16"/>
        <w:numPr>
          <w:ilvl w:val="0"/>
          <w:numId w:val="1"/>
        </w:numPr>
      </w:pPr>
      <w:r>
        <w:rPr>
          <w:b/>
          <w:bCs/>
        </w:rPr>
        <w:t xml:space="preserve">Completitud de instrucciones (25%): </w:t>
      </w:r>
      <w:r>
        <w:t>Cobertura de todos los pasos necesarios, detalle suficiente para reproducir operaciones, anticipación de problemas comunes.</w:t>
      </w:r>
    </w:p>
    <w:p w14:paraId="755AB33A">
      <w:pPr>
        <w:pStyle w:val="16"/>
        <w:numPr>
          <w:ilvl w:val="0"/>
          <w:numId w:val="1"/>
        </w:numPr>
      </w:pPr>
      <w:r>
        <w:rPr>
          <w:b/>
          <w:bCs/>
          <w:color w:val="C00000"/>
        </w:rPr>
        <w:t xml:space="preserve">Calidad del video tutorial (20%): </w:t>
      </w:r>
      <w:r>
        <w:t>Claridad de grabación, completitud del contenido, efectividad pedagógica, calidad de subtítulos (si aplica).</w:t>
      </w:r>
    </w:p>
    <w:p w14:paraId="16260A09">
      <w:pPr>
        <w:pStyle w:val="16"/>
        <w:numPr>
          <w:ilvl w:val="0"/>
          <w:numId w:val="1"/>
        </w:numPr>
      </w:pPr>
      <w:r>
        <w:rPr>
          <w:b/>
          <w:bCs/>
        </w:rPr>
        <w:t xml:space="preserve">Calidad de ejemplos y tutoriales (15%): </w:t>
      </w:r>
      <w:r>
        <w:t>Casos de uso realistas y relevantes, claridad en presentación paso a paso, utilidad pedagógica.</w:t>
      </w:r>
    </w:p>
    <w:p w14:paraId="1605833F">
      <w:pPr>
        <w:pStyle w:val="16"/>
        <w:numPr>
          <w:ilvl w:val="0"/>
          <w:numId w:val="1"/>
        </w:numPr>
      </w:pPr>
      <w:r>
        <w:rPr>
          <w:b/>
          <w:bCs/>
        </w:rPr>
        <w:t xml:space="preserve">Material de soporte (10%): </w:t>
      </w:r>
      <w:r>
        <w:t>Calidad y cantidad de capturas de pantalla, diagramas de flujo útiles, sección de troubleshooting efectiva.</w:t>
      </w:r>
    </w:p>
    <w:p w14:paraId="380877E6">
      <w:pPr>
        <w:pStyle w:val="16"/>
        <w:numPr>
          <w:ilvl w:val="0"/>
          <w:numId w:val="1"/>
        </w:numPr>
        <w:spacing w:after="360"/>
      </w:pPr>
      <w:r>
        <w:rPr>
          <w:b/>
          <w:bCs/>
        </w:rPr>
        <w:t xml:space="preserve">Usabilidad del documento (5%): </w:t>
      </w:r>
      <w:r>
        <w:t>Organización lógica, facilidad de navegación, índice y tabla de contenidos útiles.</w:t>
      </w:r>
    </w:p>
    <w:p w14:paraId="10C03D99">
      <w:pPr>
        <w:pStyle w:val="3"/>
        <w:rPr>
          <w:color w:val="31859C" w:themeColor="accent5" w:themeShade="BF"/>
        </w:rPr>
      </w:pPr>
      <w:r>
        <w:rPr>
          <w:color w:val="31859C" w:themeColor="accent5" w:themeShade="BF"/>
        </w:rPr>
        <w:t>3.3 Aspectos Transversales (30% de la nota de documentación)</w:t>
      </w:r>
    </w:p>
    <w:p w14:paraId="69553461">
      <w:pPr>
        <w:spacing w:after="180"/>
      </w:pPr>
      <w:r>
        <w:t>Criterios que aplican a ambos manuales:</w:t>
      </w:r>
    </w:p>
    <w:p w14:paraId="15D57188">
      <w:pPr>
        <w:pStyle w:val="16"/>
        <w:numPr>
          <w:ilvl w:val="0"/>
          <w:numId w:val="1"/>
        </w:numPr>
      </w:pPr>
      <w:r>
        <w:rPr>
          <w:b/>
          <w:bCs/>
        </w:rPr>
        <w:t xml:space="preserve">Calidad de redacción (40%): </w:t>
      </w:r>
      <w:r>
        <w:t>Gramática y ortografía impecables, coherencia y fluidez en la argumentación, estructura lógica de ideas.</w:t>
      </w:r>
    </w:p>
    <w:p w14:paraId="1ABF519D">
      <w:pPr>
        <w:pStyle w:val="16"/>
        <w:numPr>
          <w:ilvl w:val="0"/>
          <w:numId w:val="1"/>
        </w:numPr>
      </w:pPr>
      <w:r>
        <w:rPr>
          <w:b/>
          <w:bCs/>
        </w:rPr>
        <w:t xml:space="preserve">Calidad de presentación (30%): </w:t>
      </w:r>
      <w:r>
        <w:t>Formato profesional y consistente, figuras y tablas de alta calidad, cumplimiento de especificaciones de formato.</w:t>
      </w:r>
    </w:p>
    <w:p w14:paraId="08F68FFD">
      <w:pPr>
        <w:pStyle w:val="16"/>
        <w:numPr>
          <w:ilvl w:val="0"/>
          <w:numId w:val="1"/>
        </w:numPr>
      </w:pPr>
      <w:r>
        <w:rPr>
          <w:b/>
          <w:bCs/>
        </w:rPr>
        <w:t xml:space="preserve">Completitud (20%): </w:t>
      </w:r>
      <w:r>
        <w:t>Cobertura de todos los aspectos requeridos, ausencia de secciones incompletas o placeholder text.</w:t>
      </w:r>
    </w:p>
    <w:p w14:paraId="6370E5A1">
      <w:pPr>
        <w:pStyle w:val="16"/>
        <w:numPr>
          <w:ilvl w:val="0"/>
          <w:numId w:val="1"/>
        </w:numPr>
        <w:spacing w:after="480"/>
      </w:pPr>
      <w:r>
        <w:rPr>
          <w:b/>
          <w:bCs/>
        </w:rPr>
        <w:t xml:space="preserve">Profesionalismo (10%): </w:t>
      </w:r>
      <w:r>
        <w:t>Nivel de detalle apropiado, balance entre exhaustividad y concisión, citación apropiada de fuentes.</w:t>
      </w:r>
    </w:p>
    <w:p w14:paraId="0C818FEA">
      <w:pPr>
        <w:pStyle w:val="2"/>
        <w:rPr>
          <w:color w:val="31859C" w:themeColor="accent5" w:themeShade="BF"/>
        </w:rPr>
      </w:pPr>
      <w:r>
        <w:rPr>
          <w:color w:val="31859C" w:themeColor="accent5" w:themeShade="BF"/>
        </w:rPr>
        <w:t>4. Recomendaciones Finales</w:t>
      </w:r>
    </w:p>
    <w:p w14:paraId="53E3472E">
      <w:pPr>
        <w:pStyle w:val="3"/>
        <w:rPr>
          <w:color w:val="31859C" w:themeColor="accent5" w:themeShade="BF"/>
        </w:rPr>
      </w:pPr>
      <w:r>
        <w:rPr>
          <w:color w:val="31859C" w:themeColor="accent5" w:themeShade="BF"/>
        </w:rPr>
        <w:t>4.1 Proceso de Desarrollo de la Documentación</w:t>
      </w:r>
    </w:p>
    <w:p w14:paraId="22442CB7">
      <w:pPr>
        <w:spacing w:after="240"/>
      </w:pPr>
      <w:r>
        <w:t>Se recomienda fuertemente desarrollar la documentación de manera iterativa y paralela al código, no como una actividad de última hora. Escribir explicaciones de algoritmos y decisiones de diseño mientras se está implementando ayuda a clarificar el propio pensamiento y a detectar problemas tempranamente.</w:t>
      </w:r>
    </w:p>
    <w:p w14:paraId="4EBCC98C">
      <w:pPr>
        <w:spacing w:after="240"/>
      </w:pPr>
      <w:r>
        <w:t>Dedicar tiempo específico cada semana a documentación. Una buena regla empírica es que por cada hora de codificación, se debe invertir al menos 30 minutos en documentación. Esto resulta en mejor código y documentación de mayor calidad con menor esfuerzo total al final del proyecto.</w:t>
      </w:r>
    </w:p>
    <w:p w14:paraId="21BA6239">
      <w:pPr>
        <w:pStyle w:val="3"/>
        <w:rPr>
          <w:color w:val="31859C" w:themeColor="accent5" w:themeShade="BF"/>
        </w:rPr>
      </w:pPr>
      <w:r>
        <w:rPr>
          <w:color w:val="31859C" w:themeColor="accent5" w:themeShade="BF"/>
        </w:rPr>
        <w:t>4.2 Revisión y Refinamiento</w:t>
      </w:r>
    </w:p>
    <w:p w14:paraId="30406318">
      <w:pPr>
        <w:spacing w:after="180"/>
      </w:pPr>
      <w:r>
        <w:t>Antes de la entrega final, realizar múltiples rondas de revisión:</w:t>
      </w:r>
    </w:p>
    <w:p w14:paraId="67C919DA">
      <w:pPr>
        <w:pStyle w:val="16"/>
        <w:numPr>
          <w:ilvl w:val="0"/>
          <w:numId w:val="1"/>
        </w:numPr>
      </w:pPr>
      <w:r>
        <w:rPr>
          <w:b/>
          <w:bCs/>
        </w:rPr>
        <w:t xml:space="preserve">Revisión técnica: </w:t>
      </w:r>
      <w:r>
        <w:t>Verificar corrección de todas las afirmaciones matemáticas y algorítmicas. Validar que pseudocódigo sea reproducible.</w:t>
      </w:r>
    </w:p>
    <w:p w14:paraId="39512865">
      <w:pPr>
        <w:pStyle w:val="16"/>
        <w:numPr>
          <w:ilvl w:val="0"/>
          <w:numId w:val="1"/>
        </w:numPr>
      </w:pPr>
      <w:r>
        <w:rPr>
          <w:b/>
          <w:bCs/>
        </w:rPr>
        <w:t xml:space="preserve">Revisión de usabilidad: </w:t>
      </w:r>
      <w:r>
        <w:t>Idealmente, pedir a alguien ajeno al equipo que siga el Manual de Usuario para validar que las instrucciones son claras y completas.</w:t>
      </w:r>
    </w:p>
    <w:p w14:paraId="06F2C1F4">
      <w:pPr>
        <w:pStyle w:val="16"/>
        <w:numPr>
          <w:ilvl w:val="0"/>
          <w:numId w:val="1"/>
        </w:numPr>
      </w:pPr>
      <w:r>
        <w:rPr>
          <w:b/>
          <w:bCs/>
        </w:rPr>
        <w:t xml:space="preserve">Revisión de diagramas: </w:t>
      </w:r>
      <w:r>
        <w:t>Verificar que todos los diagramas UML sigan notación estándar, sean legibles, y correspondan fielmente al código implementado.</w:t>
      </w:r>
    </w:p>
    <w:p w14:paraId="4B1F20BB">
      <w:pPr>
        <w:pStyle w:val="16"/>
        <w:numPr>
          <w:ilvl w:val="0"/>
          <w:numId w:val="1"/>
        </w:numPr>
      </w:pPr>
      <w:r>
        <w:rPr>
          <w:b/>
          <w:bCs/>
        </w:rPr>
        <w:t xml:space="preserve">Revisión del video: </w:t>
      </w:r>
      <w:r>
        <w:t>Ver el video completo varias veces, verificar sincronización de subtítulos, y asegurar que todos los pasos sean claros y reproducibles.</w:t>
      </w:r>
    </w:p>
    <w:p w14:paraId="429FC59E">
      <w:pPr>
        <w:pStyle w:val="16"/>
        <w:numPr>
          <w:ilvl w:val="0"/>
          <w:numId w:val="1"/>
        </w:numPr>
      </w:pPr>
      <w:r>
        <w:rPr>
          <w:b/>
          <w:bCs/>
        </w:rPr>
        <w:t xml:space="preserve">Revisión de estilo: </w:t>
      </w:r>
      <w:r>
        <w:t>Corrección exhaustiva de gramática, ortografía y estilo. Verificar consistencia en terminología a lo largo de todo el documento.</w:t>
      </w:r>
    </w:p>
    <w:p w14:paraId="20604553">
      <w:pPr>
        <w:pStyle w:val="16"/>
        <w:numPr>
          <w:ilvl w:val="0"/>
          <w:numId w:val="1"/>
        </w:numPr>
        <w:spacing w:after="240"/>
      </w:pPr>
      <w:r>
        <w:rPr>
          <w:b/>
          <w:bCs/>
        </w:rPr>
        <w:t xml:space="preserve">Revisión de formato: </w:t>
      </w:r>
      <w:r>
        <w:t>Verificar que figuras estén numeradas correctamente, referencias cruzadas funcionen, tabla de contenidos esté actualizada.</w:t>
      </w:r>
    </w:p>
    <w:p w14:paraId="325E7F96">
      <w:pPr>
        <w:pStyle w:val="3"/>
        <w:rPr>
          <w:color w:val="31859C" w:themeColor="accent5" w:themeShade="BF"/>
        </w:rPr>
      </w:pPr>
      <w:r>
        <w:rPr>
          <w:color w:val="31859C" w:themeColor="accent5" w:themeShade="BF"/>
        </w:rPr>
        <w:t>4.3 Recursos y Herramientas</w:t>
      </w:r>
    </w:p>
    <w:p w14:paraId="16B9197D">
      <w:pPr>
        <w:spacing w:after="180"/>
      </w:pPr>
      <w:r>
        <w:t>Para facilitar la creación de documentación de alta calidad, se recomiendan las siguientes herramientas:</w:t>
      </w:r>
    </w:p>
    <w:p w14:paraId="66C1C884">
      <w:pPr>
        <w:pStyle w:val="16"/>
        <w:numPr>
          <w:ilvl w:val="0"/>
          <w:numId w:val="1"/>
        </w:numPr>
      </w:pPr>
      <w:r>
        <w:rPr>
          <w:b/>
          <w:bCs/>
        </w:rPr>
        <w:t xml:space="preserve">Para ecuaciones: </w:t>
      </w:r>
      <w:r>
        <w:t>LaTeX (Overleaf online), MathType, o editor de ecuaciones de Word.</w:t>
      </w:r>
    </w:p>
    <w:p w14:paraId="7E2619A7">
      <w:pPr>
        <w:pStyle w:val="16"/>
        <w:numPr>
          <w:ilvl w:val="0"/>
          <w:numId w:val="1"/>
        </w:numPr>
      </w:pPr>
      <w:r>
        <w:rPr>
          <w:b/>
          <w:bCs/>
        </w:rPr>
        <w:t xml:space="preserve">Para diagramas UML: </w:t>
      </w:r>
      <w:r>
        <w:t>Draw.io, Lucidchart, PlantUML, Visual Paradigm, o StarUML.</w:t>
      </w:r>
    </w:p>
    <w:p w14:paraId="729CD0E5">
      <w:pPr>
        <w:pStyle w:val="16"/>
        <w:numPr>
          <w:ilvl w:val="0"/>
          <w:numId w:val="1"/>
        </w:numPr>
      </w:pPr>
      <w:r>
        <w:rPr>
          <w:b/>
          <w:bCs/>
        </w:rPr>
        <w:t xml:space="preserve">Para gráficas: </w:t>
      </w:r>
      <w:r>
        <w:t>Matplotlib/Seaborn (Python), ggplot2 (R), o herramientas de visualización interactiva.</w:t>
      </w:r>
    </w:p>
    <w:p w14:paraId="5609FAD4">
      <w:pPr>
        <w:pStyle w:val="16"/>
        <w:numPr>
          <w:ilvl w:val="0"/>
          <w:numId w:val="1"/>
        </w:numPr>
      </w:pPr>
      <w:r>
        <w:rPr>
          <w:b/>
          <w:bCs/>
        </w:rPr>
        <w:t xml:space="preserve">Para capturas de pantalla: </w:t>
      </w:r>
      <w:r>
        <w:t>Lightshot, Snagit, Greenshot, o herramientas nativas del sistema operativo con capacidades de anotación.</w:t>
      </w:r>
    </w:p>
    <w:p w14:paraId="7B5BB153">
      <w:pPr>
        <w:pStyle w:val="16"/>
        <w:numPr>
          <w:ilvl w:val="0"/>
          <w:numId w:val="1"/>
        </w:numPr>
      </w:pPr>
      <w:r>
        <w:rPr>
          <w:b/>
          <w:bCs/>
        </w:rPr>
        <w:t xml:space="preserve">Para video: </w:t>
      </w:r>
      <w:r>
        <w:t>OBS Studio (gratuito), Camtasia, ScreenFlow, o Loom. Para edición: DaVinci Resolve (gratuito), Adobe Premiere, o iMovie.</w:t>
      </w:r>
    </w:p>
    <w:p w14:paraId="4DF854CB">
      <w:pPr>
        <w:pStyle w:val="16"/>
        <w:numPr>
          <w:ilvl w:val="0"/>
          <w:numId w:val="1"/>
        </w:numPr>
      </w:pPr>
      <w:r>
        <w:rPr>
          <w:b/>
          <w:bCs/>
        </w:rPr>
        <w:t xml:space="preserve">Para subtítulos: </w:t>
      </w:r>
      <w:r>
        <w:t>YouTube Studio (automático), Subtitle Edit, Aegisub, o herramientas online como Kapwing.</w:t>
      </w:r>
    </w:p>
    <w:p w14:paraId="29093609">
      <w:pPr>
        <w:pStyle w:val="16"/>
        <w:numPr>
          <w:ilvl w:val="0"/>
          <w:numId w:val="1"/>
        </w:numPr>
        <w:spacing w:after="360"/>
      </w:pPr>
      <w:r>
        <w:rPr>
          <w:b/>
          <w:bCs/>
        </w:rPr>
        <w:t xml:space="preserve">Para control de versiones: </w:t>
      </w:r>
      <w:r>
        <w:t>Usar Git no solo para código sino también para documentación, permitiendo rastrear cambios y colaborar efectivamente.</w:t>
      </w:r>
    </w:p>
    <w:p w14:paraId="74F749CE">
      <w:pPr>
        <w:pStyle w:val="3"/>
        <w:rPr>
          <w:color w:val="31859C" w:themeColor="accent5" w:themeShade="BF"/>
        </w:rPr>
      </w:pPr>
      <w:r>
        <w:rPr>
          <w:color w:val="31859C" w:themeColor="accent5" w:themeShade="BF"/>
        </w:rPr>
        <w:t>4.4 Convenciones de Nomenclatura en la Documentación</w:t>
      </w:r>
    </w:p>
    <w:p w14:paraId="0B2C7E81">
      <w:pPr>
        <w:spacing w:after="360"/>
      </w:pPr>
      <w:r>
        <w:t xml:space="preserve">Asegurarse de usar consistentemente los nombres </w:t>
      </w:r>
      <w:r>
        <w:rPr>
          <w:rFonts w:ascii="Courier New" w:hAnsi="Courier New" w:eastAsia="Courier New" w:cs="Courier New"/>
          <w:b/>
          <w:bCs/>
        </w:rPr>
        <w:t>KGeoMIP</w:t>
      </w:r>
      <w:r>
        <w:t xml:space="preserve"> y </w:t>
      </w:r>
      <w:r>
        <w:rPr>
          <w:rFonts w:ascii="Courier New" w:hAnsi="Courier New" w:eastAsia="Courier New" w:cs="Courier New"/>
          <w:b/>
          <w:bCs/>
        </w:rPr>
        <w:t>KQNodes</w:t>
      </w:r>
      <w:r>
        <w:t xml:space="preserve"> a lo largo de toda la documentación, diagramas, código, y video tutorial. Esta consistencia facilita la comprensión y navegación del proyecto.</w:t>
      </w:r>
    </w:p>
    <w:p w14:paraId="43BE1C58">
      <w:pPr>
        <w:pStyle w:val="3"/>
        <w:rPr>
          <w:color w:val="31859C" w:themeColor="accent5" w:themeShade="BF"/>
        </w:rPr>
      </w:pPr>
      <w:r>
        <w:rPr>
          <w:color w:val="31859C" w:themeColor="accent5" w:themeShade="BF"/>
        </w:rPr>
        <w:t>4.5 Contacto y Consultas</w:t>
      </w:r>
    </w:p>
    <w:p w14:paraId="121C4F3C">
      <w:pPr>
        <w:spacing w:after="240"/>
      </w:pPr>
      <w:r>
        <w:t>Si durante el desarrollo de la documentación surgen dudas sobre qué incluir, nivel de detalle apropiado, o interpretación de estos requisitos, los equipos deben consultar con el profesor de la asignatura. Es preferible aclarar dudas tempranamente que entregar documentación que no cumple con las expectativas.</w:t>
      </w:r>
    </w:p>
    <w:p w14:paraId="4D84BFE4">
      <w:pPr>
        <w:spacing w:after="360"/>
      </w:pPr>
      <w:r>
        <w:t>Estas especificaciones son detalladas pero no rígidas. Se valora la iniciativa y creatividad en la presentación de la información, siempre que se cubran todos los aspectos requeridos y se mantenga claridad y rigor apropiados.</w:t>
      </w:r>
    </w:p>
    <w:p w14:paraId="271FEE33">
      <w:pPr>
        <w:spacing w:before="480" w:after="240"/>
        <w:jc w:val="center"/>
      </w:pPr>
      <w:r>
        <w:rPr>
          <w:i/>
          <w:iCs/>
        </w:rPr>
        <w:t>La documentación de calidad es una habilidad profesional fundamental. El esfuerzo invertido en desarrollar estos manuales no solo contribuye a la evaluación del proyecto, sino que representa práctica valiosa en comunicación técnica que será esencial en la carrera profesional futura.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abstractNum w:abstractNumId="0">
    <w:nsid w:val="EBC68BB0"/>
    <w:multiLevelType w:val="multilevel"/>
    <w:tmpl w:val="EBC68BB0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PicBulletId w:val="0"/>
      <w:lvlJc w:val="left"/>
      <w:pPr>
        <w:ind w:left="144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C2335F8"/>
    <w:rsid w:val="3C574BDB"/>
    <w:rsid w:val="48014EA7"/>
    <w:rsid w:val="4ABD2B50"/>
    <w:rsid w:val="5909051A"/>
    <w:rsid w:val="61A70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pBdr>
        <w:bottom w:val="single" w:color="1F4788" w:sz="12" w:space="1"/>
      </w:pBdr>
      <w:spacing w:before="360" w:after="240"/>
      <w:outlineLvl w:val="0"/>
    </w:pPr>
    <w:rPr>
      <w:rFonts w:ascii="Arial" w:hAnsi="Arial" w:eastAsia="Arial" w:cs="Arial"/>
      <w:b/>
      <w:bCs/>
      <w:color w:val="1F4788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80"/>
      <w:outlineLvl w:val="1"/>
    </w:pPr>
    <w:rPr>
      <w:rFonts w:ascii="Arial" w:hAnsi="Arial" w:eastAsia="Arial" w:cs="Arial"/>
      <w:b/>
      <w:bCs/>
      <w:color w:val="2E5090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40"/>
      <w:outlineLvl w:val="2"/>
    </w:pPr>
    <w:rPr>
      <w:rFonts w:ascii="Arial" w:hAnsi="Arial" w:eastAsia="Arial" w:cs="Arial"/>
      <w:b/>
      <w:bCs/>
      <w:color w:val="3E6199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sv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1351</Words>
  <Characters>8940</Characters>
  <TotalTime>46</TotalTime>
  <ScaleCrop>false</ScaleCrop>
  <LinksUpToDate>false</LinksUpToDate>
  <CharactersWithSpaces>10192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2026-05-12T16:48:00Z</dcterms:created>
  <dc:creator>Un-named</dc:creator>
  <cp:lastModifiedBy>Luz Enith</cp:lastModifiedBy>
  <dcterms:modified xsi:type="dcterms:W3CDTF">2026-05-12T23:31:17Z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eyJoZGlkIjoiZTE3MzhkYmQ2ZDdiZmY5NTgzYzc4OTk1N2RjY2QxZjIiLCJ1c2VySWQiOiIyMjE2ODc5MDQyMTQyIn0=</vt:lpwstr>
  </property>
  <property fmtid="{D5CDD505-2E9C-101B-9397-08002B2CF9AE}" pid="3" name="KSOProductBuildVer">
    <vt:lpwstr>3082-12.1.0.25862</vt:lpwstr>
  </property>
  <property fmtid="{D5CDD505-2E9C-101B-9397-08002B2CF9AE}" pid="4" name="ICV">
    <vt:lpwstr>D09F71983990414BBB8D39F66E3E1047_13</vt:lpwstr>
  </property>
</Properties>
</file>