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478FE">
      <w:pPr>
        <w:spacing w:after="60"/>
      </w:pPr>
      <w:bookmarkStart w:id="0" w:name="_GoBack"/>
      <w:r>
        <w:rPr>
          <w:b/>
          <w:bCs/>
          <w:color w:val="C2410C"/>
          <w:spacing w:val="30"/>
          <w:sz w:val="19"/>
          <w:szCs w:val="19"/>
        </w:rPr>
        <w:t>TECH CHALLENGE · FASE 1</w:t>
      </w:r>
    </w:p>
    <w:p w14:paraId="358D8791">
      <w:pPr>
        <w:spacing w:after="140"/>
      </w:pPr>
      <w:r>
        <w:rPr>
          <w:b/>
          <w:bCs/>
          <w:color w:val="0F172A"/>
          <w:sz w:val="48"/>
          <w:szCs w:val="48"/>
        </w:rPr>
        <w:t>ToggleMaster na AWS: relatório de entrega</w:t>
      </w:r>
    </w:p>
    <w:p w14:paraId="6D365630">
      <w:pPr>
        <w:spacing w:after="240"/>
      </w:pPr>
      <w:r>
        <w:t>Pós Tech · DevOps e Arquitetura Cloud. MVP monolítico de gerenciamento de feature flags publicado na AWS (EC2 + RDS).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838"/>
      </w:tblGrid>
      <w:tr w14:paraId="14B3A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1527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8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96EB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Informação</w:t>
            </w:r>
          </w:p>
        </w:tc>
      </w:tr>
      <w:tr w14:paraId="5B6EF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BDAC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Participantes</w:t>
            </w:r>
          </w:p>
        </w:tc>
        <w:tc>
          <w:tcPr>
            <w:tcW w:w="68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C89C">
            <w:pPr>
              <w:spacing w:after="0" w:line="252" w:lineRule="auto"/>
              <w:rPr>
                <w:rFonts w:hint="default"/>
                <w:lang w:val="pt-BR"/>
              </w:rPr>
            </w:pPr>
            <w:r>
              <w:rPr>
                <w:rFonts w:hint="default"/>
                <w:b w:val="0"/>
                <w:bCs w:val="0"/>
                <w:sz w:val="19"/>
                <w:szCs w:val="19"/>
                <w:highlight w:val="none"/>
                <w:lang w:val="pt-BR"/>
              </w:rPr>
              <w:t xml:space="preserve">Makley Tibola Trichez, </w:t>
            </w:r>
          </w:p>
        </w:tc>
      </w:tr>
      <w:tr w14:paraId="75FB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7EDE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Repositório da aplicação</w:t>
            </w:r>
          </w:p>
        </w:tc>
        <w:tc>
          <w:tcPr>
            <w:tcW w:w="68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C3AA">
            <w:pPr>
              <w:spacing w:after="0"/>
            </w:pPr>
            <w:r>
              <w:fldChar w:fldCharType="begin"/>
              <w:instrText xml:space="preserve"> HYPERLINK "https://github.com/Makley-Tibola-Trichez/toggle-master-monolith" </w:instrText>
              <w:fldChar w:fldCharType="separate"/>
            </w:r>
            <w:r>
              <w:rPr>
                <w:rStyle w:val="13"/>
              </w:rPr>
              <w:t>https://github.com/Makley-Tibola-Trichez/toggle-master-monolith</w:t>
            </w:r>
            <w:r>
              <w:fldChar w:fldCharType="end"/>
            </w:r>
          </w:p>
        </w:tc>
      </w:tr>
      <w:tr w14:paraId="160EB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F9AB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Documentação</w:t>
            </w:r>
          </w:p>
        </w:tc>
        <w:tc>
          <w:tcPr>
            <w:tcW w:w="68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EC4B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  <w:highlight w:val="yellow"/>
              </w:rPr>
              <w:t>[PREENCHER: link do repositório / pasta docs]</w:t>
            </w:r>
            <w:r>
              <w:rPr>
                <w:b w:val="0"/>
                <w:bCs w:val="0"/>
                <w:sz w:val="19"/>
                <w:szCs w:val="19"/>
              </w:rPr>
              <w:t xml:space="preserve"> (diagrama de arquitetura, 12-Factor, análise do monólito)</w:t>
            </w:r>
          </w:p>
        </w:tc>
      </w:tr>
      <w:tr w14:paraId="2A1B6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4593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Diagrama de arquitetura</w:t>
            </w:r>
          </w:p>
        </w:tc>
        <w:tc>
          <w:tcPr>
            <w:tcW w:w="68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C47A">
            <w:pPr>
              <w:spacing w:after="0"/>
            </w:pPr>
            <w:r>
              <w:fldChar w:fldCharType="begin"/>
              <w:instrText xml:space="preserve"> HYPERLINK "https://viewer.diagrams.net/?tags=%7B%7D&amp;lightbox=1&amp;highlight=0000ff&amp;edit=_blank&amp;layers=1&amp;nav=1&amp;title=arquitetura%20tech%20challenge%20fase%201.drawio&amp;dark=auto#R%3Cmxfile%3E%3Cdiagram%20name%3D%22P%C3%A1gina-1%22%20id%3D%22O1vpZxZusAuwcZRKoRXR%22%3E7V1bc5u6Fv41nmkf7EHi%2Fug4dtrZzR7v7Zy2py8Z2SiEBoMLOJf%2B%2Bi0BwkgIjB2cOKnTS6wFCJC%2BdV%2BSe%2Bpo%2BXgRodXtZehgvwcV57GnnvcgNBWb%2FE8JTxkB6ArIKG7kORlN2RBm3m%2Bcn8ioa8%2FBcU7LSEkY%2Bom34omLMAjwIuFoKIrCB%2F60m9B3OMIKuZh7DEqYLZCPK6d985zkNqNa0NzQP2HPvWV3Bkb%2BxkvETs47jm%2BREz6USOq4p46iMEyyT8vHEfbp4PHjMqk5WjxYhIOkzQVjR7fGk8uV%2Bxgqv74tdXT79bIPq73kHcfJExuDVegFSTqO%2Bhn5S24zUno6OTKirQHUBYLYNnkCqLZoHzxBbJs8AYjdA%2BH%2BQHzAEqHS4rpXhPsrpQckf9WzcJ34XoBHBeIUQnQj5HhkDEehH0aEFoQBGb2z22TpkxYgHx9uvQTPVmhBR%2FWBcAuh3YRBkmMeQNbOB572SlCdIHKvKG%2BnM4Gj8T3OJiQ7x%2FfRKvbmxVURXqyj2LvH%2F%2BI465xSCf5W9PPy0aWsOkAPsTZwo3C9Sh%2F%2FM7mX9Og1%2BXi98MO1c438hHaUROEdZi%2Fagyr5M6GYO7vxfF8YgHscJR5hp6HvubT%2FJKS3Q3nLxzdpj2RUvMD9krbOVSUfCdktHBTfYoe9UvokjC%2FpAC7De1QeCPL%2B5XaYoKTUJsIKl9vY8cpNP1zcpfcC2VTQ6S4dzvjkHvnrnE%2BG32aEMKJDlR8jL48fS2yVc%2BYFDpc4iZ7IKbcl4WEpuah42EgaoDOGZP1AM5cwT%2ByqXNrlks4tOt8IA%2FIhlwdy2fDFm9455o%2FvZ3%2BZ0983yrfFD4T6wMo6xo4rCsOqtAjX0QI3dGZWpArtlmE9jJLb0A0D5I83VDJd68ApJntzzpeQgiidlZ84SZ5yDkLrJORZjjxl9PSdXj%2BwVJUR%2Fp8SFF1jhPNHNv9p6ylvvTyWEhS5OGkQ10CRoyjCPkoIw3NzkgOmT99V1epBknc3pbKlhDPLUDic9QEUkJZNen5dWfOIXRmW0JUq9JS9eKWnFLbFaz4DyTZnJOTjXtb5G0A3soIA3y9oTswdDnJMsi0wFdQSAbj0HCdDtwAoXsueVwF4WOH16epq2lOHhDglnIbIb11h8qiFHNuGQFvfFYCGKmDG4nsIb25ifBC4mFVUVI2i%2BA4ni1smm2QmQZ0KqzEVysqTnX5eUbf5yZwaZBBL4TgNYy%2FxUl0%2BD5MkXG5VwgVUSzDeZpigeJW96I33SJ%2BjYpmAOotj4XvpqL6uqt5TP1fUswUHgAc7VHVRboIONLRcHegnpJ6Qui9SgaUdAqlyBaq1QSp5xWS70ySFmcT1EJyMekXMmZmvPNlG6mJREHNDY%2Fxah%2BxAP3PqqKoG2uox7YcdJ5%2Fc%2FHfa0ZwRhs7SCzwydMghY5QfJVM5F68gtOzujNwN%2FACAPPhMaL0Y%2BIwT%2BHYAn%2BPdi6AgDnrQLR5HqXDFMY0NUmNzOP28BZXZM1TI3NN2hFXmYTOVrqkb4dkpXH%2FGP0frcPZLnceXP75N%2FnfhfY%2F6qtoGrqeg3B8dlLtfLWBFHBFjzBppk8lELpM6isUNh2fmmSWadkcWi%2Fs6HUnkGSCeKP1D%2BJIqhc6EiEE61m2Z0lN4rWcovMkFLHuggecLErneO8mRkxzZIkci7KYuWFWSKMpQGxoHlSRAM8dnw7IkAccnSf4lI9Qbqb2hGmZGzjruYxQnlL2UD38PyP9fvcgl1jX6uJfwMKHEBFFFyaEJzlolGtuZ2GCGebPckKCiAiH5%2FMrBI3JHHVRknCaJvzIMHheWiJJBS%2FrEwTymv4Y%2FRMpWi3uOFndu6jX0F9nwUEwSvy6I2YRJ7O8Cs6jWot4DuTrQCu1VBq%2BiiWpPAC%2FUDmY8two0nJTeH630Ytqdlzxdb06epYKCs2VL0sccDgEQdSGhT%2BDEGFvdKUSoWRbQjty03jlIpdQEBWbreT%2FCDqY5J6phz4ZznwxinUicRxIznmpB8XASuq6Pl0Te4ahPHKV%2BvJ4HOOmv1rR%2FXgY%2BO9alaXCgVU1%2FrSIChbQ9NLWB2YHlL00MtNLghwl4tUh8Hk%2FIK6vYmOFFhBMairpEAXLJ0%2B8DBLVqxZmWYMMJeXBi1RwOA628Py43JNWKUs0o045SDVnVktxpqd6S3EEkymhmlQiqpzFVVyXKaDK9Ll4NJFcD4ep6rVqXahMUy%2Fm5qmkjmSq6SX9EFXEMiTWpOiYMnVaJZMqY8rdMLccZB14vc%2F57dQ23jxtn7cz%2FRE0MTMXe%2FFiHkgV5ScOupVyNWedXq%2BUCZlG6lddymbD3R9Ry0VKuJoVRV38F7IFdhRlLZUBFH%2Bi2UvxAlb9D6zovk9hCFgE1UIi7btuKyaO95C2%2BVOFXDtU2hV%2BNjPOOC79ms0983dcO8m9L1ZdmW6YAtV2xWyRva3ropApMGknQWhlQp0jCMUQSwJuJJEij6oQ%2BNibGxOwuklANvf4pkYTIu0dpSUFN3ABAa%2FfIAe00wa8TOiDaSjAbOwodyMUerIq9RvlYEoYiS1bZDz%2BuUOD0mnhxp3gEjcENtXO9Jk%2FF5R1oY4oSMrVBSoGKeowssU%2FoQRJ7UE0eRSqPIXa0e%2FxIqlcagVaORuRiOEp1hzTKJDqd4vT4ggMcZaNU6yAXVlnbgi1pPIy8bJLPMS%2BadUGRiZLap4%2FXd1B09yFVDkpacz%2BisJ4Y5Ofji1uDuUIj1ItUpUGDahN67uyi78z7ZRG5n9TLvQ%2Bp7VgWgx04w3LgSVJEjVCuyXqWZY9oQHjzZbZmLrMT%2Bn1mKNQhiFPTUiuqJBdFkFd8jh3DQCX4vj3hB7V2eIK7L4GCnMhkzcMvQIGSuv62MjSP6tda1CUL%2BlXnehzQWmRqp33wgjmNDn0syZreGPYspTeEqV8aJ26EZ%2F98IQ1dUyktPW70bIWG7y%2F6eAEFwbTpqfxxD3gBQ6JbDV63Al63gi6Ua%2BDPr5%2BsBESLf%2F52fwf4r6%2BfUP8ZuDj0KpCRDfVS%2Bc67WQUSOfG1F8QJCigrvUH52CIurfO1zYY5UMo%2FxoEUsdpq%2BZJYMXByKo7HqQAmW9jDMpqaOWiI8T3PbtsziSFVsa%2BTw3j0ku%2Blz1n2wtTz5iZ3QRtPpcYURx4ZxIIHXhpNO0d%2BVdtU62FQmz7QOTBpqj3Qyukxk%2B%2BybV4CqpY6sPlItGaCgSlYhAdORuR3a5OLaMT%2FO85FFEvPUyuvoySEAvip3zl%2FZvN%2BgADsTtwAafJph10LqmqTBaTfnuLRjIreAYLegYpQTQUMlctwiqKiu0x628yhXZmRjfqoM0NKLJyfXBb8oGp0Y%2BDo2JQZMLZhqsh4d%2FPf%2FXxKbIiW83loj6pYyvXOPKr0tAAn1y5K8AN6epMglRnHjUGBg5X2SPI1LQF8KgCFn3Ms0nB3jsaO0GDzPrYOXwYNuXHSTaGXUoHMyxZ66b1ymVevucSLOVdpPcLGv2K%2BVo1zRbsQvauYOALJkG4eSeHsozj2Fle3XsAOTTyfPezr1pXVe7a7lpUBWkLXbBaTAaHcUZyQuwq1VjMEEAx4h04FwhaVogdoC5lu4QLyIXuKtg4keQK7wYE8sMPHpMJbZkbGVFzEAm6JWOzLwTJmlCwNlSdPs4SpmDw9hkjc9lLQfVhWgUpDRutZK0BVsB9wjyjSVgNBsAWCnaNNHvLbxkBHEPI7YAVzB6VL0uwYUTg7xNgakf%2ByMTYH36C1n6R3OSvW9zLguUgSxzn8ZpCz1pZw83yrFuTTS%2F32AbhOY2xSzOxpL8vxZ7yGqGsDnu7FWiFfOQWf5zJ21fHvw4qm25xqSgfZLzm4rPairQnpxyfZhCjZZJIWwfERJ4mvdejAQJ7yJyMbhTceObOjfISqGnzOtN%2B%2BMKnmisMtglBbbZ13qts8wrpNhS%2FdrJZI7ROar9aSaEItyUtWBKiSnZobYXyq5HwhOO6FrvdYybnLvrfvqGaTLirMVhKWSjVHsDdUPk%2FTPT9D%2Bv%2Fw%2FDKu6eBqNO2xLejFLja7f9CDH4bTzx%2FlBZ8zlG7cdZ49MuHFxme%2BCp2Q%2FKL%2Fkii9ENxgNyzdn54l3HyFnCjfHezjs0tNdUlSSdwHzIS8fNVBJ%2FK1KXRz2kLiLW4hMT43gaJUtNR73UICL95mmWWL8lzxm1g0ALpgebmbabZ3M99T0ZGlD%2FRypkiymStbqlnYFMJuHhoT351ndSVmbuPknXL8nCs%2FvKRGZUhd%2BMqOwNyK38iJ%2BzHbDKqzzYElxQEFlpgSl6Ove%2B6WuPNtkXTocqeaLY%2FefLlTCjzm6QnlfG9PTrLFk%2FXqSvxur%2B7Am3NFq1j9%2Bw%2FBH%2FcaAIWVfnRWTwIMmxeadlFf0rI8RNyCcdPB7lsdWerWvrqrLpGyAxvwXdkhcITSpp6s8LiAzc6ZyZcXYs0Si1ll26JKTdZbXVTJ1IQKJ3vv70jU1K19HRpQsA1%2BTgYlvOKjQ%2Bm2Mw5KQ1rdaNTK10ZoKr9lW1En17mSha2%2BfOYEAjii%2Bw0FCw95NJKZ5glxtPTiON3JWE%2B%2F2ehD5nrQGSnvMpvvcrnftwVI4FIsUKpVTnvAhTQ3302eiZjNN7yr4%2F8A%3C%2Fdiagram%3E%3C%2Fmxfile%3E" </w:instrText>
              <w:fldChar w:fldCharType="separate"/>
            </w:r>
            <w:r>
              <w:rPr>
                <w:color w:val="1D4ED8"/>
                <w:sz w:val="19"/>
                <w:szCs w:val="19"/>
                <w:u w:val="single"/>
              </w:rPr>
              <w:t>Abrir diagrama no diagrams.net</w:t>
              <w:fldChar w:fldCharType="end"/>
            </w:r>
          </w:p>
        </w:tc>
      </w:tr>
      <w:tr w14:paraId="74B97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9F23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Vídeo de demonstração</w:t>
            </w:r>
          </w:p>
        </w:tc>
        <w:tc>
          <w:tcPr>
            <w:tcW w:w="68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49F0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  <w:highlight w:val="yellow"/>
              </w:rPr>
              <w:t>[PREENCHER: link do vídeo]</w:t>
            </w:r>
          </w:p>
        </w:tc>
      </w:tr>
      <w:tr w14:paraId="2A928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7504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Região AWS</w:t>
            </w:r>
          </w:p>
        </w:tc>
        <w:tc>
          <w:tcPr>
            <w:tcW w:w="68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19AC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us-east-1 (N. Virginia)</w:t>
            </w:r>
          </w:p>
        </w:tc>
      </w:tr>
      <w:tr w14:paraId="3DCAE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66B3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Estimativa de custos</w:t>
            </w:r>
          </w:p>
        </w:tc>
        <w:tc>
          <w:tcPr>
            <w:tcW w:w="68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ABB2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Calculadora de Preços da AWS: ver seção 3</w:t>
            </w:r>
          </w:p>
        </w:tc>
      </w:tr>
    </w:tbl>
    <w:p w14:paraId="08B8C4F8">
      <w:pPr>
        <w:pStyle w:val="2"/>
        <w:keepNext/>
        <w:pBdr>
          <w:bottom w:val="single" w:color="E2E8F0" w:sz="8" w:space="4"/>
        </w:pBdr>
        <w:spacing w:before="360" w:after="140"/>
      </w:pPr>
      <w:r>
        <w:rPr>
          <w:b/>
          <w:bCs/>
          <w:color w:val="0F172A"/>
          <w:sz w:val="30"/>
          <w:szCs w:val="30"/>
        </w:rPr>
        <w:t>1. Resumo do projeto</w:t>
      </w:r>
    </w:p>
    <w:p w14:paraId="1B24ED53">
      <w:pPr>
        <w:spacing w:after="100" w:line="276" w:lineRule="auto"/>
      </w:pPr>
      <w:r>
        <w:t>O ToggleMaster é uma API REST de feature flags em Python/Flask, com as flags guardadas em um banco PostgreSQL. Nesta fase o monólito foi executado localmente e publicado manualmente na AWS, seguindo as etapas do desafio: análise e execução local, desenho da arquitetura e dos custos, provisionamento no console, deploy na EC2 e produção dos entregáveis.</w:t>
      </w:r>
    </w:p>
    <w:p w14:paraId="3A450D0E">
      <w:pPr>
        <w:pStyle w:val="3"/>
        <w:keepNext/>
        <w:spacing w:before="220" w:after="100"/>
      </w:pPr>
      <w:r>
        <w:rPr>
          <w:b/>
          <w:bCs/>
          <w:color w:val="1E3A8A"/>
          <w:sz w:val="23"/>
          <w:szCs w:val="23"/>
        </w:rPr>
        <w:t>Solução implantada</w:t>
      </w:r>
    </w:p>
    <w:p w14:paraId="4E564951">
      <w:pPr>
        <w:pStyle w:val="27"/>
        <w:numPr>
          <w:ilvl w:val="0"/>
          <w:numId w:val="1"/>
        </w:numPr>
        <w:spacing w:after="60" w:line="276" w:lineRule="auto"/>
      </w:pPr>
      <w:r>
        <w:rPr>
          <w:b/>
          <w:bCs/>
        </w:rPr>
        <w:t>Rede:</w:t>
      </w:r>
      <w:r>
        <w:t xml:space="preserve"> VPC 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togglemaster-vpc</w:t>
      </w:r>
      <w:r>
        <w:t xml:space="preserve"> (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10.0.0.0/16</w:t>
      </w:r>
      <w:r>
        <w:t>) com sub-redes públicas e privadas, Internet Gateway, sem NAT Gateway e sem VPC endpoints.</w:t>
      </w:r>
    </w:p>
    <w:p w14:paraId="0ABF4AD6">
      <w:pPr>
        <w:pStyle w:val="27"/>
        <w:numPr>
          <w:ilvl w:val="0"/>
          <w:numId w:val="1"/>
        </w:numPr>
        <w:spacing w:after="60" w:line="276" w:lineRule="auto"/>
      </w:pPr>
      <w:r>
        <w:rPr>
          <w:b/>
          <w:bCs/>
        </w:rPr>
        <w:t>Aplicação:</w:t>
      </w:r>
      <w:r>
        <w:t xml:space="preserve"> EC2 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t4g.micro</w:t>
      </w:r>
      <w:r>
        <w:t xml:space="preserve"> (Ubuntu Server) na sub-rede pública, com o Gunicorn escutando na porta 5000.</w:t>
      </w:r>
    </w:p>
    <w:p w14:paraId="09785D2A">
      <w:pPr>
        <w:pStyle w:val="27"/>
        <w:numPr>
          <w:ilvl w:val="0"/>
          <w:numId w:val="1"/>
        </w:numPr>
        <w:spacing w:after="60" w:line="276" w:lineRule="auto"/>
      </w:pPr>
      <w:r>
        <w:rPr>
          <w:b/>
          <w:bCs/>
        </w:rPr>
        <w:t>Banco:</w:t>
      </w:r>
      <w:r>
        <w:t xml:space="preserve"> RDS PostgreSQL 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db.t4g.micro</w:t>
      </w:r>
      <w:r>
        <w:t>, 20 GB gp3, Single-AZ, na sub-rede privada e sem acesso público.</w:t>
      </w:r>
    </w:p>
    <w:p w14:paraId="524D11D2">
      <w:pPr>
        <w:pStyle w:val="27"/>
        <w:numPr>
          <w:ilvl w:val="0"/>
          <w:numId w:val="1"/>
        </w:numPr>
        <w:spacing w:after="60" w:line="276" w:lineRule="auto"/>
      </w:pPr>
      <w:r>
        <w:rPr>
          <w:b/>
          <w:bCs/>
        </w:rPr>
        <w:t>Segurança de rede:</w:t>
      </w:r>
      <w:r>
        <w:t xml:space="preserve"> 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SG-ec2-togglemaster</w:t>
      </w:r>
      <w:r>
        <w:t xml:space="preserve"> (SSH 22 somente dos IPs dos administradores; API na porta 5000) e 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SG-db-togglemaster</w:t>
      </w:r>
      <w:r>
        <w:t xml:space="preserve"> (PostgreSQL 5432 somente com origem no Security Group da EC2).</w:t>
      </w:r>
    </w:p>
    <w:p w14:paraId="587ED74E">
      <w:pPr>
        <w:pStyle w:val="27"/>
        <w:numPr>
          <w:ilvl w:val="0"/>
          <w:numId w:val="1"/>
        </w:numPr>
        <w:spacing w:after="60" w:line="276" w:lineRule="auto"/>
      </w:pPr>
      <w:r>
        <w:rPr>
          <w:b/>
          <w:bCs/>
        </w:rPr>
        <w:t>Credenciais:</w:t>
      </w:r>
      <w:r>
        <w:t xml:space="preserve"> senha do banco gerenciada no AWS Secrets Manager e lida pela EC2 por meio da IAM Role 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togglemaster-rds-secrets</w:t>
      </w:r>
      <w:r>
        <w:t>; nenhuma senha está no código, no repositório ou gravada na instância.</w:t>
      </w:r>
    </w:p>
    <w:p w14:paraId="507A208D">
      <w:pPr>
        <w:spacing w:before="80" w:after="100"/>
      </w:pPr>
      <w:r>
        <w:t>O detalhamento da arquitetura, do fluxo de credenciais e da discussão 12-Factor está na documentação indicada acima.</w:t>
      </w:r>
    </w:p>
    <w:p w14:paraId="48A8FA65">
      <w:pPr>
        <w:pStyle w:val="2"/>
        <w:keepNext/>
        <w:pBdr>
          <w:bottom w:val="single" w:color="E2E8F0" w:sz="8" w:space="4"/>
        </w:pBdr>
        <w:spacing w:before="360" w:after="140"/>
      </w:pPr>
      <w:r>
        <w:rPr>
          <w:b/>
          <w:bCs/>
          <w:color w:val="0F172A"/>
          <w:sz w:val="30"/>
          <w:szCs w:val="30"/>
        </w:rPr>
        <w:t>2. Validação na EC2</w:t>
      </w:r>
    </w:p>
    <w:p w14:paraId="31132CFE">
      <w:pPr>
        <w:spacing w:after="100" w:line="276" w:lineRule="auto"/>
      </w:pPr>
      <w:r>
        <w:t xml:space="preserve">A aplicação foi iniciada com o 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entrypoint.sh</w:t>
      </w:r>
      <w:r>
        <w:t xml:space="preserve">, que espera o RDS aceitar conexões, cria a tabela 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flags</w:t>
      </w:r>
      <w:r>
        <w:t xml:space="preserve"> e inicia o Gunicorn. A disponibilidade pública foi validada pelo navegador, em 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http://&lt;IP-público-da-EC2&gt;:5000/health</w:t>
      </w:r>
      <w:r>
        <w:t xml:space="preserve">, com retorno 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{"status":"ok"}</w:t>
      </w:r>
      <w:r>
        <w:t xml:space="preserve">. Como esse endpoint não consulta o banco, a conexão com o RDS foi comprovada pela consulta direta ao banco com 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psql</w:t>
      </w:r>
      <w:r>
        <w:t xml:space="preserve"> (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\dt</w:t>
      </w:r>
      <w:r>
        <w:t xml:space="preserve">), que mostrou a tabela 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flags</w:t>
      </w:r>
      <w:r>
        <w:t xml:space="preserve"> criada.</w:t>
      </w:r>
    </w:p>
    <w:p w14:paraId="251F37A6">
      <w:pPr>
        <w:pStyle w:val="2"/>
        <w:keepNext/>
        <w:pBdr>
          <w:bottom w:val="single" w:color="E2E8F0" w:sz="8" w:space="4"/>
        </w:pBdr>
        <w:spacing w:before="360" w:after="140"/>
      </w:pPr>
      <w:r>
        <w:rPr>
          <w:b/>
          <w:bCs/>
          <w:color w:val="0F172A"/>
          <w:sz w:val="30"/>
          <w:szCs w:val="30"/>
        </w:rPr>
        <w:t>3. Estimativa de custos</w:t>
      </w:r>
    </w:p>
    <w:p w14:paraId="624D6B75">
      <w:pPr>
        <w:spacing w:after="100" w:line="276" w:lineRule="auto"/>
      </w:pPr>
      <w:r>
        <w:t xml:space="preserve">A estimativa mensal foi feita na Calculadora de Preços da AWS para a EC2, o RDS e o armazenamento EBS. O valor caiu de cerca de US$ 6.100 por mês na configuração inicial para </w:t>
      </w:r>
      <w:r>
        <w:rPr>
          <w:b/>
          <w:bCs/>
        </w:rPr>
        <w:t>US$ 24,80 por mês</w:t>
      </w:r>
      <w:r>
        <w:t xml:space="preserve"> (US$ 297,60 em 12 meses, sem custo inicial) depois das otimizações:</w:t>
      </w:r>
    </w:p>
    <w:p w14:paraId="5A2E3A0E">
      <w:pPr>
        <w:pStyle w:val="27"/>
        <w:numPr>
          <w:ilvl w:val="0"/>
          <w:numId w:val="1"/>
        </w:numPr>
        <w:spacing w:after="60" w:line="276" w:lineRule="auto"/>
      </w:pPr>
      <w:r>
        <w:t xml:space="preserve">Instâncias da família 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t4g.micro</w:t>
      </w:r>
      <w:r>
        <w:t xml:space="preserve"> (EC2 e </w:t>
      </w:r>
      <w:r>
        <w:rPr>
          <w:rFonts w:ascii="Consolas" w:hAnsi="Consolas" w:eastAsia="Consolas" w:cs="Consolas"/>
          <w:sz w:val="19"/>
          <w:szCs w:val="19"/>
          <w:shd w:val="clear" w:fill="F1F5F9"/>
        </w:rPr>
        <w:t>db.t4g.micro</w:t>
      </w:r>
      <w:r>
        <w:t xml:space="preserve"> no RDS), sob demanda.</w:t>
      </w:r>
    </w:p>
    <w:p w14:paraId="4BE83D47">
      <w:pPr>
        <w:pStyle w:val="27"/>
        <w:numPr>
          <w:ilvl w:val="0"/>
          <w:numId w:val="1"/>
        </w:numPr>
        <w:spacing w:after="60" w:line="276" w:lineRule="auto"/>
      </w:pPr>
      <w:r>
        <w:t>RDS em Single-AZ, com 20 GB em SSD gp3 e os recursos adicionais opcionais desmarcados.</w:t>
      </w:r>
    </w:p>
    <w:p w14:paraId="3CD226E4">
      <w:pPr>
        <w:pStyle w:val="27"/>
        <w:numPr>
          <w:ilvl w:val="0"/>
          <w:numId w:val="1"/>
        </w:numPr>
        <w:spacing w:after="60" w:line="276" w:lineRule="auto"/>
      </w:pPr>
      <w:r>
        <w:t>Sem NAT Gateway e sem VPC endpoints, que gerariam custo adicional.</w:t>
      </w:r>
    </w:p>
    <w:p w14:paraId="543D29FB">
      <w:pPr>
        <w:spacing w:before="80" w:after="120"/>
      </w:pPr>
      <w:r>
        <w:t xml:space="preserve">Link da estimativa: </w:t>
        <w:fldChar w:fldCharType="begin"/>
        <w:instrText xml:space="preserve"> HYPERLINK "https://calculator.aws/" \l "/estimate?id=fec0e0d5c9a4d7ba3b417f6807a0b40d1d0e6f7d" </w:instrText>
        <w:fldChar w:fldCharType="separate"/>
      </w:r>
      <w:r>
        <w:rPr>
          <w:color w:val="1D4ED8"/>
          <w:u w:val="single"/>
        </w:rPr>
        <w:t>https://calculator.aws/#/estimate?id=fec0e0d5c9a4d7ba3b417f6807a0b40d1d0e6f7d</w:t>
        <w:fldChar w:fldCharType="end"/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5138"/>
        <w:gridCol w:w="2600"/>
      </w:tblGrid>
      <w:tr w14:paraId="17B58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18B1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51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9B2C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Configuração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CB17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Custo mensal (US$)</w:t>
            </w:r>
          </w:p>
        </w:tc>
      </w:tr>
      <w:tr w14:paraId="0FBCE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7FE0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EC2</w:t>
            </w:r>
          </w:p>
        </w:tc>
        <w:tc>
          <w:tcPr>
            <w:tcW w:w="51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3A00">
            <w:pPr>
              <w:spacing w:after="0" w:line="252" w:lineRule="auto"/>
            </w:pPr>
            <w:r>
              <w:rPr>
                <w:rFonts w:ascii="Consolas" w:hAnsi="Consolas" w:eastAsia="Consolas" w:cs="Consolas"/>
                <w:b w:val="0"/>
                <w:bCs w:val="0"/>
                <w:sz w:val="17"/>
                <w:szCs w:val="17"/>
                <w:shd w:val="clear" w:fill="F1F5F9"/>
              </w:rPr>
              <w:t>t4g.micro</w:t>
            </w:r>
            <w:r>
              <w:rPr>
                <w:b w:val="0"/>
                <w:bCs w:val="0"/>
                <w:sz w:val="19"/>
                <w:szCs w:val="19"/>
              </w:rPr>
              <w:t xml:space="preserve"> Linux, sob demanda, 100% de uso, EBS gp3 de 8 GB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BAF4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6,77</w:t>
            </w:r>
          </w:p>
        </w:tc>
      </w:tr>
      <w:tr w14:paraId="06203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7E71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RDS PostgreSQL</w:t>
            </w:r>
          </w:p>
        </w:tc>
        <w:tc>
          <w:tcPr>
            <w:tcW w:w="51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242C">
            <w:pPr>
              <w:spacing w:after="0" w:line="252" w:lineRule="auto"/>
            </w:pPr>
            <w:r>
              <w:rPr>
                <w:rFonts w:ascii="Consolas" w:hAnsi="Consolas" w:eastAsia="Consolas" w:cs="Consolas"/>
                <w:b w:val="0"/>
                <w:bCs w:val="0"/>
                <w:sz w:val="17"/>
                <w:szCs w:val="17"/>
                <w:shd w:val="clear" w:fill="F1F5F9"/>
              </w:rPr>
              <w:t>db.t4g.micro</w:t>
            </w:r>
            <w:r>
              <w:rPr>
                <w:b w:val="0"/>
                <w:bCs w:val="0"/>
                <w:sz w:val="19"/>
                <w:szCs w:val="19"/>
              </w:rPr>
              <w:t>, Single-AZ, gp3 de 20 GB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B895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13,98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VPC</w:t>
            </w:r>
          </w:p>
        </w:tc>
        <w:tc>
          <w:tcPr>
            <w:tcW w:w="51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1 endereço IPv4 público em uso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3,65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Secrets Manager</w:t>
            </w:r>
          </w:p>
        </w:tc>
        <w:tc>
          <w:tcPr>
            <w:tcW w:w="51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1 segredo, 30 dias, 100 chamadas de API por mês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0,40</w:t>
            </w:r>
          </w:p>
        </w:tc>
      </w:tr>
      <w:tr w14:paraId="6EA57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CA3D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Total estimado</w:t>
            </w:r>
          </w:p>
        </w:tc>
        <w:tc>
          <w:tcPr>
            <w:tcW w:w="51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19BC">
            <w:pPr>
              <w:spacing w:after="0" w:line="252" w:lineRule="auto"/>
            </w:pP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E038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24,80</w:t>
            </w:r>
          </w:p>
        </w:tc>
      </w:tr>
    </w:tbl>
    <w:p>
      <w:pPr>
        <w:spacing w:before="100" w:after="100"/>
      </w:pPr>
      <w:r>
        <w:rPr>
          <w:sz w:val="19"/>
          <w:szCs w:val="19"/>
        </w:rPr>
        <w:t>A estimativa é para a região us-east-1 e não inclui transferência de dados nem backup além do tamanho do banco.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4129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0" w:hRule="atLeast"/>
        </w:trPr>
        <w:tc>
          <w:tcPr>
            <w:tcW w:w="9638" w:type="dxa"/>
            <w:tcBorders>
              <w:top w:val="dashed" w:color="94A3B8" w:sz="8" w:space="0"/>
              <w:left w:val="dashed" w:color="94A3B8" w:sz="8" w:space="0"/>
              <w:bottom w:val="dashed" w:color="94A3B8" w:sz="8" w:space="0"/>
              <w:right w:val="dashed" w:color="94A3B8" w:sz="8" w:space="0"/>
            </w:tcBorders>
            <w:vAlign w:val="center"/>
          </w:tcPr>
          <w:p w14:paraId="19AC5831">
            <w:pPr>
              <w:jc w:val="center"/>
            </w:pPr>
            <w:r>
              <w:rPr>
                <w:highlight w:val="yellow"/>
              </w:rPr>
              <w:t>[INSERIR AQUI: print da estimativa de custos da calculadora]</w:t>
            </w:r>
          </w:p>
        </w:tc>
      </w:tr>
    </w:tbl>
    <w:p w14:paraId="603E6F43">
      <w:pPr>
        <w:pStyle w:val="2"/>
        <w:keepNext/>
        <w:pBdr>
          <w:bottom w:val="single" w:color="E2E8F0" w:sz="8" w:space="4"/>
        </w:pBdr>
        <w:spacing w:before="360" w:after="140"/>
      </w:pPr>
      <w:r>
        <w:rPr>
          <w:b/>
          <w:bCs/>
          <w:color w:val="0F172A"/>
          <w:sz w:val="30"/>
          <w:szCs w:val="30"/>
        </w:rPr>
        <w:t>4. Decisões técnicas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338"/>
      </w:tblGrid>
      <w:tr w14:paraId="353CA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814E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Decisão</w:t>
            </w:r>
          </w:p>
        </w:tc>
        <w:tc>
          <w:tcPr>
            <w:tcW w:w="63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E156">
            <w:pPr>
              <w:spacing w:after="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Justificativa</w:t>
            </w:r>
          </w:p>
        </w:tc>
      </w:tr>
      <w:tr w14:paraId="728A4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A2D0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Banco na sub-rede privada, sem acesso público, aceitando tráfego só do SG da EC2</w:t>
            </w:r>
          </w:p>
        </w:tc>
        <w:tc>
          <w:tcPr>
            <w:tcW w:w="63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BD7A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Reduz a superfície de ataque: só a aplicação fala com o banco.</w:t>
            </w:r>
          </w:p>
        </w:tc>
      </w:tr>
      <w:tr w14:paraId="59533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3B04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Sub-redes privadas em duas zonas de disponibilidade</w:t>
            </w:r>
          </w:p>
        </w:tc>
        <w:tc>
          <w:tcPr>
            <w:tcW w:w="63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F634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Exigência do grupo de sub-redes do RDS.</w:t>
            </w:r>
          </w:p>
        </w:tc>
      </w:tr>
      <w:tr w14:paraId="00D4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7EA4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Credenciais no Secrets Manager, lidas por IAM Role</w:t>
            </w:r>
          </w:p>
        </w:tc>
        <w:tc>
          <w:tcPr>
            <w:tcW w:w="63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A1F6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Evita senha no código, em arquivo ou chaves de acesso na máquina, e segue o princípio do menor privilégio.</w:t>
            </w:r>
          </w:p>
        </w:tc>
      </w:tr>
      <w:tr w14:paraId="276EF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057A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Rotação automática da senha desativada</w:t>
            </w:r>
          </w:p>
        </w:tc>
        <w:tc>
          <w:tcPr>
            <w:tcW w:w="63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5C4C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Mantém a senha estável durante o projeto, já que as variáveis de ambiente não são recarregadas sozinhas.</w:t>
            </w:r>
          </w:p>
        </w:tc>
      </w:tr>
      <w:tr w14:paraId="25AD9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96F2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SSH restrito aos IPs dos administradores</w:t>
            </w:r>
          </w:p>
        </w:tc>
        <w:tc>
          <w:tcPr>
            <w:tcW w:w="63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F3F1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Evita acesso administrativo aberto à internet.</w:t>
            </w:r>
          </w:p>
        </w:tc>
      </w:tr>
      <w:tr w14:paraId="7F2BF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E9EF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Sem NAT Gateway e sem VPC endpoints</w:t>
            </w:r>
          </w:p>
        </w:tc>
        <w:tc>
          <w:tcPr>
            <w:tcW w:w="63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C2AE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A EC2 está na sub-rede pública e já acessa a internet e o Secrets Manager pelo Internet Gateway. O NAT teria custo sem ganho nesta arquitetura.</w:t>
            </w:r>
          </w:p>
        </w:tc>
      </w:tr>
      <w:tr w14:paraId="78FBB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5364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Porta 5000 exposta diretamente</w:t>
            </w:r>
          </w:p>
        </w:tc>
        <w:tc>
          <w:tcPr>
            <w:tcW w:w="63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5A9C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A aplicação já escuta nela. Para um MVP, evita proxy reverso e certificado. Em produção, o caminho natural é um Load Balancer com HTTPS na frente.</w:t>
            </w:r>
          </w:p>
        </w:tc>
      </w:tr>
      <w:tr w14:paraId="3E245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6C5B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RDS Single-AZ e instâncias </w:t>
            </w:r>
            <w:r>
              <w:rPr>
                <w:rFonts w:ascii="Consolas" w:hAnsi="Consolas" w:eastAsia="Consolas" w:cs="Consolas"/>
                <w:b/>
                <w:bCs/>
                <w:sz w:val="17"/>
                <w:szCs w:val="17"/>
                <w:shd w:val="clear" w:fill="F1F5F9"/>
              </w:rPr>
              <w:t>t4g.micro</w:t>
            </w:r>
          </w:p>
        </w:tc>
        <w:tc>
          <w:tcPr>
            <w:tcW w:w="63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30E6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Mantém o custo em cerca de US$ 25 por mês, aceitando menor disponibilidade no MVP.</w:t>
            </w:r>
          </w:p>
        </w:tc>
      </w:tr>
      <w:tr w14:paraId="4A3C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45E6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Aplicação iniciada pelo </w:t>
            </w:r>
            <w:r>
              <w:rPr>
                <w:rFonts w:ascii="Consolas" w:hAnsi="Consolas" w:eastAsia="Consolas" w:cs="Consolas"/>
                <w:b/>
                <w:bCs/>
                <w:sz w:val="17"/>
                <w:szCs w:val="17"/>
                <w:shd w:val="clear" w:fill="F1F5F9"/>
              </w:rPr>
              <w:t>entrypoint.sh</w:t>
            </w:r>
          </w:p>
        </w:tc>
        <w:tc>
          <w:tcPr>
            <w:tcW w:w="63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8B76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 xml:space="preserve">Valida as variáveis, espera o banco, cria a tabela </w:t>
            </w:r>
            <w:r>
              <w:rPr>
                <w:rFonts w:ascii="Consolas" w:hAnsi="Consolas" w:eastAsia="Consolas" w:cs="Consolas"/>
                <w:b w:val="0"/>
                <w:bCs w:val="0"/>
                <w:sz w:val="17"/>
                <w:szCs w:val="17"/>
                <w:shd w:val="clear" w:fill="F1F5F9"/>
              </w:rPr>
              <w:t>flags</w:t>
            </w:r>
            <w:r>
              <w:rPr>
                <w:b w:val="0"/>
                <w:bCs w:val="0"/>
                <w:sz w:val="19"/>
                <w:szCs w:val="19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bCs w:val="0"/>
                <w:sz w:val="17"/>
                <w:szCs w:val="17"/>
                <w:shd w:val="clear" w:fill="F1F5F9"/>
              </w:rPr>
              <w:t>flask init-db</w:t>
            </w:r>
            <w:r>
              <w:rPr>
                <w:b w:val="0"/>
                <w:bCs w:val="0"/>
                <w:sz w:val="19"/>
                <w:szCs w:val="19"/>
              </w:rPr>
              <w:t>) e inicia o Gunicorn.</w:t>
            </w:r>
          </w:p>
        </w:tc>
      </w:tr>
      <w:tr w14:paraId="26056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20E3">
            <w:pPr>
              <w:spacing w:after="0" w:line="252" w:lineRule="auto"/>
            </w:pPr>
            <w:r>
              <w:rPr>
                <w:b/>
                <w:bCs/>
                <w:sz w:val="19"/>
                <w:szCs w:val="19"/>
              </w:rPr>
              <w:t>Provisionamento manual pelo console</w:t>
            </w:r>
          </w:p>
        </w:tc>
        <w:tc>
          <w:tcPr>
            <w:tcW w:w="63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FA55">
            <w:pPr>
              <w:spacing w:after="0" w:line="252" w:lineRule="auto"/>
            </w:pPr>
            <w:r>
              <w:rPr>
                <w:b w:val="0"/>
                <w:bCs w:val="0"/>
                <w:sz w:val="19"/>
                <w:szCs w:val="19"/>
              </w:rPr>
              <w:t>Exigência da fase, para entender cada recurso. A automação é o passo seguinte do curso.</w:t>
            </w:r>
          </w:p>
        </w:tc>
      </w:tr>
    </w:tbl>
    <w:p w14:paraId="5943AE00"/>
    <w:bookmarkEnd w:id="0"/>
    <w:sectPr>
      <w:headerReference r:id="rId3" w:type="default"/>
      <w:footerReference r:id="rId4" w:type="default"/>
      <w:pgSz w:w="11906" w:h="16838"/>
      <w:pgMar w:top="1247" w:right="1134" w:bottom="1247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F2F2D">
    <w:pPr>
      <w:jc w:val="right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09823">
    <w:r>
      <w:rPr>
        <w:color w:val="666666"/>
        <w:sz w:val="18"/>
        <w:szCs w:val="18"/>
      </w:rPr>
      <w:t>ToggleMaster · Tech Challenge Fase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01C63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uiPriority="39" w:name="toc 5"/>
    <w:lsdException w:uiPriority="39" w:name="toc 6"/>
    <w:lsdException w:qFormat="1" w:uiPriority="39" w:name="toc 7"/>
    <w:lsdException w:qFormat="1" w:uiPriority="39" w:name="toc 8"/>
    <w:lsdException w:qFormat="1" w:uiPriority="39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F2933"/>
      <w:sz w:val="21"/>
      <w:szCs w:val="21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rFonts w:ascii="Calibri" w:hAnsi="Calibri" w:eastAsia="Calibri" w:cs="Calibri"/>
      <w:b/>
      <w:bCs/>
      <w:sz w:val="30"/>
      <w:szCs w:val="30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rFonts w:ascii="Calibri" w:hAnsi="Calibri" w:eastAsia="Calibri" w:cs="Calibri"/>
      <w:b/>
      <w:bCs/>
      <w:sz w:val="23"/>
      <w:szCs w:val="23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line number"/>
    <w:semiHidden/>
    <w:unhideWhenUsed/>
    <w:uiPriority w:val="99"/>
  </w:style>
  <w:style w:type="character" w:styleId="12">
    <w:name w:val="footnote reference"/>
    <w:semiHidden/>
    <w:unhideWhenUsed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toc 2"/>
    <w:basedOn w:val="1"/>
    <w:next w:val="1"/>
    <w:semiHidden/>
    <w:unhideWhenUsed/>
    <w:qFormat/>
    <w:uiPriority w:val="39"/>
    <w:pPr>
      <w:spacing w:after="100"/>
      <w:ind w:left="210"/>
    </w:pPr>
  </w:style>
  <w:style w:type="paragraph" w:styleId="15">
    <w:name w:val="toc 9"/>
    <w:basedOn w:val="1"/>
    <w:next w:val="1"/>
    <w:semiHidden/>
    <w:unhideWhenUsed/>
    <w:qFormat/>
    <w:uiPriority w:val="39"/>
    <w:pPr>
      <w:spacing w:after="100"/>
      <w:ind w:left="1680"/>
    </w:pPr>
  </w:style>
  <w:style w:type="paragraph" w:styleId="16">
    <w:name w:val="toc 6"/>
    <w:basedOn w:val="1"/>
    <w:next w:val="1"/>
    <w:semiHidden/>
    <w:unhideWhenUsed/>
    <w:uiPriority w:val="39"/>
    <w:pPr>
      <w:spacing w:after="100"/>
      <w:ind w:left="1050"/>
    </w:pPr>
  </w:style>
  <w:style w:type="paragraph" w:styleId="17">
    <w:name w:val="toc 5"/>
    <w:basedOn w:val="1"/>
    <w:next w:val="1"/>
    <w:semiHidden/>
    <w:unhideWhenUsed/>
    <w:uiPriority w:val="39"/>
    <w:pPr>
      <w:spacing w:after="100"/>
      <w:ind w:left="840"/>
    </w:pPr>
  </w:style>
  <w:style w:type="paragraph" w:styleId="18">
    <w:name w:val="Title"/>
    <w:basedOn w:val="1"/>
    <w:next w:val="1"/>
    <w:qFormat/>
    <w:uiPriority w:val="0"/>
    <w:rPr>
      <w:sz w:val="56"/>
      <w:szCs w:val="56"/>
    </w:rPr>
  </w:style>
  <w:style w:type="paragraph" w:styleId="19">
    <w:name w:val="endnote text"/>
    <w:basedOn w:val="1"/>
    <w:link w:val="3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0">
    <w:name w:val="toc 4"/>
    <w:basedOn w:val="1"/>
    <w:next w:val="1"/>
    <w:semiHidden/>
    <w:unhideWhenUsed/>
    <w:qFormat/>
    <w:uiPriority w:val="39"/>
    <w:pPr>
      <w:spacing w:after="100"/>
      <w:ind w:left="630"/>
    </w:pPr>
  </w:style>
  <w:style w:type="paragraph" w:styleId="21">
    <w:name w:val="toc 8"/>
    <w:basedOn w:val="1"/>
    <w:next w:val="1"/>
    <w:semiHidden/>
    <w:unhideWhenUsed/>
    <w:qFormat/>
    <w:uiPriority w:val="39"/>
    <w:pPr>
      <w:spacing w:after="100"/>
      <w:ind w:left="1470"/>
    </w:pPr>
  </w:style>
  <w:style w:type="paragraph" w:styleId="22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23">
    <w:name w:val="toc 7"/>
    <w:basedOn w:val="1"/>
    <w:next w:val="1"/>
    <w:semiHidden/>
    <w:unhideWhenUsed/>
    <w:qFormat/>
    <w:uiPriority w:val="39"/>
    <w:pPr>
      <w:spacing w:after="100"/>
      <w:ind w:left="1260"/>
    </w:pPr>
  </w:style>
  <w:style w:type="paragraph" w:styleId="24">
    <w:name w:val="toc 3"/>
    <w:basedOn w:val="1"/>
    <w:next w:val="1"/>
    <w:semiHidden/>
    <w:unhideWhenUsed/>
    <w:qFormat/>
    <w:uiPriority w:val="39"/>
    <w:pPr>
      <w:spacing w:after="100"/>
      <w:ind w:left="420"/>
    </w:pPr>
  </w:style>
  <w:style w:type="paragraph" w:styleId="25">
    <w:name w:val="footnote text"/>
    <w:basedOn w:val="1"/>
    <w:link w:val="2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6">
    <w:name w:val="toc 1"/>
    <w:basedOn w:val="1"/>
    <w:next w:val="1"/>
    <w:semiHidden/>
    <w:unhideWhenUsed/>
    <w:qFormat/>
    <w:uiPriority w:val="39"/>
    <w:pPr>
      <w:spacing w:after="100"/>
    </w:pPr>
  </w:style>
  <w:style w:type="paragraph" w:styleId="27">
    <w:name w:val="List Paragraph"/>
    <w:basedOn w:val="1"/>
    <w:qFormat/>
    <w:uiPriority w:val="0"/>
  </w:style>
  <w:style w:type="paragraph" w:customStyle="1" w:styleId="28">
    <w:name w:val="Bibliography"/>
    <w:basedOn w:val="1"/>
    <w:next w:val="1"/>
    <w:unhideWhenUsed/>
    <w:qFormat/>
    <w:uiPriority w:val="37"/>
  </w:style>
  <w:style w:type="character" w:customStyle="1" w:styleId="29">
    <w:name w:val="Footnote Text Char"/>
    <w:link w:val="25"/>
    <w:semiHidden/>
    <w:unhideWhenUsed/>
    <w:qFormat/>
    <w:uiPriority w:val="99"/>
    <w:rPr>
      <w:sz w:val="20"/>
      <w:szCs w:val="20"/>
    </w:rPr>
  </w:style>
  <w:style w:type="character" w:customStyle="1" w:styleId="30">
    <w:name w:val="Endnote Text Char"/>
    <w:link w:val="1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2026-10-30T03:06:00Z</dcterms:created>
  <dc:creator>Grupo ToggleMaster</dc:creator>
  <cp:lastModifiedBy>makle</cp:lastModifiedBy>
  <dcterms:modified xsi:type="dcterms:W3CDTF">2026-10-30T03:13:26Z</dcterms:modified>
  <dc:title>ToggleMaster · Relatório de Entrega · Tech Challenge Fase 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1046-12.2.0.23206</vt:lpwstr>
  </property>
  <property fmtid="{D5CDD505-2E9C-101B-9397-08002B2CF9AE}" pid="3" name="ICV">
    <vt:lpwstr>FD51E7DC4B8F4DE0917035F495E6E66F_12</vt:lpwstr>
  </property>
</Properties>
</file>