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9BF7CD" w14:paraId="44A1E771" wp14:textId="62F44FF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l-PL"/>
        </w:rPr>
        <w:t>Dokumentacja techniczna kalkulatora programisty</w:t>
      </w:r>
    </w:p>
    <w:p xmlns:wp14="http://schemas.microsoft.com/office/word/2010/wordml" w:rsidP="189BF7CD" w14:paraId="716A7892" wp14:textId="6BAB2E7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1. Wymagania funkcjonalne</w:t>
      </w:r>
    </w:p>
    <w:p xmlns:wp14="http://schemas.microsoft.com/office/word/2010/wordml" w:rsidP="189BF7CD" w14:paraId="3196DC00" wp14:textId="27C1705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Historyjki użytkowników (User Stories):</w:t>
      </w:r>
    </w:p>
    <w:p xmlns:wp14="http://schemas.microsoft.com/office/word/2010/wordml" w:rsidP="189BF7CD" w14:paraId="21E9C794" wp14:textId="2FC615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 jako użytkownik kalkulatora, chce wykonać operacje arytmetyczne (dodawanie, odejmowanie, mnożenie, dzielenie, modulo) na dwóch liczbach, aby uzyskać wynik.</w:t>
      </w:r>
    </w:p>
    <w:p xmlns:wp14="http://schemas.microsoft.com/office/word/2010/wordml" w:rsidP="189BF7CD" w14:paraId="531A8573" wp14:textId="04B37F1A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 jako użytkownik kalkulatora, chcę konwertować liczby między systemami:</w:t>
      </w:r>
    </w:p>
    <w:p xmlns:wp14="http://schemas.microsoft.com/office/word/2010/wordml" w:rsidP="189BF7CD" w14:paraId="157EF446" wp14:textId="7373FAB0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- dwójkowym, </w:t>
      </w:r>
    </w:p>
    <w:p xmlns:wp14="http://schemas.microsoft.com/office/word/2010/wordml" w:rsidP="189BF7CD" w14:paraId="185CCB66" wp14:textId="659ECF24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 dziesiętnym,</w:t>
      </w:r>
    </w:p>
    <w:p xmlns:wp14="http://schemas.microsoft.com/office/word/2010/wordml" w:rsidP="189BF7CD" w14:paraId="7104E369" wp14:textId="225CCD6A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 ósemkowym,</w:t>
      </w:r>
    </w:p>
    <w:p xmlns:wp14="http://schemas.microsoft.com/office/word/2010/wordml" w:rsidP="189BF7CD" w14:paraId="501363F7" wp14:textId="39DC93FC">
      <w:pPr>
        <w:spacing w:after="160" w:line="259" w:lineRule="auto"/>
        <w:ind w:left="708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- szesnastkowym,</w:t>
      </w:r>
    </w:p>
    <w:p xmlns:wp14="http://schemas.microsoft.com/office/word/2010/wordml" w:rsidP="189BF7CD" w14:paraId="16DA662F" wp14:textId="0CE5762F">
      <w:pPr>
        <w:spacing w:after="160" w:line="259" w:lineRule="auto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aby szybko i sprawnie otrzymać dany wynik.</w:t>
      </w:r>
    </w:p>
    <w:p xmlns:wp14="http://schemas.microsoft.com/office/word/2010/wordml" w:rsidP="189BF7CD" w14:paraId="4B1D2CB4" wp14:textId="41A0F5E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 jako użytkownik kalkulatora, chcę wykonywać operacje przesunięć bitowych (w lewo, w prawo), aby obliczyć wartość liczby po przesunięciu bitowym.</w:t>
      </w:r>
    </w:p>
    <w:p xmlns:wp14="http://schemas.microsoft.com/office/word/2010/wordml" w:rsidP="189BF7CD" w14:paraId="67DC6D11" wp14:textId="69C8294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Jako użytkowni chce otrzymywać komunikaty z programu, informacje o jego stanie oraz wyniki obliczeń za pośrednictwem wyświetlacza alfanumerycznego.</w:t>
      </w:r>
    </w:p>
    <w:p xmlns:wp14="http://schemas.microsoft.com/office/word/2010/wordml" w:rsidP="189BF7CD" w14:paraId="0824ADEB" wp14:textId="7023C8B0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Jako użytkownik chce korzystać z klawiatury 4x4 na płytce EasyPIC6 w celu wprowadzania wartości liczbowych.</w:t>
      </w:r>
    </w:p>
    <w:p xmlns:wp14="http://schemas.microsoft.com/office/word/2010/wordml" w:rsidP="189BF7CD" w14:paraId="7CAAE36E" wp14:textId="15CF3C19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Jako użytkownik chce korzystać z klawiatury Menu na płytce EasyPIC6 w celu zatwierdzania wprowadzanych danych i dokonywania wyboru pomiędzy trybami.</w:t>
      </w:r>
    </w:p>
    <w:p xmlns:wp14="http://schemas.microsoft.com/office/word/2010/wordml" w:rsidP="189BF7CD" w14:paraId="20C8A69C" wp14:textId="6B2E261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1.3 Procesy biznesowe oraz interakcje z innymi modułami</w:t>
      </w:r>
    </w:p>
    <w:p xmlns:wp14="http://schemas.microsoft.com/office/word/2010/wordml" w:rsidP="189BF7CD" w14:paraId="50C8D985" wp14:textId="0C47D27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Tabela 1: opisu funkcjonalności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0"/>
        <w:gridCol w:w="2535"/>
        <w:gridCol w:w="1620"/>
        <w:gridCol w:w="1635"/>
        <w:gridCol w:w="1978"/>
      </w:tblGrid>
      <w:tr w:rsidR="189BF7CD" w:rsidTr="189BF7CD" w14:paraId="69BB67F1">
        <w:tc>
          <w:tcPr>
            <w:tcW w:w="1380" w:type="dxa"/>
            <w:tcMar/>
            <w:vAlign w:val="top"/>
          </w:tcPr>
          <w:p w:rsidR="189BF7CD" w:rsidP="189BF7CD" w:rsidRDefault="189BF7CD" w14:paraId="2C1E44AB" w14:textId="66C2FB4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Nazwa funkcji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2F08874A" w14:textId="49B658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Opis działania/ Procesy biznesowe związane z funkcjonalnością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1EB36B42" w14:textId="75E1D84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Aktorzy</w:t>
            </w: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6DB00EAA" w14:textId="65A7FFB8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Modele danych</w:t>
            </w: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74A20CFA" w14:textId="028DB68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Interakcja z innymi modułami</w:t>
            </w:r>
          </w:p>
        </w:tc>
      </w:tr>
      <w:tr w:rsidR="189BF7CD" w:rsidTr="189BF7CD" w14:paraId="5EBC3D40">
        <w:tc>
          <w:tcPr>
            <w:tcW w:w="1380" w:type="dxa"/>
            <w:tcMar/>
            <w:vAlign w:val="top"/>
          </w:tcPr>
          <w:p w:rsidR="189BF7CD" w:rsidP="189BF7CD" w:rsidRDefault="189BF7CD" w14:paraId="5CA0059F" w14:textId="36545B7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Kalkulator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69055D1F" w14:textId="0AE1E9B6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Aplikacja kalkulatora służąca do konwertowania liczb, wykonywania operacji arytmetycznych oraz operacji przesunięcia bitowego. 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606A0D08" w14:textId="6978E76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Dowolny użytkownik</w:t>
            </w: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3515BBB0" w14:textId="5B0189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wejściowe:</w:t>
            </w:r>
          </w:p>
          <w:p w:rsidR="189BF7CD" w:rsidP="189BF7CD" w:rsidRDefault="189BF7CD" w14:paraId="4AB25371" w14:textId="5F7E12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Dane wprowadzane przez użytkownika</w:t>
            </w:r>
          </w:p>
          <w:p w:rsidR="189BF7CD" w:rsidP="189BF7CD" w:rsidRDefault="189BF7CD" w14:paraId="7DF1C9E7" w14:textId="3F9E5C0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1D3FD610" w14:textId="34CB1E9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  <w:p w:rsidR="189BF7CD" w:rsidP="189BF7CD" w:rsidRDefault="189BF7CD" w14:paraId="17A06534" w14:textId="029FA9E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Wyniki działania kalkulatora</w:t>
            </w:r>
          </w:p>
          <w:p w:rsidR="189BF7CD" w:rsidP="189BF7CD" w:rsidRDefault="189BF7CD" w14:paraId="0C7F3AA2" w14:textId="4AE953B9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58AE7DE5" w14:textId="3496191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Zawiera wszystkie pozostałe moduły.</w:t>
            </w:r>
          </w:p>
          <w:p w:rsidR="189BF7CD" w:rsidP="189BF7CD" w:rsidRDefault="189BF7CD" w14:paraId="73B1E04E" w14:textId="6F78480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89BF7CD" w:rsidP="189BF7CD" w:rsidRDefault="189BF7CD" w14:paraId="12ADBB1A" w14:textId="6A838C7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89BF7CD" w:rsidP="189BF7CD" w:rsidRDefault="189BF7CD" w14:paraId="1F7E7881" w14:textId="7FD5C9A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89BF7CD" w:rsidP="189BF7CD" w:rsidRDefault="189BF7CD" w14:paraId="7B6DB8A8" w14:textId="31D12C3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89BF7CD" w:rsidP="189BF7CD" w:rsidRDefault="189BF7CD" w14:paraId="19DB0042" w14:textId="00E0545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89BF7CD" w:rsidP="189BF7CD" w:rsidRDefault="189BF7CD" w14:paraId="5F5BAFE1" w14:textId="3755A32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89BF7CD" w:rsidTr="189BF7CD" w14:paraId="204564D6">
        <w:tc>
          <w:tcPr>
            <w:tcW w:w="1380" w:type="dxa"/>
            <w:tcMar/>
            <w:vAlign w:val="top"/>
          </w:tcPr>
          <w:p w:rsidR="189BF7CD" w:rsidP="189BF7CD" w:rsidRDefault="189BF7CD" w14:paraId="42CD7430" w14:textId="1C7F10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Wprowadzanie danych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09D5B7C5" w14:textId="21571380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umożliwiający wybór jednego z trzech trybów (operacje arytmetyczne, przesunięcia bitowe, konwersje) oraz wybranie typu danych wejściowych oraz wyjściowych adekwatnie do wybranego trybu.  Pozwala również wprowadzić dane wymagane do obliczeń.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21547EC0" w14:textId="2AC8B48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Użytkownik , moduł “Wyświetlacz”</w:t>
            </w: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2036A963" w14:textId="176A1641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 xml:space="preserve">Dane wejściowe: </w:t>
            </w: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sygnały z klawiatury 4x4 oraz klawiatury menu.</w:t>
            </w:r>
          </w:p>
          <w:p w:rsidR="189BF7CD" w:rsidP="189BF7CD" w:rsidRDefault="189BF7CD" w14:paraId="2635A136" w14:textId="719438E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78C3DB3E" w14:textId="46BADF1C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  <w:p w:rsidR="189BF7CD" w:rsidP="189BF7CD" w:rsidRDefault="189BF7CD" w14:paraId="37CD26A2" w14:textId="3516C3DD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wprowadzone liczby oraz typy danych</w:t>
            </w:r>
          </w:p>
          <w:p w:rsidR="189BF7CD" w:rsidP="189BF7CD" w:rsidRDefault="189BF7CD" w14:paraId="39ECE79F" w14:textId="5EB63AFF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</w:pP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298BAA3D" w14:textId="2F58126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W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zależności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od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wyborów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użytkownika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przesyła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do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odpowiedniego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modułu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liczby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i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informacje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o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typach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wejściowych i wyjściowych</w:t>
            </w:r>
          </w:p>
        </w:tc>
      </w:tr>
      <w:tr w:rsidR="189BF7CD" w:rsidTr="189BF7CD" w14:paraId="72EC88D7">
        <w:tc>
          <w:tcPr>
            <w:tcW w:w="1380" w:type="dxa"/>
            <w:tcMar/>
            <w:vAlign w:val="top"/>
          </w:tcPr>
          <w:p w:rsidR="189BF7CD" w:rsidP="189BF7CD" w:rsidRDefault="189BF7CD" w14:paraId="17DA7A85" w14:textId="0EB20BC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Operacje arytmetyczne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4D4A786D" w14:textId="2C73302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Moduł pozwalający wybrać jedną z dostępnych operacji arytmetycznych (dodawanie, odejmowanie, </w:t>
            </w: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mnożenie</w:t>
            </w: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, dzielenie, modulo) która zostanie wykonana na liczbach podanych w poprzednim module.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71E4A1AB" w14:textId="71DDB8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“Wprowadzanie danych”</w:t>
            </w: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42C44207" w14:textId="0C447D6E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 xml:space="preserve">Dane wejściowe: </w:t>
            </w: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wprowadzone liczby oraz typy danych</w:t>
            </w:r>
          </w:p>
          <w:p w:rsidR="189BF7CD" w:rsidP="189BF7CD" w:rsidRDefault="189BF7CD" w14:paraId="7A9DD8F9" w14:textId="5D03F7D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20414159" w14:textId="2363F93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  <w:p w:rsidR="189BF7CD" w:rsidP="189BF7CD" w:rsidRDefault="189BF7CD" w14:paraId="129130CA" w14:textId="5845F94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wynik operacji arytmetycznej </w:t>
            </w: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6C2F4871" w14:textId="0300953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Odbiera informacje z modułu “Wprowadzanie danych”, a po wykonaniu obliczeń przesyła wynik do modułu “Wyświetlacz” </w:t>
            </w:r>
          </w:p>
        </w:tc>
      </w:tr>
      <w:tr w:rsidR="189BF7CD" w:rsidTr="189BF7CD" w14:paraId="6E653309">
        <w:tc>
          <w:tcPr>
            <w:tcW w:w="1380" w:type="dxa"/>
            <w:tcMar/>
            <w:vAlign w:val="top"/>
          </w:tcPr>
          <w:p w:rsidR="189BF7CD" w:rsidP="189BF7CD" w:rsidRDefault="189BF7CD" w14:paraId="5C87C2A9" w14:textId="40F19A2F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Przesunięcia bitowe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6E3657E5" w14:textId="67F4161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umożliwia określenie typu przesunięcia bitowego (w lewo, w prawo) oraz wartości o jaką ma zostać wykonane przesunięcie.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7BB0CF9B" w14:textId="71DDB8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“Wprowadzanie danych”</w:t>
            </w:r>
          </w:p>
          <w:p w:rsidR="189BF7CD" w:rsidP="189BF7CD" w:rsidRDefault="189BF7CD" w14:paraId="2861E8DE" w14:textId="17C39BD9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385E522D" w14:textId="5B0189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wejściowe:</w:t>
            </w:r>
          </w:p>
          <w:p w:rsidR="189BF7CD" w:rsidP="189BF7CD" w:rsidRDefault="189BF7CD" w14:paraId="616123C8" w14:textId="268D0A9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wprowadzona liczba oraz typ danych</w:t>
            </w:r>
          </w:p>
          <w:p w:rsidR="189BF7CD" w:rsidP="189BF7CD" w:rsidRDefault="189BF7CD" w14:paraId="3D97909D" w14:textId="61F8A81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33474DC2" w14:textId="3689640B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  <w:p w:rsidR="189BF7CD" w:rsidP="189BF7CD" w:rsidRDefault="189BF7CD" w14:paraId="6856A0ED" w14:textId="11AA66C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wynik przesunięcia nitowego</w:t>
            </w: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57F0F645" w14:textId="6E3E2636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Odbiera informacje z modułu “Wprowadzanie danych”, a po wykonaniu przesunięcia przesyła wynik do modułu “Wyświetlacz”</w:t>
            </w:r>
          </w:p>
        </w:tc>
      </w:tr>
      <w:tr w:rsidR="189BF7CD" w:rsidTr="189BF7CD" w14:paraId="2BE633B8">
        <w:tc>
          <w:tcPr>
            <w:tcW w:w="1380" w:type="dxa"/>
            <w:tcMar/>
            <w:vAlign w:val="top"/>
          </w:tcPr>
          <w:p w:rsidR="189BF7CD" w:rsidP="189BF7CD" w:rsidRDefault="189BF7CD" w14:paraId="03EF820C" w14:textId="65FF6C71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Konwersje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6FE6F4FD" w14:textId="7CDAA46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dokonujący konwersji podanej liczby z typu danych wejściowych na typ danych wyjściowych.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5CA018BD" w14:textId="71DDB861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“Wprowadzanie danych”</w:t>
            </w:r>
          </w:p>
          <w:p w:rsidR="189BF7CD" w:rsidP="189BF7CD" w:rsidRDefault="189BF7CD" w14:paraId="4B04BDB0" w14:textId="37DA57C2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7B96E4D5" w14:textId="5B0189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wejściowe:</w:t>
            </w:r>
          </w:p>
          <w:p w:rsidR="189BF7CD" w:rsidP="189BF7CD" w:rsidRDefault="189BF7CD" w14:paraId="3C653847" w14:textId="3B5C52C4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wprowadzona liczba oraz typy danych</w:t>
            </w:r>
          </w:p>
          <w:p w:rsidR="189BF7CD" w:rsidP="189BF7CD" w:rsidRDefault="189BF7CD" w14:paraId="741904BC" w14:textId="146F05B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6DFB715C" w14:textId="1D51292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0CD9D285" w14:textId="5CAC9C3D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Odbiera informacje z modułu “Wprowadzanie danych”, a po wykonaniu konwersji przesyła wynik do modułu “Wyświetlacz”</w:t>
            </w:r>
          </w:p>
        </w:tc>
      </w:tr>
      <w:tr w:rsidR="189BF7CD" w:rsidTr="189BF7CD" w14:paraId="0022BF0E">
        <w:tc>
          <w:tcPr>
            <w:tcW w:w="1380" w:type="dxa"/>
            <w:tcMar/>
            <w:vAlign w:val="top"/>
          </w:tcPr>
          <w:p w:rsidR="189BF7CD" w:rsidP="189BF7CD" w:rsidRDefault="189BF7CD" w14:paraId="6DB7B5CE" w14:textId="084139A9">
            <w:pPr>
              <w:pStyle w:val="Normal"/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Wyświetlacz</w:t>
            </w:r>
          </w:p>
        </w:tc>
        <w:tc>
          <w:tcPr>
            <w:tcW w:w="2535" w:type="dxa"/>
            <w:tcMar/>
            <w:vAlign w:val="top"/>
          </w:tcPr>
          <w:p w:rsidR="189BF7CD" w:rsidP="189BF7CD" w:rsidRDefault="189BF7CD" w14:paraId="098A9FCE" w14:textId="1475C437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 prezentuje w odpowiedni sposób wyniki obliczeń dokonanych przez moduły.</w:t>
            </w:r>
          </w:p>
        </w:tc>
        <w:tc>
          <w:tcPr>
            <w:tcW w:w="1620" w:type="dxa"/>
            <w:tcMar/>
            <w:vAlign w:val="top"/>
          </w:tcPr>
          <w:p w:rsidR="189BF7CD" w:rsidP="189BF7CD" w:rsidRDefault="189BF7CD" w14:paraId="10855374" w14:textId="414A25E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Moduły:</w:t>
            </w:r>
          </w:p>
          <w:p w:rsidR="189BF7CD" w:rsidP="189BF7CD" w:rsidRDefault="189BF7CD" w14:paraId="5D17AA1E" w14:textId="29C27053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“Operacje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arytmetyczne”,”Przesunięcia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 xml:space="preserve"> bitowe”,”Konwersje”</w:t>
            </w:r>
          </w:p>
        </w:tc>
        <w:tc>
          <w:tcPr>
            <w:tcW w:w="1635" w:type="dxa"/>
            <w:tcMar/>
            <w:vAlign w:val="top"/>
          </w:tcPr>
          <w:p w:rsidR="189BF7CD" w:rsidP="189BF7CD" w:rsidRDefault="189BF7CD" w14:paraId="16C95721" w14:textId="5B0189C2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wejściowe:</w:t>
            </w:r>
          </w:p>
          <w:p w:rsidR="189BF7CD" w:rsidP="189BF7CD" w:rsidRDefault="189BF7CD" w14:paraId="7901CBEC" w14:textId="5E55729E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  <w:t>wprowadzone liczby oraz typy danych</w:t>
            </w:r>
          </w:p>
          <w:p w:rsidR="189BF7CD" w:rsidP="189BF7CD" w:rsidRDefault="189BF7CD" w14:paraId="307DF33A" w14:textId="4E4702FA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pl-PL"/>
              </w:rPr>
            </w:pPr>
          </w:p>
          <w:p w:rsidR="189BF7CD" w:rsidP="189BF7CD" w:rsidRDefault="189BF7CD" w14:paraId="188BAFB9" w14:textId="2DD91805">
            <w:pPr>
              <w:pStyle w:val="Normal"/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Dane wyjściowe:</w:t>
            </w:r>
          </w:p>
        </w:tc>
        <w:tc>
          <w:tcPr>
            <w:tcW w:w="1978" w:type="dxa"/>
            <w:tcMar/>
            <w:vAlign w:val="top"/>
          </w:tcPr>
          <w:p w:rsidR="189BF7CD" w:rsidP="189BF7CD" w:rsidRDefault="189BF7CD" w14:paraId="00C06BAF" w14:textId="557C98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Odbiera wyniki operacji z wybranego przez użytkownika moduły a następnie prezentuje je w odpowiedni sposób na wyświetlaczu. Następnie wraca do pierwszego </w:t>
            </w:r>
            <w:proofErr w:type="gram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modułu</w:t>
            </w:r>
            <w:proofErr w:type="gram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 xml:space="preserve"> aby użytkownik mógł określić kolejne działanie jakie chce podjąć.</w:t>
            </w:r>
          </w:p>
        </w:tc>
      </w:tr>
    </w:tbl>
    <w:p xmlns:wp14="http://schemas.microsoft.com/office/word/2010/wordml" w:rsidP="189BF7CD" w14:paraId="2385200A" wp14:textId="7FA40DD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189BF7CD" w14:paraId="4AC53571" wp14:textId="663B49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189BF7CD" w14:paraId="4793D154" wp14:textId="53426FEC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Diagram </w:t>
      </w: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1:  diagram</w:t>
      </w: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przypadku użycia (</w:t>
      </w:r>
      <w:proofErr w:type="spellStart"/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use</w:t>
      </w:r>
      <w:proofErr w:type="spellEnd"/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proofErr w:type="spellStart"/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case</w:t>
      </w:r>
      <w:proofErr w:type="spellEnd"/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)</w:t>
      </w:r>
    </w:p>
    <w:p xmlns:wp14="http://schemas.microsoft.com/office/word/2010/wordml" w:rsidP="189BF7CD" w14:paraId="487AEC02" wp14:textId="5690BB94">
      <w:pPr>
        <w:pStyle w:val="Normal"/>
        <w:spacing w:after="160" w:line="259" w:lineRule="auto"/>
        <w:ind w:left="0"/>
        <w:jc w:val="left"/>
      </w:pPr>
      <w:r>
        <w:drawing>
          <wp:inline xmlns:wp14="http://schemas.microsoft.com/office/word/2010/wordprocessingDrawing" wp14:editId="0EF0EACA" wp14:anchorId="06370E6C">
            <wp:extent cx="6400800" cy="3939540"/>
            <wp:effectExtent l="0" t="0" r="0" b="0"/>
            <wp:docPr id="388508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80609356c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9BF7CD" w14:paraId="4226DD2D" wp14:textId="6C0E7E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189BF7CD" w14:paraId="706293E0" wp14:textId="2E75B7A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1.4 Zakres typów danych przechowywanych i przetwarzanych przez Moduł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189BF7CD" w:rsidTr="189BF7CD" w14:paraId="74AB42FC">
        <w:tc>
          <w:tcPr>
            <w:tcW w:w="3005" w:type="dxa"/>
            <w:tcMar/>
            <w:vAlign w:val="top"/>
          </w:tcPr>
          <w:p w:rsidR="189BF7CD" w:rsidP="189BF7CD" w:rsidRDefault="189BF7CD" w14:paraId="183D51FA" w14:textId="0525A5F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l-PL"/>
              </w:rPr>
              <w:t>Rodzaj danych</w:t>
            </w:r>
          </w:p>
        </w:tc>
        <w:tc>
          <w:tcPr>
            <w:tcW w:w="3005" w:type="dxa"/>
            <w:tcMar/>
            <w:vAlign w:val="top"/>
          </w:tcPr>
          <w:p w:rsidR="189BF7CD" w:rsidP="189BF7CD" w:rsidRDefault="189BF7CD" w14:paraId="1C848C29" w14:textId="1A5FCB90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l-PL"/>
              </w:rPr>
              <w:t>Model danych</w:t>
            </w:r>
          </w:p>
        </w:tc>
        <w:tc>
          <w:tcPr>
            <w:tcW w:w="3005" w:type="dxa"/>
            <w:tcMar/>
            <w:vAlign w:val="top"/>
          </w:tcPr>
          <w:p w:rsidR="189BF7CD" w:rsidP="189BF7CD" w:rsidRDefault="189BF7CD" w14:paraId="2EE8655E" w14:textId="1FB8FEF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8"/>
                <w:szCs w:val="28"/>
                <w:lang w:val="pl-PL"/>
              </w:rPr>
              <w:t>Implementacja</w:t>
            </w:r>
          </w:p>
        </w:tc>
      </w:tr>
      <w:tr w:rsidR="189BF7CD" w:rsidTr="189BF7CD" w14:paraId="69DF8BF1">
        <w:tc>
          <w:tcPr>
            <w:tcW w:w="3005" w:type="dxa"/>
            <w:tcMar/>
            <w:vAlign w:val="top"/>
          </w:tcPr>
          <w:p w:rsidR="189BF7CD" w:rsidP="189BF7CD" w:rsidRDefault="189BF7CD" w14:paraId="2B17E672" w14:textId="3777851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Liczby w odpowiednim systemie</w:t>
            </w:r>
          </w:p>
        </w:tc>
        <w:tc>
          <w:tcPr>
            <w:tcW w:w="3005" w:type="dxa"/>
            <w:tcMar/>
            <w:vAlign w:val="top"/>
          </w:tcPr>
          <w:p w:rsidR="189BF7CD" w:rsidP="189BF7CD" w:rsidRDefault="189BF7CD" w14:paraId="7FB407F0" w14:textId="338CD424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Zmienne całkowite</w:t>
            </w:r>
          </w:p>
        </w:tc>
        <w:tc>
          <w:tcPr>
            <w:tcW w:w="3005" w:type="dxa"/>
            <w:tcMar/>
            <w:vAlign w:val="top"/>
          </w:tcPr>
          <w:p w:rsidR="189BF7CD" w:rsidP="189BF7CD" w:rsidRDefault="189BF7CD" w14:paraId="1BCD4D30" w14:textId="0CC13F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 xml:space="preserve">Liczby przekonwertowane do systemy dziesiętnego zapisane w zmiennych typu </w:t>
            </w:r>
            <w:proofErr w:type="spellStart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>int</w:t>
            </w:r>
            <w:proofErr w:type="spellEnd"/>
            <w:r w:rsidRPr="189BF7CD" w:rsidR="189BF7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pl-PL"/>
              </w:rPr>
              <w:t xml:space="preserve"> lub double</w:t>
            </w:r>
          </w:p>
        </w:tc>
      </w:tr>
    </w:tbl>
    <w:p xmlns:wp14="http://schemas.microsoft.com/office/word/2010/wordml" w:rsidP="189BF7CD" w14:paraId="4E6F56F8" wp14:textId="1CF412B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</w:p>
    <w:p xmlns:wp14="http://schemas.microsoft.com/office/word/2010/wordml" w:rsidP="189BF7CD" w14:paraId="5E4B630A" wp14:textId="614095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189BF7CD" w14:paraId="16D0AF9D" wp14:textId="63790E3D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l-PL"/>
        </w:rPr>
        <w:t>1.5 Specyfikacja bibliotek</w:t>
      </w:r>
    </w:p>
    <w:p xmlns:wp14="http://schemas.microsoft.com/office/word/2010/wordml" w:rsidP="189BF7CD" w14:paraId="4E997A17" wp14:textId="67DA62C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189BF7CD" w:rsidR="189BF7C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  <w:t>Tabela - Przykład zestawienia bibliotek zewnętrznych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58"/>
        <w:gridCol w:w="2330"/>
        <w:gridCol w:w="1637"/>
        <w:gridCol w:w="1609"/>
        <w:gridCol w:w="1581"/>
      </w:tblGrid>
      <w:tr w:rsidR="189BF7CD" w:rsidTr="189BF7CD" w14:paraId="1CDD5AA7">
        <w:tc>
          <w:tcPr>
            <w:tcW w:w="1858" w:type="dxa"/>
            <w:tcMar/>
            <w:vAlign w:val="top"/>
          </w:tcPr>
          <w:p w:rsidR="189BF7CD" w:rsidP="189BF7CD" w:rsidRDefault="189BF7CD" w14:paraId="191219B9" w14:textId="2CFA0D7B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Biblioteka/wersja</w:t>
            </w:r>
          </w:p>
        </w:tc>
        <w:tc>
          <w:tcPr>
            <w:tcW w:w="2330" w:type="dxa"/>
            <w:tcMar/>
            <w:vAlign w:val="top"/>
          </w:tcPr>
          <w:p w:rsidR="189BF7CD" w:rsidP="189BF7CD" w:rsidRDefault="189BF7CD" w14:paraId="29C4CE3E" w14:textId="60741397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Zakres zastosowania</w:t>
            </w:r>
          </w:p>
        </w:tc>
        <w:tc>
          <w:tcPr>
            <w:tcW w:w="1637" w:type="dxa"/>
            <w:tcMar/>
            <w:vAlign w:val="top"/>
          </w:tcPr>
          <w:p w:rsidR="189BF7CD" w:rsidP="189BF7CD" w:rsidRDefault="189BF7CD" w14:paraId="6CAFDDE0" w14:textId="298670FC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Nazwa/Opis</w:t>
            </w:r>
          </w:p>
        </w:tc>
        <w:tc>
          <w:tcPr>
            <w:tcW w:w="1609" w:type="dxa"/>
            <w:tcMar/>
            <w:vAlign w:val="top"/>
          </w:tcPr>
          <w:p w:rsidR="189BF7CD" w:rsidP="189BF7CD" w:rsidRDefault="189BF7CD" w14:paraId="0CBD9C49" w14:textId="7936F963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Licencja</w:t>
            </w:r>
          </w:p>
        </w:tc>
        <w:tc>
          <w:tcPr>
            <w:tcW w:w="1581" w:type="dxa"/>
            <w:tcMar/>
            <w:vAlign w:val="top"/>
          </w:tcPr>
          <w:p w:rsidR="189BF7CD" w:rsidP="189BF7CD" w:rsidRDefault="189BF7CD" w14:paraId="03D0A6A3" w14:textId="7EEA3C9F">
            <w:pPr>
              <w:spacing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89BF7CD" w:rsidR="189BF7C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4"/>
                <w:szCs w:val="24"/>
                <w:lang w:val="pl-PL"/>
              </w:rPr>
              <w:t>URL</w:t>
            </w:r>
          </w:p>
        </w:tc>
      </w:tr>
    </w:tbl>
    <w:p xmlns:wp14="http://schemas.microsoft.com/office/word/2010/wordml" w:rsidP="189BF7CD" w14:paraId="7EA99F5A" wp14:textId="6CD942D1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l-PL"/>
        </w:rPr>
      </w:pPr>
    </w:p>
    <w:p xmlns:wp14="http://schemas.microsoft.com/office/word/2010/wordml" w:rsidP="189BF7CD" w14:paraId="57375426" wp14:textId="49B2998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ViGQPrqFVs5tm" int2:id="2hALuPfb">
      <int2:state int2:type="LegacyProofing" int2:value="Rejected"/>
    </int2:textHash>
    <int2:textHash int2:hashCode="Lzk1K/PEdWW+XE" int2:id="ljCksntq">
      <int2:state int2:type="LegacyProofing" int2:value="Rejected"/>
    </int2:textHash>
    <int2:textHash int2:hashCode="tfy9KzwMjneNrI" int2:id="MRh8NpU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2CAE0"/>
    <w:rsid w:val="189BF7CD"/>
    <w:rsid w:val="6C22C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2CAE0"/>
  <w15:chartTrackingRefBased/>
  <w15:docId w15:val="{AB53833D-D7E6-443D-8439-D84D5073C2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89BF7C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89BF7C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89BF7C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89BF7C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89BF7C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89BF7C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89BF7C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l-PL"/>
    </w:rPr>
  </w:style>
  <w:style w:type="character" w:styleId="Heading2Char" w:customStyle="true">
    <w:uiPriority w:val="9"/>
    <w:name w:val="Heading 2 Char"/>
    <w:basedOn w:val="DefaultParagraphFont"/>
    <w:link w:val="Heading2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l-PL"/>
    </w:rPr>
  </w:style>
  <w:style w:type="character" w:styleId="Heading3Char" w:customStyle="true">
    <w:uiPriority w:val="9"/>
    <w:name w:val="Heading 3 Char"/>
    <w:basedOn w:val="DefaultParagraphFont"/>
    <w:link w:val="Heading3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l-PL"/>
    </w:rPr>
  </w:style>
  <w:style w:type="character" w:styleId="Heading4Char" w:customStyle="true">
    <w:uiPriority w:val="9"/>
    <w:name w:val="Heading 4 Char"/>
    <w:basedOn w:val="DefaultParagraphFont"/>
    <w:link w:val="Heading4"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l-PL"/>
    </w:rPr>
  </w:style>
  <w:style w:type="character" w:styleId="Heading5Char" w:customStyle="true">
    <w:uiPriority w:val="9"/>
    <w:name w:val="Heading 5 Char"/>
    <w:basedOn w:val="DefaultParagraphFont"/>
    <w:link w:val="Heading5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l-PL"/>
    </w:rPr>
  </w:style>
  <w:style w:type="character" w:styleId="Heading6Char" w:customStyle="true">
    <w:uiPriority w:val="9"/>
    <w:name w:val="Heading 6 Char"/>
    <w:basedOn w:val="DefaultParagraphFont"/>
    <w:link w:val="Heading6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l-PL"/>
    </w:rPr>
  </w:style>
  <w:style w:type="character" w:styleId="Heading7Char" w:customStyle="true">
    <w:uiPriority w:val="9"/>
    <w:name w:val="Heading 7 Char"/>
    <w:basedOn w:val="DefaultParagraphFont"/>
    <w:link w:val="Heading7"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l-PL"/>
    </w:rPr>
  </w:style>
  <w:style w:type="character" w:styleId="Heading8Char" w:customStyle="true">
    <w:uiPriority w:val="9"/>
    <w:name w:val="Heading 8 Char"/>
    <w:basedOn w:val="DefaultParagraphFont"/>
    <w:link w:val="Heading8"/>
    <w:rsid w:val="189BF7C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l-PL"/>
    </w:rPr>
  </w:style>
  <w:style w:type="character" w:styleId="Heading9Char" w:customStyle="true">
    <w:uiPriority w:val="9"/>
    <w:name w:val="Heading 9 Char"/>
    <w:basedOn w:val="DefaultParagraphFont"/>
    <w:link w:val="Heading9"/>
    <w:rsid w:val="189BF7C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l-PL"/>
    </w:rPr>
  </w:style>
  <w:style w:type="character" w:styleId="TitleChar" w:customStyle="true">
    <w:uiPriority w:val="10"/>
    <w:name w:val="Title Char"/>
    <w:basedOn w:val="DefaultParagraphFont"/>
    <w:link w:val="Title"/>
    <w:rsid w:val="189BF7C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l-PL"/>
    </w:rPr>
  </w:style>
  <w:style w:type="character" w:styleId="SubtitleChar" w:customStyle="true">
    <w:uiPriority w:val="11"/>
    <w:name w:val="Subtitle Char"/>
    <w:basedOn w:val="DefaultParagraphFont"/>
    <w:link w:val="Subtitle"/>
    <w:rsid w:val="189BF7C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l-PL"/>
    </w:rPr>
  </w:style>
  <w:style w:type="character" w:styleId="QuoteChar" w:customStyle="true">
    <w:uiPriority w:val="29"/>
    <w:name w:val="Quote Char"/>
    <w:basedOn w:val="DefaultParagraphFont"/>
    <w:link w:val="Quote"/>
    <w:rsid w:val="189BF7CD"/>
    <w:rPr>
      <w:i w:val="1"/>
      <w:iCs w:val="1"/>
      <w:noProof w:val="0"/>
      <w:color w:val="404040" w:themeColor="text1" w:themeTint="BF" w:themeShade="FF"/>
      <w:lang w:val="pl-P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89BF7CD"/>
    <w:rPr>
      <w:i w:val="1"/>
      <w:iCs w:val="1"/>
      <w:noProof w:val="0"/>
      <w:color w:val="4472C4" w:themeColor="accent1" w:themeTint="FF" w:themeShade="FF"/>
      <w:lang w:val="pl-PL"/>
    </w:rPr>
  </w:style>
  <w:style w:type="paragraph" w:styleId="TOC1">
    <w:uiPriority w:val="39"/>
    <w:name w:val="toc 1"/>
    <w:basedOn w:val="Normal"/>
    <w:next w:val="Normal"/>
    <w:unhideWhenUsed/>
    <w:rsid w:val="189BF7C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89BF7C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89BF7C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89BF7C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89BF7C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89BF7C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89BF7C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89BF7C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89BF7C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89BF7C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89BF7CD"/>
    <w:rPr>
      <w:noProof w:val="0"/>
      <w:sz w:val="20"/>
      <w:szCs w:val="20"/>
      <w:lang w:val="pl-PL"/>
    </w:rPr>
  </w:style>
  <w:style w:type="paragraph" w:styleId="Footer">
    <w:uiPriority w:val="99"/>
    <w:name w:val="footer"/>
    <w:basedOn w:val="Normal"/>
    <w:unhideWhenUsed/>
    <w:link w:val="FooterChar"/>
    <w:rsid w:val="189BF7C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89BF7CD"/>
    <w:rPr>
      <w:noProof w:val="0"/>
      <w:lang w:val="pl-P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89BF7C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89BF7CD"/>
    <w:rPr>
      <w:noProof w:val="0"/>
      <w:sz w:val="20"/>
      <w:szCs w:val="20"/>
      <w:lang w:val="pl-PL"/>
    </w:rPr>
  </w:style>
  <w:style w:type="paragraph" w:styleId="Header">
    <w:uiPriority w:val="99"/>
    <w:name w:val="header"/>
    <w:basedOn w:val="Normal"/>
    <w:unhideWhenUsed/>
    <w:link w:val="HeaderChar"/>
    <w:rsid w:val="189BF7C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89BF7CD"/>
    <w:rPr>
      <w:noProof w:val="0"/>
      <w:lang w:val="pl-P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2580609356c4c38" /><Relationship Type="http://schemas.microsoft.com/office/2020/10/relationships/intelligence" Target="intelligence2.xml" Id="R7bf67ad4bd4444aa" /><Relationship Type="http://schemas.openxmlformats.org/officeDocument/2006/relationships/numbering" Target="numbering.xml" Id="Rddd52aa853ca40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2022-05-02T10:29:36.7756865Z</dcterms:created>
  <dcterms:modified xsi:type="dcterms:W3CDTF">2022-05-02T11:52:51.2372638Z</dcterms:modified>
  <dc:creator>Karol Gardian</dc:creator>
  <lastModifiedBy>Karol Gardian</lastModifiedBy>
</coreProperties>
</file>