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NUMBER</w:t>
      </w:r>
      <w:r w:rsidR="00C54D33">
        <w:rPr>
          <w:color w:val="666600"/>
        </w:rPr>
        <w:t>(</w:t>
      </w:r>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VARCHAR</w:t>
      </w:r>
      <w:r>
        <w:rPr>
          <w:color w:val="666600"/>
        </w:rPr>
        <w:t>(</w:t>
      </w:r>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NUMBER</w:t>
      </w:r>
      <w:r>
        <w:rPr>
          <w:color w:val="666600"/>
        </w:rPr>
        <w:t>(</w:t>
      </w:r>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NUMBER</w:t>
      </w:r>
      <w:r>
        <w:rPr>
          <w:color w:val="666600"/>
        </w:rPr>
        <w:t>(</w:t>
      </w:r>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VARCHAR</w:t>
      </w:r>
      <w:r>
        <w:rPr>
          <w:color w:val="666600"/>
        </w:rPr>
        <w:t>(</w:t>
      </w:r>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VARCHAR</w:t>
      </w:r>
      <w:r>
        <w:rPr>
          <w:color w:val="666600"/>
        </w:rPr>
        <w:t>(</w:t>
      </w:r>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NUMBER</w:t>
      </w:r>
      <w:r>
        <w:rPr>
          <w:color w:val="666600"/>
        </w:rPr>
        <w:t>(</w:t>
      </w:r>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r w:rsidR="00D03209">
        <w:rPr>
          <w:color w:val="000000"/>
        </w:rPr>
        <w:t>ntile</w:t>
      </w:r>
      <w:proofErr w:type="spellEnd"/>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r w:rsidR="00D03209">
        <w:rPr>
          <w:color w:val="000000"/>
        </w:rPr>
        <w:t>ntile</w:t>
      </w:r>
      <w:proofErr w:type="spellEnd"/>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r w:rsidRPr="00BE725F">
        <w:rPr>
          <w:rFonts w:asciiTheme="majorHAnsi" w:hAnsiTheme="majorHAnsi" w:cstheme="majorHAnsi"/>
        </w:rPr>
        <w:t>ntile</w:t>
      </w:r>
      <w:proofErr w:type="spellEnd"/>
      <w:r w:rsidRPr="00BE725F">
        <w:rPr>
          <w:rFonts w:asciiTheme="majorHAnsi" w:hAnsiTheme="majorHAnsi" w:cstheme="majorHAnsi"/>
        </w:rPr>
        <w:t>(4) followed by selecting the charges rows with the over() function and the ordering it by charges from the insurance table. Lastly its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sum()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STATS_ONE_WAY_ANOVA</w:t>
      </w:r>
      <w:r w:rsidR="00CC4A76">
        <w:rPr>
          <w:color w:val="666600"/>
        </w:rPr>
        <w:t>(</w:t>
      </w:r>
      <w:proofErr w:type="spellStart"/>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STATS_ONE_WAY_ANOVA</w:t>
      </w:r>
      <w:r w:rsidR="00855780">
        <w:rPr>
          <w:color w:val="666600"/>
        </w:rPr>
        <w:t>(</w:t>
      </w:r>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STATS_ONE_WAY_ANOVA</w:t>
      </w:r>
      <w:r>
        <w:rPr>
          <w:rFonts w:ascii="Courier New" w:hAnsi="Courier New" w:cs="Courier New"/>
          <w:color w:val="666600"/>
          <w:sz w:val="20"/>
          <w:szCs w:val="20"/>
        </w:rPr>
        <w:t>(</w:t>
      </w:r>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STATS_F_TEST</w:t>
      </w:r>
      <w:r w:rsidR="004147D7">
        <w:rPr>
          <w:color w:val="666600"/>
        </w:rPr>
        <w:t>(</w:t>
      </w:r>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two tailed test,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r w:rsidR="00931ABD">
        <w:rPr>
          <w:rFonts w:asciiTheme="majorHAnsi" w:hAnsiTheme="majorHAnsi" w:cstheme="majorHAnsi"/>
        </w:rPr>
        <w:t>asses</w:t>
      </w:r>
      <w:proofErr w:type="spell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If need be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62E3BB50" w:rsidR="00574328" w:rsidRDefault="00DA0516" w:rsidP="009701DF">
      <w:pPr>
        <w:rPr>
          <w:color w:val="000000"/>
        </w:rPr>
      </w:pPr>
      <w:r>
        <w:rPr>
          <w:rFonts w:ascii="Courier New" w:hAnsi="Courier New" w:cs="Courier New"/>
          <w:color w:val="000000"/>
          <w:sz w:val="20"/>
          <w:szCs w:val="20"/>
        </w:rPr>
        <w:t> </w:t>
      </w:r>
      <w:r w:rsidR="007A11CC">
        <w:rPr>
          <w:color w:val="000000"/>
        </w:rPr>
        <w:t> </w:t>
      </w:r>
      <w:r w:rsidR="00574328">
        <w:rPr>
          <w:color w:val="000000"/>
        </w:rPr>
        <w:t>Alternately for data cleaning rows with an Unknown status can be deleted with</w:t>
      </w: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484062E7" w:rsidR="004334C1" w:rsidRPr="009701DF" w:rsidRDefault="00DA0516" w:rsidP="004334C1">
      <w:pPr>
        <w:rPr>
          <w:lang w:val="en-GB" w:eastAsia="en-GB"/>
        </w:rPr>
      </w:pPr>
      <w:r>
        <w:rPr>
          <w:rFonts w:ascii="Courier New" w:hAnsi="Courier New" w:cs="Courier New"/>
          <w:color w:val="000000"/>
          <w:sz w:val="20"/>
          <w:szCs w:val="20"/>
        </w:rPr>
        <w:t> </w:t>
      </w:r>
      <w:r w:rsidR="004B449B">
        <w:rPr>
          <w:color w:val="000000"/>
        </w:rPr>
        <w:t> </w:t>
      </w:r>
      <w:r w:rsidR="004334C1">
        <w:rPr>
          <w:color w:val="000000"/>
        </w:rPr>
        <w:t> 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gather_table_stats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6FC58ADA"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prepare data [5]</w:t>
      </w:r>
    </w:p>
    <w:p w14:paraId="32B214DA" w14:textId="26722B5E"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79933F46"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9C294D">
        <w:rPr>
          <w:rFonts w:ascii="Courier New" w:hAnsi="Courier New" w:cs="Courier New"/>
          <w:color w:val="008800"/>
          <w:sz w:val="20"/>
          <w:szCs w:val="20"/>
        </w:rPr>
        <w:t>30</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bank_test_data</w:t>
      </w:r>
      <w:proofErr w:type="spellEnd"/>
      <w:r>
        <w:rPr>
          <w:rFonts w:ascii="Courier New" w:hAnsi="Courier New" w:cs="Courier New"/>
          <w:color w:val="008800"/>
          <w:sz w:val="20"/>
          <w:szCs w:val="20"/>
        </w:rPr>
        <w:t xml:space="preserve">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3EDD61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BF94B10" w14:textId="34DEBD95" w:rsidR="000B778C" w:rsidRDefault="003E62C1">
      <w:pPr>
        <w:pStyle w:val="Body"/>
        <w:rPr>
          <w:rFonts w:ascii="Courier New" w:hAnsi="Courier New" w:cs="Courier New"/>
          <w:sz w:val="20"/>
          <w:szCs w:val="20"/>
        </w:rPr>
      </w:pPr>
      <w:r>
        <w:rPr>
          <w:rFonts w:ascii="Courier New" w:hAnsi="Courier New" w:cs="Courier New"/>
          <w:sz w:val="20"/>
          <w:szCs w:val="20"/>
        </w:rPr>
        <w:t> </w:t>
      </w:r>
    </w:p>
    <w:p w14:paraId="601BCB0D" w14:textId="6BF26E98" w:rsidR="00604D46" w:rsidRDefault="00604D46">
      <w:pPr>
        <w:pStyle w:val="Body"/>
        <w:rPr>
          <w:rFonts w:asciiTheme="majorHAnsi" w:hAnsiTheme="majorHAnsi" w:cstheme="majorHAnsi"/>
        </w:rPr>
      </w:pPr>
      <w:r>
        <w:rPr>
          <w:rFonts w:asciiTheme="majorHAnsi" w:hAnsiTheme="majorHAnsi" w:cstheme="majorHAnsi"/>
        </w:rPr>
        <w:t>The above command creates two views that split the dataset into train and test. However there is a better way of doing this.</w:t>
      </w:r>
    </w:p>
    <w:p w14:paraId="33FFFE9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create table bank_model_settings</w:t>
      </w:r>
      <w:r>
        <w:rPr>
          <w:rFonts w:ascii="Courier New" w:hAnsi="Courier New" w:cs="Courier New"/>
          <w:color w:val="666600"/>
          <w:sz w:val="20"/>
          <w:szCs w:val="20"/>
        </w:rPr>
        <w:t>(</w:t>
      </w:r>
    </w:p>
    <w:p w14:paraId="7ED5D6B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6C9A3238"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72857A2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804896"/>
        <w:rPr>
          <w:rFonts w:ascii="Courier New" w:hAnsi="Courier New" w:cs="Courier New"/>
          <w:sz w:val="20"/>
          <w:szCs w:val="20"/>
        </w:rPr>
      </w:pPr>
      <w:r>
        <w:rPr>
          <w:rFonts w:ascii="Courier New" w:hAnsi="Courier New" w:cs="Courier New"/>
          <w:color w:val="666600"/>
          <w:sz w:val="20"/>
          <w:szCs w:val="20"/>
        </w:rPr>
        <w:t>);</w:t>
      </w:r>
    </w:p>
    <w:p w14:paraId="102B0F04" w14:textId="28E7ABBF" w:rsidR="00807A23" w:rsidRDefault="00807A23" w:rsidP="00807A23">
      <w:pPr>
        <w:pStyle w:val="Body"/>
        <w:rPr>
          <w:rFonts w:ascii="Courier New" w:hAnsi="Courier New" w:cs="Courier New"/>
          <w:sz w:val="20"/>
          <w:szCs w:val="20"/>
        </w:rPr>
      </w:pPr>
      <w:r>
        <w:rPr>
          <w:rFonts w:ascii="Courier New" w:hAnsi="Courier New" w:cs="Courier New"/>
          <w:sz w:val="20"/>
          <w:szCs w:val="20"/>
        </w:rPr>
        <w:t> </w:t>
      </w:r>
    </w:p>
    <w:p w14:paraId="5AB47E00" w14:textId="2496E722" w:rsidR="004F440B" w:rsidRPr="00807A23" w:rsidRDefault="004F440B" w:rsidP="00807A23">
      <w:pPr>
        <w:pStyle w:val="Body"/>
        <w:rPr>
          <w:rFonts w:asciiTheme="majorHAnsi" w:hAnsiTheme="majorHAnsi" w:cstheme="majorHAnsi"/>
        </w:rPr>
      </w:pPr>
      <w:r>
        <w:rPr>
          <w:rFonts w:asciiTheme="majorHAnsi" w:hAnsiTheme="majorHAnsi" w:cstheme="majorHAnsi"/>
        </w:rPr>
        <w:t>First create a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7E2729AB" w14:textId="4BAC2327" w:rsidR="00BE38A4" w:rsidRPr="00BE38A4"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 and creating any needed metrics without having to fiddle with more SQL</w:t>
      </w:r>
      <w:r w:rsidR="00CC7104">
        <w:rPr>
          <w:rFonts w:asciiTheme="majorHAnsi" w:hAnsiTheme="majorHAnsi" w:cstheme="majorHAnsi"/>
        </w:rPr>
        <w:t>.[6]</w:t>
      </w:r>
    </w:p>
    <w:p w14:paraId="440969F9" w14:textId="723ACC8E" w:rsidR="00CB7CDF" w:rsidRDefault="000B778C">
      <w:pPr>
        <w:pStyle w:val="Body"/>
        <w:rPr>
          <w:rFonts w:asciiTheme="majorHAnsi" w:hAnsiTheme="majorHAnsi" w:cstheme="majorHAnsi"/>
          <w:sz w:val="24"/>
          <w:szCs w:val="24"/>
        </w:rPr>
      </w:pPr>
      <w:r>
        <w:rPr>
          <w:rFonts w:ascii="Courier New" w:hAnsi="Courier New" w:cs="Courier New"/>
          <w:sz w:val="20"/>
          <w:szCs w:val="20"/>
        </w:rPr>
        <w:t> </w:t>
      </w:r>
    </w:p>
    <w:p w14:paraId="2FB99064" w14:textId="7CE50C17" w:rsidR="000A2AB4" w:rsidRDefault="000A2AB4">
      <w:pPr>
        <w:pStyle w:val="Body"/>
        <w:rPr>
          <w:rFonts w:asciiTheme="majorHAnsi" w:hAnsiTheme="majorHAnsi" w:cstheme="majorHAnsi"/>
          <w:sz w:val="24"/>
          <w:szCs w:val="24"/>
        </w:rPr>
      </w:pPr>
    </w:p>
    <w:p w14:paraId="7A0DBE4C" w14:textId="587FFAE4" w:rsidR="000A2AB4" w:rsidRDefault="000A2AB4">
      <w:pPr>
        <w:pStyle w:val="Body"/>
        <w:rPr>
          <w:rFonts w:asciiTheme="majorHAnsi" w:hAnsiTheme="majorHAnsi" w:cstheme="majorHAnsi"/>
          <w:sz w:val="24"/>
          <w:szCs w:val="24"/>
        </w:rPr>
      </w:pPr>
    </w:p>
    <w:p w14:paraId="40C8DD90" w14:textId="74E8A3E4" w:rsidR="00E71211" w:rsidRDefault="00E71211">
      <w:pPr>
        <w:pStyle w:val="Body"/>
        <w:rPr>
          <w:rFonts w:asciiTheme="majorHAnsi" w:hAnsiTheme="majorHAnsi" w:cstheme="majorHAnsi"/>
          <w:sz w:val="24"/>
          <w:szCs w:val="24"/>
        </w:rPr>
      </w:pPr>
    </w:p>
    <w:p w14:paraId="1BE46614" w14:textId="242CD7AC" w:rsidR="00E71211" w:rsidRDefault="00E71211">
      <w:pPr>
        <w:pStyle w:val="Body"/>
        <w:rPr>
          <w:rFonts w:asciiTheme="majorHAnsi" w:hAnsiTheme="majorHAnsi" w:cstheme="majorHAnsi"/>
          <w:sz w:val="24"/>
          <w:szCs w:val="24"/>
        </w:rPr>
      </w:pPr>
    </w:p>
    <w:p w14:paraId="675AA31F" w14:textId="1B30BA99" w:rsidR="00E71211" w:rsidRDefault="00E71211">
      <w:pPr>
        <w:pStyle w:val="Body"/>
        <w:rPr>
          <w:rFonts w:asciiTheme="majorHAnsi" w:hAnsiTheme="majorHAnsi" w:cstheme="majorHAnsi"/>
          <w:sz w:val="24"/>
          <w:szCs w:val="24"/>
        </w:rPr>
      </w:pPr>
    </w:p>
    <w:p w14:paraId="37734D5C" w14:textId="5D6B8ABA" w:rsidR="00E71211" w:rsidRDefault="00E71211">
      <w:pPr>
        <w:pStyle w:val="Body"/>
        <w:rPr>
          <w:rFonts w:asciiTheme="majorHAnsi" w:hAnsiTheme="majorHAnsi" w:cstheme="majorHAnsi"/>
          <w:sz w:val="24"/>
          <w:szCs w:val="24"/>
        </w:rPr>
      </w:pPr>
    </w:p>
    <w:p w14:paraId="01B5E647" w14:textId="3A4FEA11" w:rsidR="00E71211" w:rsidRDefault="00E71211">
      <w:pPr>
        <w:pStyle w:val="Body"/>
        <w:rPr>
          <w:rFonts w:asciiTheme="majorHAnsi" w:hAnsiTheme="majorHAnsi" w:cstheme="majorHAnsi"/>
          <w:sz w:val="24"/>
          <w:szCs w:val="24"/>
        </w:rPr>
      </w:pPr>
    </w:p>
    <w:p w14:paraId="26D35177" w14:textId="13E9110F" w:rsidR="00E71211" w:rsidRDefault="00E71211">
      <w:pPr>
        <w:pStyle w:val="Body"/>
        <w:rPr>
          <w:rFonts w:asciiTheme="majorHAnsi" w:hAnsiTheme="majorHAnsi" w:cstheme="majorHAnsi"/>
          <w:sz w:val="24"/>
          <w:szCs w:val="24"/>
        </w:rPr>
      </w:pPr>
    </w:p>
    <w:p w14:paraId="6F402338" w14:textId="0A941315" w:rsidR="00E71211" w:rsidRDefault="00E71211">
      <w:pPr>
        <w:pStyle w:val="Body"/>
        <w:rPr>
          <w:rFonts w:asciiTheme="majorHAnsi" w:hAnsiTheme="majorHAnsi" w:cstheme="majorHAnsi"/>
          <w:sz w:val="24"/>
          <w:szCs w:val="24"/>
        </w:rPr>
      </w:pPr>
    </w:p>
    <w:p w14:paraId="6DACCA4B" w14:textId="18D98BE5" w:rsidR="00E71211" w:rsidRDefault="00E71211">
      <w:pPr>
        <w:pStyle w:val="Body"/>
        <w:rPr>
          <w:rFonts w:asciiTheme="majorHAnsi" w:hAnsiTheme="majorHAnsi" w:cstheme="majorHAnsi"/>
          <w:sz w:val="24"/>
          <w:szCs w:val="24"/>
        </w:rPr>
      </w:pPr>
    </w:p>
    <w:p w14:paraId="6CD8925A" w14:textId="4B736F72" w:rsidR="00E71211" w:rsidRDefault="00E71211">
      <w:pPr>
        <w:pStyle w:val="Body"/>
        <w:rPr>
          <w:rFonts w:asciiTheme="majorHAnsi" w:hAnsiTheme="majorHAnsi" w:cstheme="majorHAnsi"/>
          <w:sz w:val="24"/>
          <w:szCs w:val="24"/>
        </w:rPr>
      </w:pPr>
    </w:p>
    <w:p w14:paraId="26873FDB" w14:textId="2DA98D6D" w:rsidR="00E71211" w:rsidRDefault="00E71211">
      <w:pPr>
        <w:pStyle w:val="Body"/>
        <w:rPr>
          <w:rFonts w:asciiTheme="majorHAnsi" w:hAnsiTheme="majorHAnsi" w:cstheme="majorHAnsi"/>
          <w:sz w:val="24"/>
          <w:szCs w:val="24"/>
        </w:rPr>
      </w:pPr>
    </w:p>
    <w:p w14:paraId="5CA35268" w14:textId="009D4863" w:rsidR="00E71211" w:rsidRDefault="00E71211">
      <w:pPr>
        <w:pStyle w:val="Body"/>
        <w:rPr>
          <w:rFonts w:asciiTheme="majorHAnsi" w:hAnsiTheme="majorHAnsi" w:cstheme="majorHAnsi"/>
          <w:sz w:val="24"/>
          <w:szCs w:val="24"/>
        </w:rPr>
      </w:pPr>
    </w:p>
    <w:p w14:paraId="2CEEA0F5" w14:textId="59A1AA2D" w:rsidR="00E71211" w:rsidRDefault="00E71211">
      <w:pPr>
        <w:pStyle w:val="Body"/>
        <w:rPr>
          <w:rFonts w:asciiTheme="majorHAnsi" w:hAnsiTheme="majorHAnsi" w:cstheme="majorHAnsi"/>
          <w:sz w:val="24"/>
          <w:szCs w:val="24"/>
        </w:rPr>
      </w:pPr>
    </w:p>
    <w:p w14:paraId="2A0A5727" w14:textId="69BE4A62" w:rsidR="00E71211" w:rsidRDefault="00E71211">
      <w:pPr>
        <w:pStyle w:val="Body"/>
        <w:rPr>
          <w:rFonts w:asciiTheme="majorHAnsi" w:hAnsiTheme="majorHAnsi" w:cstheme="majorHAnsi"/>
          <w:sz w:val="24"/>
          <w:szCs w:val="24"/>
        </w:rPr>
      </w:pPr>
    </w:p>
    <w:p w14:paraId="44387BED" w14:textId="45F70345" w:rsidR="00E71211" w:rsidRDefault="00E71211">
      <w:pPr>
        <w:pStyle w:val="Body"/>
        <w:rPr>
          <w:rFonts w:asciiTheme="majorHAnsi" w:hAnsiTheme="majorHAnsi" w:cstheme="majorHAnsi"/>
          <w:sz w:val="24"/>
          <w:szCs w:val="24"/>
        </w:rPr>
      </w:pPr>
    </w:p>
    <w:p w14:paraId="3045558B" w14:textId="6EEF896A" w:rsidR="00E71211" w:rsidRDefault="00E71211">
      <w:pPr>
        <w:pStyle w:val="Body"/>
        <w:rPr>
          <w:rFonts w:asciiTheme="majorHAnsi" w:hAnsiTheme="majorHAnsi" w:cstheme="majorHAnsi"/>
          <w:sz w:val="24"/>
          <w:szCs w:val="24"/>
        </w:rPr>
      </w:pPr>
    </w:p>
    <w:p w14:paraId="76779221" w14:textId="77777777" w:rsidR="00E71211" w:rsidRDefault="00E71211">
      <w:pPr>
        <w:pStyle w:val="Body"/>
        <w:rPr>
          <w:rFonts w:asciiTheme="majorHAnsi" w:hAnsiTheme="majorHAnsi" w:cstheme="majorHAnsi"/>
          <w:sz w:val="24"/>
          <w:szCs w:val="24"/>
        </w:rPr>
      </w:pPr>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15"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DF1309" w:rsidP="0084233C">
      <w:pPr>
        <w:pStyle w:val="Body"/>
        <w:rPr>
          <w:rFonts w:asciiTheme="majorHAnsi" w:hAnsiTheme="majorHAnsi" w:cstheme="majorHAnsi"/>
        </w:rPr>
      </w:pPr>
      <w:hyperlink r:id="rId16"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8F4F3A" w:rsidP="008F4F3A">
      <w:pPr>
        <w:pStyle w:val="Body"/>
        <w:rPr>
          <w:rFonts w:asciiTheme="majorHAnsi" w:hAnsiTheme="majorHAnsi" w:cstheme="majorHAnsi"/>
        </w:rPr>
      </w:pPr>
      <w:hyperlink r:id="rId17" w:history="1">
        <w:r w:rsidRPr="004B67C8">
          <w:rPr>
            <w:rStyle w:val="Hyperlink"/>
            <w:rFonts w:asciiTheme="majorHAnsi" w:hAnsiTheme="majorHAnsi" w:cstheme="majorHAnsi"/>
            <w:u w:val="none"/>
          </w:rPr>
          <w:t>https://docs.oracle.com/en/database/oracle/machine-learning/oml4sql/21/dmprg/prepare-data.html#GUID-E1AB599C-1921-4BD7-B06B-FC466180A460</w:t>
        </w:r>
      </w:hyperlink>
      <w:r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57F9F4F2" w:rsidR="000A2AB4" w:rsidRPr="004B67C8" w:rsidRDefault="004B67C8" w:rsidP="00102733">
      <w:pPr>
        <w:rPr>
          <w:rFonts w:asciiTheme="majorHAnsi" w:hAnsiTheme="majorHAnsi" w:cstheme="majorHAnsi"/>
          <w:sz w:val="22"/>
          <w:szCs w:val="22"/>
        </w:rPr>
      </w:pPr>
      <w:hyperlink r:id="rId18" w:history="1">
        <w:r w:rsidRPr="004B67C8">
          <w:rPr>
            <w:rStyle w:val="Hyperlink"/>
            <w:rFonts w:asciiTheme="majorHAnsi" w:hAnsiTheme="majorHAnsi" w:cstheme="majorHAnsi"/>
            <w:sz w:val="22"/>
            <w:szCs w:val="22"/>
            <w:u w:val="none"/>
          </w:rPr>
          <w:t>https://docs.oracle.com/database/121/ARPLS/d_datmin.htm#ARPLS608</w:t>
        </w:r>
      </w:hyperlink>
      <w:r>
        <w:rPr>
          <w:rFonts w:asciiTheme="majorHAnsi" w:hAnsiTheme="majorHAnsi" w:cstheme="majorHAnsi"/>
          <w:sz w:val="22"/>
          <w:szCs w:val="22"/>
        </w:rPr>
        <w:t xml:space="preserve"> [6]</w:t>
      </w:r>
    </w:p>
    <w:p w14:paraId="78CA27FA" w14:textId="77777777" w:rsidR="00A82C08" w:rsidRDefault="00A82C08" w:rsidP="00102733">
      <w:pPr>
        <w:rPr>
          <w:b/>
          <w:bCs/>
        </w:rPr>
      </w:pPr>
    </w:p>
    <w:p w14:paraId="7CF7E6C9" w14:textId="77777777" w:rsidR="0084233C" w:rsidRPr="004B67C8" w:rsidRDefault="0084233C" w:rsidP="0084233C">
      <w:pPr>
        <w:rPr>
          <w:rFonts w:asciiTheme="majorHAnsi" w:hAnsiTheme="majorHAnsi" w:cstheme="majorHAnsi"/>
          <w:sz w:val="22"/>
          <w:szCs w:val="22"/>
        </w:rPr>
      </w:pPr>
      <w:hyperlink r:id="rId19" w:history="1">
        <w:r w:rsidRPr="004B67C8">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77777777" w:rsidR="000A2AB4" w:rsidRDefault="000A2AB4"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lastRenderedPageBreak/>
        <w:t xml:space="preserve">Miri Choi, 2017, </w:t>
      </w:r>
      <w:hyperlink r:id="rId20"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21"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22"/>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02649" w14:textId="77777777" w:rsidR="00DF1309" w:rsidRDefault="00DF1309">
      <w:r>
        <w:separator/>
      </w:r>
    </w:p>
  </w:endnote>
  <w:endnote w:type="continuationSeparator" w:id="0">
    <w:p w14:paraId="1BC3ED26" w14:textId="77777777" w:rsidR="00DF1309" w:rsidRDefault="00DF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F542B" w14:textId="77777777" w:rsidR="00DF1309" w:rsidRDefault="00DF1309">
      <w:r>
        <w:separator/>
      </w:r>
    </w:p>
  </w:footnote>
  <w:footnote w:type="continuationSeparator" w:id="0">
    <w:p w14:paraId="3CDD6B01" w14:textId="77777777" w:rsidR="00DF1309" w:rsidRDefault="00DF1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3C99"/>
    <w:rsid w:val="00016907"/>
    <w:rsid w:val="000409FA"/>
    <w:rsid w:val="0004252C"/>
    <w:rsid w:val="00063324"/>
    <w:rsid w:val="00063D73"/>
    <w:rsid w:val="000670EB"/>
    <w:rsid w:val="00072E0D"/>
    <w:rsid w:val="0007693A"/>
    <w:rsid w:val="00080BBA"/>
    <w:rsid w:val="00087A71"/>
    <w:rsid w:val="0009591A"/>
    <w:rsid w:val="000A2AB4"/>
    <w:rsid w:val="000A4B80"/>
    <w:rsid w:val="000B778C"/>
    <w:rsid w:val="000C459C"/>
    <w:rsid w:val="000C7CC0"/>
    <w:rsid w:val="000D034C"/>
    <w:rsid w:val="000E67C6"/>
    <w:rsid w:val="000F5269"/>
    <w:rsid w:val="00102733"/>
    <w:rsid w:val="00104722"/>
    <w:rsid w:val="00112704"/>
    <w:rsid w:val="00112EEE"/>
    <w:rsid w:val="001321B9"/>
    <w:rsid w:val="00153F81"/>
    <w:rsid w:val="0015561B"/>
    <w:rsid w:val="00155680"/>
    <w:rsid w:val="0017094D"/>
    <w:rsid w:val="00172FA7"/>
    <w:rsid w:val="0018623D"/>
    <w:rsid w:val="00190D59"/>
    <w:rsid w:val="00193322"/>
    <w:rsid w:val="001938BB"/>
    <w:rsid w:val="0019398B"/>
    <w:rsid w:val="00194E32"/>
    <w:rsid w:val="00196134"/>
    <w:rsid w:val="001C3A3F"/>
    <w:rsid w:val="001D3CA2"/>
    <w:rsid w:val="00207264"/>
    <w:rsid w:val="002154DF"/>
    <w:rsid w:val="00215EA8"/>
    <w:rsid w:val="0021790E"/>
    <w:rsid w:val="00226E0A"/>
    <w:rsid w:val="00234932"/>
    <w:rsid w:val="00236744"/>
    <w:rsid w:val="00237425"/>
    <w:rsid w:val="00241D14"/>
    <w:rsid w:val="00250DD1"/>
    <w:rsid w:val="00257264"/>
    <w:rsid w:val="00266C5D"/>
    <w:rsid w:val="00267F36"/>
    <w:rsid w:val="00275CA6"/>
    <w:rsid w:val="00281362"/>
    <w:rsid w:val="00286F5A"/>
    <w:rsid w:val="0028774A"/>
    <w:rsid w:val="00287DFA"/>
    <w:rsid w:val="00293EF8"/>
    <w:rsid w:val="002A7FC6"/>
    <w:rsid w:val="002B0F9A"/>
    <w:rsid w:val="002B2CCB"/>
    <w:rsid w:val="002B50C1"/>
    <w:rsid w:val="002C15DA"/>
    <w:rsid w:val="002C34D1"/>
    <w:rsid w:val="002C60C6"/>
    <w:rsid w:val="002D0911"/>
    <w:rsid w:val="002D247A"/>
    <w:rsid w:val="002E7BEE"/>
    <w:rsid w:val="002F483B"/>
    <w:rsid w:val="002F544B"/>
    <w:rsid w:val="00301A5A"/>
    <w:rsid w:val="00301BFC"/>
    <w:rsid w:val="0031410F"/>
    <w:rsid w:val="00315D51"/>
    <w:rsid w:val="00321759"/>
    <w:rsid w:val="00326197"/>
    <w:rsid w:val="00326C62"/>
    <w:rsid w:val="00353286"/>
    <w:rsid w:val="00355C18"/>
    <w:rsid w:val="003671FE"/>
    <w:rsid w:val="003714E8"/>
    <w:rsid w:val="0038082E"/>
    <w:rsid w:val="00387EBE"/>
    <w:rsid w:val="0039464B"/>
    <w:rsid w:val="003B4266"/>
    <w:rsid w:val="003C4570"/>
    <w:rsid w:val="003C5F60"/>
    <w:rsid w:val="003D2BC0"/>
    <w:rsid w:val="003E3A27"/>
    <w:rsid w:val="003E3D60"/>
    <w:rsid w:val="003E62C1"/>
    <w:rsid w:val="003F0AE4"/>
    <w:rsid w:val="00401928"/>
    <w:rsid w:val="00402B33"/>
    <w:rsid w:val="004136D9"/>
    <w:rsid w:val="004147D7"/>
    <w:rsid w:val="00416C6B"/>
    <w:rsid w:val="00421823"/>
    <w:rsid w:val="0042356B"/>
    <w:rsid w:val="004334C1"/>
    <w:rsid w:val="00436FD6"/>
    <w:rsid w:val="004512F8"/>
    <w:rsid w:val="00462921"/>
    <w:rsid w:val="00462DAC"/>
    <w:rsid w:val="004668B9"/>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20DD3"/>
    <w:rsid w:val="005506B7"/>
    <w:rsid w:val="00556D49"/>
    <w:rsid w:val="00565208"/>
    <w:rsid w:val="00573EC0"/>
    <w:rsid w:val="00574255"/>
    <w:rsid w:val="00574328"/>
    <w:rsid w:val="00580157"/>
    <w:rsid w:val="00591D00"/>
    <w:rsid w:val="005A0002"/>
    <w:rsid w:val="005A178A"/>
    <w:rsid w:val="005A6375"/>
    <w:rsid w:val="005A6456"/>
    <w:rsid w:val="005B0B07"/>
    <w:rsid w:val="005B325D"/>
    <w:rsid w:val="005C209A"/>
    <w:rsid w:val="005C4591"/>
    <w:rsid w:val="005D1DF3"/>
    <w:rsid w:val="005D5E27"/>
    <w:rsid w:val="005E1CD2"/>
    <w:rsid w:val="005E1DBD"/>
    <w:rsid w:val="005F1D2F"/>
    <w:rsid w:val="005F3589"/>
    <w:rsid w:val="005F6918"/>
    <w:rsid w:val="00604D46"/>
    <w:rsid w:val="006267B4"/>
    <w:rsid w:val="00633C75"/>
    <w:rsid w:val="006357FF"/>
    <w:rsid w:val="006404F0"/>
    <w:rsid w:val="0064196B"/>
    <w:rsid w:val="00647446"/>
    <w:rsid w:val="006502B8"/>
    <w:rsid w:val="0067217C"/>
    <w:rsid w:val="00672FEA"/>
    <w:rsid w:val="0067497C"/>
    <w:rsid w:val="00693F99"/>
    <w:rsid w:val="00695246"/>
    <w:rsid w:val="00695F9E"/>
    <w:rsid w:val="006B3E84"/>
    <w:rsid w:val="006D277B"/>
    <w:rsid w:val="006E1E33"/>
    <w:rsid w:val="00712143"/>
    <w:rsid w:val="00741478"/>
    <w:rsid w:val="007512EC"/>
    <w:rsid w:val="0075441E"/>
    <w:rsid w:val="007607D9"/>
    <w:rsid w:val="00760AB1"/>
    <w:rsid w:val="0076353E"/>
    <w:rsid w:val="00780904"/>
    <w:rsid w:val="00782075"/>
    <w:rsid w:val="007823E6"/>
    <w:rsid w:val="00787177"/>
    <w:rsid w:val="00790078"/>
    <w:rsid w:val="007950B6"/>
    <w:rsid w:val="00795316"/>
    <w:rsid w:val="007A11CC"/>
    <w:rsid w:val="007A231B"/>
    <w:rsid w:val="007A2749"/>
    <w:rsid w:val="007B4C3D"/>
    <w:rsid w:val="007D26C7"/>
    <w:rsid w:val="007D5B2A"/>
    <w:rsid w:val="007D6165"/>
    <w:rsid w:val="007F501E"/>
    <w:rsid w:val="00807A23"/>
    <w:rsid w:val="0084233C"/>
    <w:rsid w:val="00855780"/>
    <w:rsid w:val="00884901"/>
    <w:rsid w:val="00885268"/>
    <w:rsid w:val="00897D08"/>
    <w:rsid w:val="008A5301"/>
    <w:rsid w:val="008C0647"/>
    <w:rsid w:val="008C46C9"/>
    <w:rsid w:val="008D4BED"/>
    <w:rsid w:val="008F43D0"/>
    <w:rsid w:val="008F454A"/>
    <w:rsid w:val="008F4F3A"/>
    <w:rsid w:val="008F702E"/>
    <w:rsid w:val="0090323F"/>
    <w:rsid w:val="0090380F"/>
    <w:rsid w:val="009173E7"/>
    <w:rsid w:val="00926193"/>
    <w:rsid w:val="00931ABD"/>
    <w:rsid w:val="009505AD"/>
    <w:rsid w:val="0095352E"/>
    <w:rsid w:val="009701DF"/>
    <w:rsid w:val="009723CD"/>
    <w:rsid w:val="00972488"/>
    <w:rsid w:val="0097328B"/>
    <w:rsid w:val="00980118"/>
    <w:rsid w:val="00991418"/>
    <w:rsid w:val="00992755"/>
    <w:rsid w:val="009A5644"/>
    <w:rsid w:val="009A5A9A"/>
    <w:rsid w:val="009A7405"/>
    <w:rsid w:val="009B4A75"/>
    <w:rsid w:val="009B7810"/>
    <w:rsid w:val="009C294D"/>
    <w:rsid w:val="009D2882"/>
    <w:rsid w:val="009D4B29"/>
    <w:rsid w:val="009E490E"/>
    <w:rsid w:val="009E520B"/>
    <w:rsid w:val="00A12AE9"/>
    <w:rsid w:val="00A1341C"/>
    <w:rsid w:val="00A14A93"/>
    <w:rsid w:val="00A1531B"/>
    <w:rsid w:val="00A20B08"/>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A6683"/>
    <w:rsid w:val="00AA67CE"/>
    <w:rsid w:val="00AB0FBC"/>
    <w:rsid w:val="00AB264A"/>
    <w:rsid w:val="00AB313D"/>
    <w:rsid w:val="00AB609C"/>
    <w:rsid w:val="00AC143E"/>
    <w:rsid w:val="00AC692A"/>
    <w:rsid w:val="00AD77F3"/>
    <w:rsid w:val="00AF0F0B"/>
    <w:rsid w:val="00B030B5"/>
    <w:rsid w:val="00B1518A"/>
    <w:rsid w:val="00B17478"/>
    <w:rsid w:val="00B456EA"/>
    <w:rsid w:val="00B457F5"/>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133BB"/>
    <w:rsid w:val="00C2282B"/>
    <w:rsid w:val="00C54D33"/>
    <w:rsid w:val="00C57D03"/>
    <w:rsid w:val="00C717EB"/>
    <w:rsid w:val="00C753F7"/>
    <w:rsid w:val="00C8216E"/>
    <w:rsid w:val="00C83B8E"/>
    <w:rsid w:val="00C845B4"/>
    <w:rsid w:val="00C869DB"/>
    <w:rsid w:val="00CA35E2"/>
    <w:rsid w:val="00CB7CDF"/>
    <w:rsid w:val="00CC4A76"/>
    <w:rsid w:val="00CC4CCB"/>
    <w:rsid w:val="00CC7104"/>
    <w:rsid w:val="00CD21E5"/>
    <w:rsid w:val="00CE3394"/>
    <w:rsid w:val="00CF3B7E"/>
    <w:rsid w:val="00D000F7"/>
    <w:rsid w:val="00D03209"/>
    <w:rsid w:val="00D119EB"/>
    <w:rsid w:val="00D200FC"/>
    <w:rsid w:val="00D22193"/>
    <w:rsid w:val="00D369D3"/>
    <w:rsid w:val="00D527C2"/>
    <w:rsid w:val="00D64145"/>
    <w:rsid w:val="00D66E28"/>
    <w:rsid w:val="00D67976"/>
    <w:rsid w:val="00D763F5"/>
    <w:rsid w:val="00D80591"/>
    <w:rsid w:val="00D833FE"/>
    <w:rsid w:val="00D87E87"/>
    <w:rsid w:val="00DA0516"/>
    <w:rsid w:val="00DC01FC"/>
    <w:rsid w:val="00DC32C7"/>
    <w:rsid w:val="00DC4D28"/>
    <w:rsid w:val="00DC4F60"/>
    <w:rsid w:val="00DC5CE1"/>
    <w:rsid w:val="00DD044F"/>
    <w:rsid w:val="00DD2E4B"/>
    <w:rsid w:val="00DD5AF3"/>
    <w:rsid w:val="00DE0B85"/>
    <w:rsid w:val="00DE687F"/>
    <w:rsid w:val="00DF1309"/>
    <w:rsid w:val="00E02025"/>
    <w:rsid w:val="00E02670"/>
    <w:rsid w:val="00E25FA6"/>
    <w:rsid w:val="00E66AD4"/>
    <w:rsid w:val="00E71211"/>
    <w:rsid w:val="00E803EF"/>
    <w:rsid w:val="00E84FE9"/>
    <w:rsid w:val="00E869BE"/>
    <w:rsid w:val="00E96588"/>
    <w:rsid w:val="00E96CE8"/>
    <w:rsid w:val="00EA44BF"/>
    <w:rsid w:val="00EB1A86"/>
    <w:rsid w:val="00EB24D0"/>
    <w:rsid w:val="00EC1585"/>
    <w:rsid w:val="00ED4D9B"/>
    <w:rsid w:val="00EE00D1"/>
    <w:rsid w:val="00EF0196"/>
    <w:rsid w:val="00EF5642"/>
    <w:rsid w:val="00F02B82"/>
    <w:rsid w:val="00F432C2"/>
    <w:rsid w:val="00F64E58"/>
    <w:rsid w:val="00F737C6"/>
    <w:rsid w:val="00F90ACD"/>
    <w:rsid w:val="00FA30C8"/>
    <w:rsid w:val="00FA3F0F"/>
    <w:rsid w:val="00FA68F5"/>
    <w:rsid w:val="00FB18B9"/>
    <w:rsid w:val="00FB778B"/>
    <w:rsid w:val="00FC1A00"/>
    <w:rsid w:val="00FC25BC"/>
    <w:rsid w:val="00FC2D04"/>
    <w:rsid w:val="00FC2DEA"/>
    <w:rsid w:val="00FC4750"/>
    <w:rsid w:val="00FD0B97"/>
    <w:rsid w:val="00FD17C4"/>
    <w:rsid w:val="00FD4D83"/>
    <w:rsid w:val="00FD5BAE"/>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database/121/ARPLS/d_datmin.htm#ARPLS608" TargetMode="External"/><Relationship Id="rId3" Type="http://schemas.openxmlformats.org/officeDocument/2006/relationships/styles" Target="styles.xml"/><Relationship Id="rId21" Type="http://schemas.openxmlformats.org/officeDocument/2006/relationships/hyperlink" Target="https://www.precisely.com/blog/data-quality/how-to-measure-data-quality-7-metrics%20%5b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en/database/oracle/machine-learning/oml4sql/21/dmprg/prepare-data.html#GUID-E1AB599C-1921-4BD7-B06B-FC466180A460" TargetMode="External"/><Relationship Id="rId2" Type="http://schemas.openxmlformats.org/officeDocument/2006/relationships/numbering" Target="numbering.xml"/><Relationship Id="rId16" Type="http://schemas.openxmlformats.org/officeDocument/2006/relationships/hyperlink" Target="https://docs.oracle.com/database/121/SQLRF/functions190.htm" TargetMode="External"/><Relationship Id="rId20" Type="http://schemas.openxmlformats.org/officeDocument/2006/relationships/hyperlink" Target="https://www.kaggle.com/mirichoi0218/insurance%20%5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database/121/SQLRF/functions186.ht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bm.com/support/knowledgecenter/en/SSHRBY/com.ibm.swg.im.dashdb.apdv.plsql.doc/doc/c005386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15</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332</cp:revision>
  <dcterms:created xsi:type="dcterms:W3CDTF">2020-11-15T17:47:00Z</dcterms:created>
  <dcterms:modified xsi:type="dcterms:W3CDTF">2020-12-23T17:35:00Z</dcterms:modified>
</cp:coreProperties>
</file>