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pPr w:vertAnchor="text" w:horzAnchor="margin" w:leftFromText="180" w:rightFromText="180" w:tblpX="0" w:tblpY="-166"/>
        <w:tblW w:w="946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61"/>
        <w:gridCol w:w="2242"/>
        <w:gridCol w:w="2861"/>
      </w:tblGrid>
      <w:tr>
        <w:trPr>
          <w:trHeight w:val="2097" w:hRule="atLeast"/>
        </w:trPr>
        <w:tc>
          <w:tcPr>
            <w:tcW w:w="4361" w:type="dxa"/>
            <w:tcBorders>
              <w:top w:val="nil"/>
              <w:left w:val="nil"/>
              <w:bottom w:val="nil"/>
              <w:right w:val="nil"/>
            </w:tcBorders>
          </w:tcPr>
          <w:p>
            <w:pPr>
              <w:pStyle w:val="Normal"/>
              <w:widowControl w:val="false"/>
              <w:tabs>
                <w:tab w:val="clear" w:pos="708"/>
                <w:tab w:val="left" w:pos="5954" w:leader="none"/>
              </w:tabs>
              <w:suppressAutoHyphens w:val="true"/>
              <w:spacing w:before="0" w:after="0"/>
              <w:jc w:val="left"/>
              <w:rPr>
                <w:b/>
                <w:b/>
                <w:sz w:val="28"/>
                <w:szCs w:val="28"/>
              </w:rPr>
            </w:pPr>
            <w:r>
              <w:rPr>
                <w:b/>
                <w:sz w:val="22"/>
                <w:szCs w:val="28"/>
              </w:rPr>
              <w:drawing>
                <wp:anchor behindDoc="1" distT="0" distB="0" distL="0" distR="0" simplePos="0" locked="0" layoutInCell="1" allowOverlap="1" relativeHeight="3">
                  <wp:simplePos x="0" y="0"/>
                  <wp:positionH relativeFrom="column">
                    <wp:posOffset>158115</wp:posOffset>
                  </wp:positionH>
                  <wp:positionV relativeFrom="paragraph">
                    <wp:posOffset>78740</wp:posOffset>
                  </wp:positionV>
                  <wp:extent cx="2457450" cy="1095375"/>
                  <wp:effectExtent l="0" t="0" r="0" b="0"/>
                  <wp:wrapNone/>
                  <wp:docPr id="1" name="Рисунок 7" descr="Описание: горы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Описание: горы34"/>
                          <pic:cNvPicPr>
                            <a:picLocks noChangeAspect="1" noChangeArrowheads="1"/>
                          </pic:cNvPicPr>
                        </pic:nvPicPr>
                        <pic:blipFill>
                          <a:blip r:embed="rId2"/>
                          <a:stretch>
                            <a:fillRect/>
                          </a:stretch>
                        </pic:blipFill>
                        <pic:spPr bwMode="auto">
                          <a:xfrm>
                            <a:off x="0" y="0"/>
                            <a:ext cx="2457450" cy="1095375"/>
                          </a:xfrm>
                          <a:prstGeom prst="rect">
                            <a:avLst/>
                          </a:prstGeom>
                        </pic:spPr>
                      </pic:pic>
                    </a:graphicData>
                  </a:graphic>
                </wp:anchor>
              </w:drawing>
            </w:r>
          </w:p>
          <w:p>
            <w:pPr>
              <w:pStyle w:val="Normal"/>
              <w:widowControl w:val="false"/>
              <w:suppressAutoHyphens w:val="true"/>
              <w:spacing w:before="0" w:after="0"/>
              <w:jc w:val="left"/>
              <w:rPr>
                <w:sz w:val="28"/>
                <w:szCs w:val="28"/>
              </w:rPr>
            </w:pPr>
            <w:r>
              <w:rPr>
                <w:sz w:val="22"/>
                <w:szCs w:val="28"/>
              </w:rPr>
            </w:r>
          </w:p>
          <w:p>
            <w:pPr>
              <w:pStyle w:val="Normal"/>
              <w:widowControl w:val="false"/>
              <w:tabs>
                <w:tab w:val="clear" w:pos="708"/>
                <w:tab w:val="left" w:pos="0" w:leader="none"/>
              </w:tabs>
              <w:suppressAutoHyphens w:val="true"/>
              <w:spacing w:before="0" w:after="0"/>
              <w:jc w:val="left"/>
              <w:rPr>
                <w:sz w:val="28"/>
                <w:szCs w:val="28"/>
              </w:rPr>
            </w:pPr>
            <w:r>
              <w:rPr>
                <w:sz w:val="22"/>
                <w:szCs w:val="28"/>
              </w:rPr>
            </w:r>
          </w:p>
        </w:tc>
        <w:tc>
          <w:tcPr>
            <w:tcW w:w="2242" w:type="dxa"/>
            <w:tcBorders>
              <w:top w:val="nil"/>
              <w:left w:val="nil"/>
              <w:bottom w:val="nil"/>
              <w:right w:val="nil"/>
            </w:tcBorders>
            <w:vAlign w:val="center"/>
          </w:tcPr>
          <w:p>
            <w:pPr>
              <w:pStyle w:val="ConsPlusNormal"/>
              <w:widowControl w:val="false"/>
              <w:suppressAutoHyphens w:val="true"/>
              <w:spacing w:before="0" w:after="0"/>
              <w:ind w:firstLine="34"/>
              <w:jc w:val="right"/>
              <w:rPr>
                <w:b/>
                <w:b/>
                <w:sz w:val="28"/>
                <w:szCs w:val="28"/>
              </w:rPr>
            </w:pPr>
            <w:r>
              <w:rPr>
                <w:b/>
                <w:sz w:val="28"/>
                <w:szCs w:val="28"/>
              </w:rPr>
            </w:r>
          </w:p>
        </w:tc>
        <w:tc>
          <w:tcPr>
            <w:tcW w:w="2861" w:type="dxa"/>
            <w:tcBorders>
              <w:top w:val="nil"/>
              <w:left w:val="nil"/>
              <w:bottom w:val="nil"/>
              <w:right w:val="nil"/>
            </w:tcBorders>
            <w:vAlign w:val="center"/>
          </w:tcPr>
          <w:p>
            <w:pPr>
              <w:pStyle w:val="ConsPlusNormal"/>
              <w:widowControl w:val="false"/>
              <w:suppressAutoHyphens w:val="true"/>
              <w:spacing w:before="0" w:after="0"/>
              <w:ind w:firstLine="34"/>
              <w:jc w:val="right"/>
              <w:rPr>
                <w:b/>
                <w:b/>
                <w:sz w:val="28"/>
                <w:szCs w:val="28"/>
              </w:rPr>
            </w:pPr>
            <w:r>
              <w:rPr>
                <w:b/>
                <w:sz w:val="28"/>
                <w:szCs w:val="28"/>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t>АНАЛИТИЧЕСКИЙ ОТЧЕТ</w:t>
      </w:r>
    </w:p>
    <w:p>
      <w:pPr>
        <w:pStyle w:val="Normal"/>
        <w:jc w:val="center"/>
        <w:rPr>
          <w:b/>
          <w:b/>
          <w:sz w:val="32"/>
          <w:szCs w:val="32"/>
        </w:rPr>
      </w:pPr>
      <w:r>
        <w:rPr>
          <w:b/>
          <w:sz w:val="32"/>
          <w:szCs w:val="32"/>
        </w:rPr>
      </w:r>
    </w:p>
    <w:p>
      <w:pPr>
        <w:pStyle w:val="Normal"/>
        <w:widowControl w:val="false"/>
        <w:tabs>
          <w:tab w:val="clear" w:pos="708"/>
          <w:tab w:val="left" w:pos="0" w:leader="none"/>
        </w:tabs>
        <w:ind w:left="709" w:hanging="0"/>
        <w:jc w:val="both"/>
        <w:rPr>
          <w:bCs/>
          <w:spacing w:val="-7"/>
          <w:sz w:val="28"/>
          <w:szCs w:val="28"/>
        </w:rPr>
      </w:pPr>
      <w:r>
        <w:rPr>
          <w:sz w:val="28"/>
          <w:szCs w:val="28"/>
        </w:rPr>
        <w:t xml:space="preserve">о качестве условий </w:t>
      </w:r>
      <w:r>
        <w:rPr>
          <w:bCs/>
          <w:sz w:val="28"/>
          <w:szCs w:val="28"/>
        </w:rPr>
        <w:t xml:space="preserve">осуществления образовательной деятельности </w:t>
      </w:r>
    </w:p>
    <w:p>
      <w:pPr>
        <w:pStyle w:val="Normal"/>
        <w:spacing w:lineRule="auto" w:line="276"/>
        <w:jc w:val="center"/>
        <w:rPr/>
      </w:pPr>
      <w:r>
        <w:rPr>
          <w:color w:val="000000"/>
          <w:sz w:val="28"/>
          <w:szCs w:val="28"/>
          <w:shd w:fill="FFFF00" w:val="clear"/>
        </w:rPr>
        <w:t>{{name}}</w:t>
      </w:r>
      <w:r>
        <w:rPr>
          <w:sz w:val="28"/>
          <w:szCs w:val="28"/>
          <w:shd w:fill="auto" w:val="clear"/>
        </w:rPr>
        <w:t xml:space="preserve"> в </w:t>
      </w:r>
      <w:r>
        <w:rPr>
          <w:sz w:val="28"/>
          <w:szCs w:val="28"/>
        </w:rPr>
        <w:t xml:space="preserve">соответствии с показателями, характеризующими общие критерии оценки качества </w:t>
      </w:r>
      <w:r>
        <w:rPr>
          <w:bCs/>
          <w:sz w:val="28"/>
          <w:szCs w:val="28"/>
        </w:rPr>
        <w:t xml:space="preserve">условий осуществления образовательной деятельности </w:t>
      </w:r>
      <w:r>
        <w:rPr>
          <w:sz w:val="28"/>
          <w:szCs w:val="28"/>
        </w:rPr>
        <w:t>образовательными организациями, в отношении которых проводится независимая оценка</w:t>
      </w:r>
    </w:p>
    <w:p>
      <w:pPr>
        <w:pStyle w:val="Normal"/>
        <w:spacing w:lineRule="auto" w:line="276"/>
        <w:jc w:val="center"/>
        <w:rPr>
          <w:sz w:val="28"/>
          <w:szCs w:val="28"/>
        </w:rPr>
      </w:pPr>
      <w:r>
        <w:rPr>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r>
    </w:p>
    <w:p>
      <w:pPr>
        <w:pStyle w:val="Normal"/>
        <w:widowControl w:val="false"/>
        <w:tabs>
          <w:tab w:val="clear" w:pos="708"/>
          <w:tab w:val="left" w:pos="0" w:leader="none"/>
        </w:tabs>
        <w:jc w:val="center"/>
        <w:rPr>
          <w:bCs/>
          <w:spacing w:val="-7"/>
          <w:sz w:val="28"/>
          <w:szCs w:val="28"/>
        </w:rPr>
      </w:pPr>
      <w:r>
        <w:rPr>
          <w:bCs/>
          <w:spacing w:val="-7"/>
          <w:sz w:val="28"/>
          <w:szCs w:val="28"/>
        </w:rPr>
        <w:t>г. Грозный, 2022</w:t>
      </w:r>
    </w:p>
    <w:p>
      <w:pPr>
        <w:pStyle w:val="Normal"/>
        <w:spacing w:lineRule="auto" w:line="259" w:before="0" w:after="160"/>
        <w:rPr>
          <w:bCs/>
          <w:spacing w:val="-7"/>
          <w:sz w:val="28"/>
          <w:szCs w:val="28"/>
        </w:rPr>
      </w:pPr>
      <w:r>
        <w:rPr>
          <w:bCs/>
          <w:spacing w:val="-7"/>
          <w:sz w:val="28"/>
          <w:szCs w:val="28"/>
        </w:rPr>
      </w:r>
      <w:r>
        <w:br w:type="page"/>
      </w:r>
    </w:p>
    <w:p>
      <w:pPr>
        <w:pStyle w:val="Normal"/>
        <w:jc w:val="center"/>
        <w:rPr>
          <w:sz w:val="28"/>
          <w:szCs w:val="28"/>
        </w:rPr>
      </w:pPr>
      <w:r>
        <w:rPr>
          <w:sz w:val="28"/>
          <w:szCs w:val="28"/>
        </w:rPr>
        <w:t>Аналитический отчет</w:t>
      </w:r>
    </w:p>
    <w:p>
      <w:pPr>
        <w:pStyle w:val="Normal"/>
        <w:widowControl w:val="false"/>
        <w:tabs>
          <w:tab w:val="clear" w:pos="708"/>
          <w:tab w:val="left" w:pos="0" w:leader="none"/>
        </w:tabs>
        <w:ind w:left="709" w:hanging="0"/>
        <w:jc w:val="both"/>
        <w:rPr>
          <w:bCs/>
          <w:spacing w:val="-7"/>
          <w:sz w:val="28"/>
          <w:szCs w:val="28"/>
        </w:rPr>
      </w:pPr>
      <w:r>
        <w:rPr>
          <w:sz w:val="28"/>
          <w:szCs w:val="28"/>
        </w:rPr>
        <w:t xml:space="preserve">о качестве условий </w:t>
      </w:r>
      <w:r>
        <w:rPr>
          <w:bCs/>
          <w:sz w:val="28"/>
          <w:szCs w:val="28"/>
        </w:rPr>
        <w:t xml:space="preserve">осуществления образовательной деятельности </w:t>
      </w:r>
    </w:p>
    <w:p>
      <w:pPr>
        <w:pStyle w:val="Normal"/>
        <w:spacing w:lineRule="auto" w:line="276"/>
        <w:jc w:val="center"/>
        <w:rPr/>
      </w:pPr>
      <w:r>
        <w:rPr>
          <w:color w:val="000000"/>
          <w:sz w:val="28"/>
          <w:szCs w:val="28"/>
          <w:shd w:fill="auto" w:val="clear"/>
        </w:rPr>
        <w:t>{{name}}</w:t>
      </w:r>
      <w:r>
        <w:rPr>
          <w:sz w:val="28"/>
          <w:szCs w:val="28"/>
        </w:rPr>
        <w:t xml:space="preserve"> в соответствии с показателями, характеризующими общие критерии оценки качества </w:t>
      </w:r>
      <w:r>
        <w:rPr>
          <w:bCs/>
          <w:sz w:val="28"/>
          <w:szCs w:val="28"/>
        </w:rPr>
        <w:t xml:space="preserve">условий осуществления образовательной деятельности </w:t>
      </w:r>
      <w:r>
        <w:rPr>
          <w:sz w:val="28"/>
          <w:szCs w:val="28"/>
        </w:rPr>
        <w:t>образовательными организациями, в отношении которых проводится независимая оценка</w:t>
      </w:r>
    </w:p>
    <w:p>
      <w:pPr>
        <w:pStyle w:val="Normal"/>
        <w:spacing w:lineRule="auto" w:line="276"/>
        <w:jc w:val="center"/>
        <w:rPr/>
      </w:pPr>
      <w:r>
        <w:rPr/>
      </w:r>
    </w:p>
    <w:p>
      <w:pPr>
        <w:pStyle w:val="Normal"/>
        <w:spacing w:lineRule="auto" w:line="276"/>
        <w:jc w:val="center"/>
        <w:rPr>
          <w:sz w:val="28"/>
          <w:szCs w:val="28"/>
        </w:rPr>
      </w:pPr>
      <w:r>
        <w:rPr>
          <w:sz w:val="28"/>
          <w:szCs w:val="28"/>
        </w:rPr>
      </w:r>
    </w:p>
    <w:p>
      <w:pPr>
        <w:pStyle w:val="Normal"/>
        <w:widowControl w:val="false"/>
        <w:tabs>
          <w:tab w:val="clear" w:pos="708"/>
          <w:tab w:val="left" w:pos="0" w:leader="none"/>
        </w:tabs>
        <w:ind w:left="709" w:hanging="0"/>
        <w:jc w:val="both"/>
        <w:rPr>
          <w:bCs/>
          <w:spacing w:val="-7"/>
          <w:sz w:val="28"/>
          <w:szCs w:val="28"/>
        </w:rPr>
      </w:pPr>
      <w:r>
        <w:rPr>
          <w:bCs/>
          <w:spacing w:val="-7"/>
          <w:sz w:val="28"/>
          <w:szCs w:val="28"/>
        </w:rPr>
        <w:t xml:space="preserve">г. Грозный                                                                                        </w:t>
      </w:r>
      <w:r>
        <w:rPr>
          <w:sz w:val="28"/>
          <w:szCs w:val="28"/>
        </w:rPr>
        <w:t>10 декабря 2021г.</w:t>
      </w:r>
    </w:p>
    <w:p>
      <w:pPr>
        <w:pStyle w:val="Normal"/>
        <w:widowControl w:val="false"/>
        <w:tabs>
          <w:tab w:val="clear" w:pos="708"/>
          <w:tab w:val="left" w:pos="0" w:leader="none"/>
        </w:tabs>
        <w:jc w:val="both"/>
        <w:rPr>
          <w:sz w:val="28"/>
          <w:szCs w:val="28"/>
        </w:rPr>
      </w:pPr>
      <w:r>
        <w:rPr>
          <w:sz w:val="28"/>
          <w:szCs w:val="28"/>
        </w:rPr>
        <w:tab/>
      </w:r>
    </w:p>
    <w:p>
      <w:pPr>
        <w:pStyle w:val="Normal"/>
        <w:tabs>
          <w:tab w:val="clear" w:pos="708"/>
          <w:tab w:val="left" w:pos="0" w:leader="none"/>
        </w:tabs>
        <w:ind w:firstLine="709"/>
        <w:jc w:val="both"/>
        <w:rPr>
          <w:sz w:val="28"/>
          <w:szCs w:val="28"/>
        </w:rPr>
      </w:pPr>
      <w:r>
        <w:rPr>
          <w:sz w:val="28"/>
          <w:szCs w:val="28"/>
        </w:rPr>
        <w:t xml:space="preserve">Сбор и обобщение информации о качестве условий </w:t>
      </w:r>
      <w:r>
        <w:rPr>
          <w:bCs/>
          <w:sz w:val="28"/>
          <w:szCs w:val="28"/>
        </w:rPr>
        <w:t xml:space="preserve">осуществления образовательной деятельности </w:t>
      </w:r>
      <w:r>
        <w:rPr>
          <w:bCs/>
          <w:color w:val="000000"/>
          <w:sz w:val="28"/>
          <w:szCs w:val="28"/>
          <w:shd w:fill="auto" w:val="clear"/>
        </w:rPr>
        <w:t>{{name}}</w:t>
      </w:r>
      <w:r>
        <w:rPr>
          <w:sz w:val="28"/>
          <w:szCs w:val="28"/>
        </w:rPr>
        <w:t xml:space="preserve"> осуществлено организацией-оператором – АНО «Северо-Кавказский центр профессионально-общественной аккредитации» </w:t>
      </w:r>
      <w:r>
        <w:rPr>
          <w:color w:val="000000"/>
          <w:sz w:val="28"/>
          <w:szCs w:val="28"/>
        </w:rPr>
        <w:t xml:space="preserve">во исполнение ч.2 ст.95 Федерального Закона от 29.12.2012г. № 273-ФЗ «Об образовании в Российской Федерации» </w:t>
      </w:r>
      <w:r>
        <w:rPr>
          <w:sz w:val="28"/>
          <w:szCs w:val="28"/>
        </w:rPr>
        <w:t>в соответствии со следующими нормативно-правовыми актами и методическими рекомендациями:</w:t>
      </w:r>
    </w:p>
    <w:p>
      <w:pPr>
        <w:pStyle w:val="Normal"/>
        <w:tabs>
          <w:tab w:val="clear" w:pos="708"/>
          <w:tab w:val="left" w:pos="0" w:leader="none"/>
        </w:tabs>
        <w:ind w:firstLine="709"/>
        <w:jc w:val="both"/>
        <w:rPr>
          <w:sz w:val="28"/>
          <w:szCs w:val="28"/>
        </w:rPr>
      </w:pPr>
      <w:r>
        <w:rPr>
          <w:sz w:val="28"/>
          <w:szCs w:val="28"/>
        </w:rPr>
        <w:t>1. Постановление Правительства Российской Федерации от 31 мая 2018 г. № 638 «Об утверждении Правил сбора и обобщения информации о качестве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p>
    <w:p>
      <w:pPr>
        <w:pStyle w:val="Normal"/>
        <w:tabs>
          <w:tab w:val="clear" w:pos="708"/>
          <w:tab w:val="left" w:pos="0" w:leader="none"/>
        </w:tabs>
        <w:ind w:firstLine="709"/>
        <w:jc w:val="both"/>
        <w:rPr>
          <w:sz w:val="28"/>
          <w:szCs w:val="28"/>
        </w:rPr>
      </w:pPr>
      <w:r>
        <w:rPr>
          <w:sz w:val="28"/>
          <w:szCs w:val="28"/>
        </w:rPr>
        <w:t>2. Приказ Минтруда России от 31 мая 2018 г. № 344н «Об утверждении Единого порядка расчета показателей, характеризующих общие критерии оценки качества условий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w:t>
      </w:r>
    </w:p>
    <w:p>
      <w:pPr>
        <w:pStyle w:val="Normal"/>
        <w:tabs>
          <w:tab w:val="clear" w:pos="708"/>
          <w:tab w:val="left" w:pos="0" w:leader="none"/>
        </w:tabs>
        <w:ind w:firstLine="709"/>
        <w:jc w:val="both"/>
        <w:rPr>
          <w:sz w:val="28"/>
          <w:szCs w:val="28"/>
        </w:rPr>
      </w:pPr>
      <w:r>
        <w:rPr>
          <w:sz w:val="28"/>
          <w:szCs w:val="28"/>
        </w:rPr>
        <w:t>3. Приказ Министерства просвещения Российской Федерации от 13.03.2019 № 114 "Об утверждении показателей, характеризующих общие критерии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w:t>
      </w:r>
    </w:p>
    <w:p>
      <w:pPr>
        <w:pStyle w:val="Normal"/>
        <w:tabs>
          <w:tab w:val="clear" w:pos="708"/>
          <w:tab w:val="left" w:pos="0" w:leader="none"/>
        </w:tabs>
        <w:ind w:firstLine="709"/>
        <w:jc w:val="both"/>
        <w:rPr>
          <w:sz w:val="28"/>
          <w:szCs w:val="28"/>
        </w:rPr>
      </w:pPr>
      <w:r>
        <w:rPr>
          <w:sz w:val="28"/>
          <w:szCs w:val="28"/>
        </w:rPr>
        <w:t>4. Методические рекомендации к Единому порядку расчета показателей независимой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 (с учетом отраслевых особенностей).</w:t>
      </w:r>
      <w:r>
        <w:br w:type="page"/>
      </w:r>
    </w:p>
    <w:p>
      <w:pPr>
        <w:pStyle w:val="Normal"/>
        <w:tabs>
          <w:tab w:val="clear" w:pos="708"/>
          <w:tab w:val="left" w:pos="0" w:leader="none"/>
        </w:tabs>
        <w:ind w:firstLine="709"/>
        <w:jc w:val="both"/>
        <w:rPr>
          <w:sz w:val="28"/>
          <w:szCs w:val="28"/>
        </w:rPr>
      </w:pPr>
      <w:r>
        <w:rPr>
          <w:sz w:val="28"/>
          <w:szCs w:val="28"/>
        </w:rPr>
        <w:t>3. Общие исходные сведения об организации:</w:t>
      </w:r>
    </w:p>
    <w:p>
      <w:pPr>
        <w:pStyle w:val="ListParagraph"/>
        <w:numPr>
          <w:ilvl w:val="0"/>
          <w:numId w:val="2"/>
        </w:numPr>
        <w:tabs>
          <w:tab w:val="clear" w:pos="708"/>
          <w:tab w:val="left" w:pos="709" w:leader="none"/>
          <w:tab w:val="left" w:pos="1134" w:leader="none"/>
          <w:tab w:val="left" w:pos="1560" w:leader="none"/>
        </w:tabs>
        <w:spacing w:beforeAutospacing="1" w:after="0"/>
        <w:contextualSpacing/>
        <w:jc w:val="both"/>
        <w:textAlignment w:val="top"/>
        <w:rPr>
          <w:sz w:val="28"/>
          <w:szCs w:val="28"/>
        </w:rPr>
      </w:pPr>
      <w:r>
        <w:rPr>
          <w:b/>
          <w:sz w:val="28"/>
          <w:szCs w:val="28"/>
        </w:rPr>
        <w:t>Наименование органи</w:t>
      </w:r>
      <w:r>
        <w:rPr>
          <w:b/>
          <w:sz w:val="28"/>
          <w:szCs w:val="28"/>
          <w:shd w:fill="auto" w:val="clear"/>
        </w:rPr>
        <w:t>зации</w:t>
      </w:r>
      <w:r>
        <w:rPr>
          <w:sz w:val="28"/>
          <w:szCs w:val="28"/>
          <w:shd w:fill="auto" w:val="clear"/>
        </w:rPr>
        <w:t xml:space="preserve">: </w:t>
      </w:r>
      <w:r>
        <w:rPr>
          <w:color w:val="000000"/>
          <w:sz w:val="28"/>
          <w:szCs w:val="28"/>
          <w:shd w:fill="auto" w:val="clear"/>
        </w:rPr>
        <w:t>{{name}}</w:t>
      </w:r>
      <w:r>
        <w:rPr>
          <w:sz w:val="28"/>
          <w:szCs w:val="28"/>
          <w:shd w:fill="auto" w:val="clear"/>
        </w:rPr>
        <w:t xml:space="preserve"> </w:t>
      </w:r>
    </w:p>
    <w:p>
      <w:pPr>
        <w:pStyle w:val="ListParagraph"/>
        <w:numPr>
          <w:ilvl w:val="0"/>
          <w:numId w:val="2"/>
        </w:numPr>
        <w:tabs>
          <w:tab w:val="clear" w:pos="708"/>
          <w:tab w:val="left" w:pos="709" w:leader="none"/>
          <w:tab w:val="left" w:pos="1134" w:leader="none"/>
          <w:tab w:val="left" w:pos="1560" w:leader="none"/>
        </w:tabs>
        <w:spacing w:before="0" w:after="0"/>
        <w:contextualSpacing/>
        <w:jc w:val="both"/>
        <w:textAlignment w:val="top"/>
        <w:rPr>
          <w:highlight w:val="none"/>
          <w:shd w:fill="auto" w:val="clear"/>
        </w:rPr>
      </w:pPr>
      <w:r>
        <w:rPr>
          <w:b/>
          <w:sz w:val="28"/>
          <w:szCs w:val="28"/>
          <w:shd w:fill="auto" w:val="clear"/>
        </w:rPr>
        <w:t xml:space="preserve">Юридический адрес организации: </w:t>
      </w:r>
      <w:r>
        <w:rPr>
          <w:color w:val="000000"/>
          <w:sz w:val="28"/>
          <w:szCs w:val="28"/>
          <w:shd w:fill="auto" w:val="clear"/>
        </w:rPr>
        <w:t>{{</w:t>
      </w:r>
      <w:r>
        <w:rPr>
          <w:color w:val="000000"/>
          <w:sz w:val="28"/>
          <w:szCs w:val="28"/>
          <w:shd w:fill="auto" w:val="clear"/>
        </w:rPr>
        <w:t>address</w:t>
      </w:r>
      <w:r>
        <w:rPr>
          <w:color w:val="000000"/>
          <w:sz w:val="28"/>
          <w:szCs w:val="28"/>
          <w:shd w:fill="auto" w:val="clear"/>
        </w:rPr>
        <w:t>}</w:t>
      </w:r>
      <w:r>
        <w:rPr>
          <w:b w:val="false"/>
          <w:bCs w:val="false"/>
          <w:color w:val="000000"/>
          <w:sz w:val="28"/>
          <w:szCs w:val="28"/>
          <w:shd w:fill="auto" w:val="clear"/>
        </w:rPr>
        <w:t>}.</w:t>
      </w:r>
    </w:p>
    <w:p>
      <w:pPr>
        <w:pStyle w:val="ListParagraph"/>
        <w:numPr>
          <w:ilvl w:val="0"/>
          <w:numId w:val="2"/>
        </w:numPr>
        <w:tabs>
          <w:tab w:val="clear" w:pos="708"/>
          <w:tab w:val="left" w:pos="709" w:leader="none"/>
          <w:tab w:val="left" w:pos="1134" w:leader="none"/>
          <w:tab w:val="left" w:pos="1560" w:leader="none"/>
        </w:tabs>
        <w:spacing w:before="0" w:after="0"/>
        <w:contextualSpacing w:val="false"/>
        <w:jc w:val="both"/>
        <w:textAlignment w:val="top"/>
        <w:rPr>
          <w:sz w:val="28"/>
          <w:szCs w:val="28"/>
        </w:rPr>
      </w:pPr>
      <w:r>
        <w:rPr>
          <w:b/>
          <w:sz w:val="28"/>
          <w:szCs w:val="28"/>
        </w:rPr>
        <w:t>Период проведения дистанционного этапа сбора информации</w:t>
      </w:r>
      <w:r>
        <w:rPr>
          <w:sz w:val="28"/>
          <w:szCs w:val="28"/>
        </w:rPr>
        <w:t xml:space="preserve">: с </w:t>
      </w:r>
      <w:r>
        <w:rPr>
          <w:sz w:val="28"/>
          <w:szCs w:val="28"/>
          <w:shd w:fill="auto" w:val="clear"/>
        </w:rPr>
        <w:t>19.09.2022 по 10.11.2022</w:t>
      </w:r>
      <w:bookmarkStart w:id="0" w:name="_GoBack"/>
      <w:bookmarkEnd w:id="0"/>
      <w:r>
        <w:rPr>
          <w:sz w:val="28"/>
          <w:szCs w:val="28"/>
          <w:shd w:fill="auto" w:val="clear"/>
        </w:rPr>
        <w:t xml:space="preserve"> гг. </w:t>
      </w:r>
    </w:p>
    <w:p>
      <w:pPr>
        <w:pStyle w:val="ListParagraph"/>
        <w:numPr>
          <w:ilvl w:val="0"/>
          <w:numId w:val="2"/>
        </w:numPr>
        <w:tabs>
          <w:tab w:val="clear" w:pos="708"/>
          <w:tab w:val="left" w:pos="709" w:leader="none"/>
          <w:tab w:val="left" w:pos="1134" w:leader="none"/>
          <w:tab w:val="left" w:pos="1560" w:leader="none"/>
        </w:tabs>
        <w:jc w:val="both"/>
        <w:rPr>
          <w:highlight w:val="none"/>
          <w:shd w:fill="auto" w:val="clear"/>
        </w:rPr>
      </w:pPr>
      <w:r>
        <w:rPr>
          <w:b/>
          <w:sz w:val="28"/>
          <w:szCs w:val="28"/>
          <w:shd w:fill="auto" w:val="clear"/>
        </w:rPr>
        <w:t>Дата визита представителей организации-оператора в организацию</w:t>
      </w:r>
      <w:r>
        <w:rPr>
          <w:sz w:val="28"/>
          <w:szCs w:val="28"/>
          <w:shd w:fill="auto" w:val="clear"/>
        </w:rPr>
        <w:t>: {{date}} г.</w:t>
      </w:r>
    </w:p>
    <w:p>
      <w:pPr>
        <w:pStyle w:val="ListParagraph"/>
        <w:numPr>
          <w:ilvl w:val="0"/>
          <w:numId w:val="2"/>
        </w:numPr>
        <w:tabs>
          <w:tab w:val="clear" w:pos="708"/>
          <w:tab w:val="left" w:pos="709" w:leader="none"/>
          <w:tab w:val="left" w:pos="1134" w:leader="none"/>
          <w:tab w:val="left" w:pos="1560" w:leader="none"/>
        </w:tabs>
        <w:jc w:val="both"/>
        <w:rPr>
          <w:highlight w:val="none"/>
          <w:shd w:fill="auto" w:val="clear"/>
        </w:rPr>
      </w:pPr>
      <w:r>
        <w:rPr>
          <w:b/>
          <w:sz w:val="28"/>
          <w:szCs w:val="28"/>
          <w:shd w:fill="auto" w:val="clear"/>
        </w:rPr>
        <w:t xml:space="preserve">Численность респондентов в образовательной организации </w:t>
      </w:r>
      <w:r>
        <w:rPr>
          <w:sz w:val="28"/>
          <w:szCs w:val="28"/>
          <w:shd w:fill="auto" w:val="clear"/>
        </w:rPr>
        <w:t>: {{num_person}} чел.</w:t>
      </w:r>
    </w:p>
    <w:p>
      <w:pPr>
        <w:pStyle w:val="ListParagraph"/>
        <w:tabs>
          <w:tab w:val="clear" w:pos="708"/>
          <w:tab w:val="left" w:pos="709" w:leader="none"/>
          <w:tab w:val="left" w:pos="1134" w:leader="none"/>
          <w:tab w:val="left" w:pos="1560" w:leader="none"/>
        </w:tabs>
        <w:ind w:left="709" w:hanging="0"/>
        <w:jc w:val="both"/>
        <w:rPr>
          <w:sz w:val="28"/>
          <w:szCs w:val="28"/>
          <w:highlight w:val="none"/>
          <w:shd w:fill="auto" w:val="clear"/>
        </w:rPr>
      </w:pPr>
      <w:r>
        <w:rPr>
          <w:sz w:val="28"/>
          <w:szCs w:val="28"/>
          <w:shd w:fill="auto" w:val="clear"/>
        </w:rPr>
      </w:r>
    </w:p>
    <w:p>
      <w:pPr>
        <w:pStyle w:val="Normal"/>
        <w:ind w:firstLine="708"/>
        <w:jc w:val="both"/>
        <w:rPr>
          <w:color w:val="000000"/>
          <w:sz w:val="28"/>
          <w:szCs w:val="28"/>
        </w:rPr>
      </w:pPr>
      <w:r>
        <w:rPr>
          <w:b/>
          <w:sz w:val="28"/>
          <w:szCs w:val="28"/>
          <w:u w:val="single"/>
        </w:rPr>
        <w:t>Рекомендации членов внешних экспертных комиссий</w:t>
      </w:r>
      <w:r>
        <w:rPr>
          <w:sz w:val="28"/>
          <w:szCs w:val="28"/>
        </w:rPr>
        <w:t xml:space="preserve"> и респондентов по улучшению качества условий осуществления образовательной деятельности </w:t>
      </w:r>
      <w:r>
        <w:rPr>
          <w:color w:val="000000"/>
          <w:sz w:val="28"/>
          <w:szCs w:val="28"/>
          <w:shd w:fill="auto" w:val="clear"/>
        </w:rPr>
        <w:t>{{name}}</w:t>
      </w:r>
    </w:p>
    <w:p>
      <w:pPr>
        <w:pStyle w:val="Normal"/>
        <w:ind w:firstLine="708"/>
        <w:jc w:val="both"/>
        <w:rPr>
          <w:color w:val="000000"/>
          <w:sz w:val="28"/>
          <w:szCs w:val="28"/>
        </w:rPr>
      </w:pPr>
      <w:r>
        <w:rPr>
          <w:color w:val="000000"/>
          <w:sz w:val="28"/>
          <w:szCs w:val="28"/>
        </w:rPr>
      </w:r>
    </w:p>
    <w:tbl>
      <w:tblPr>
        <w:tblStyle w:val="a3"/>
        <w:tblW w:w="977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676"/>
        <w:gridCol w:w="7099"/>
      </w:tblGrid>
      <w:tr>
        <w:trPr/>
        <w:tc>
          <w:tcPr>
            <w:tcW w:w="2676" w:type="dxa"/>
            <w:tcBorders/>
            <w:shd w:color="auto" w:fill="DEEAF6" w:themeFill="accent1" w:themeFillTint="33" w:val="clear"/>
          </w:tcPr>
          <w:p>
            <w:pPr>
              <w:pStyle w:val="Normal"/>
              <w:widowControl w:val="false"/>
              <w:suppressAutoHyphens w:val="true"/>
              <w:spacing w:before="0" w:after="0"/>
              <w:jc w:val="both"/>
              <w:rPr>
                <w:sz w:val="24"/>
                <w:szCs w:val="24"/>
              </w:rPr>
            </w:pPr>
            <w:r>
              <w:rPr>
                <w:kern w:val="0"/>
                <w:sz w:val="24"/>
                <w:szCs w:val="24"/>
                <w:lang w:val="ru-RU" w:bidi="ar-SA"/>
              </w:rPr>
              <w:t>Критерий 1</w:t>
            </w:r>
          </w:p>
        </w:tc>
        <w:tc>
          <w:tcPr>
            <w:tcW w:w="7099" w:type="dxa"/>
            <w:tcBorders/>
            <w:shd w:color="auto" w:fill="DEEAF6" w:themeFill="accent1" w:themeFillTint="33" w:val="clear"/>
          </w:tcPr>
          <w:p>
            <w:pPr>
              <w:pStyle w:val="Normal"/>
              <w:widowControl w:val="false"/>
              <w:suppressAutoHyphens w:val="true"/>
              <w:spacing w:before="0" w:after="0"/>
              <w:jc w:val="center"/>
              <w:rPr>
                <w:kern w:val="0"/>
                <w:lang w:val="ru-RU" w:bidi="ar-SA"/>
              </w:rPr>
            </w:pPr>
            <w:r>
              <w:rPr>
                <w:kern w:val="0"/>
                <w:sz w:val="22"/>
                <w:lang w:val="ru-RU" w:bidi="ar-SA"/>
              </w:rPr>
              <w:t>Открытость и доступность информации об организации</w:t>
            </w:r>
          </w:p>
        </w:tc>
      </w:tr>
      <w:tr>
        <w:trPr/>
        <w:tc>
          <w:tcPr>
            <w:tcW w:w="2676" w:type="dxa"/>
            <w:tcBorders/>
            <w:shd w:color="auto" w:fill="auto" w:val="clear"/>
          </w:tcPr>
          <w:p>
            <w:pPr>
              <w:pStyle w:val="Normal"/>
              <w:widowControl w:val="false"/>
              <w:suppressAutoHyphens w:val="true"/>
              <w:spacing w:before="0" w:after="0"/>
              <w:jc w:val="both"/>
              <w:rPr>
                <w:i/>
                <w:i/>
                <w:iCs/>
              </w:rPr>
            </w:pPr>
            <w:r>
              <w:rPr>
                <w:i/>
                <w:iCs/>
                <w:kern w:val="0"/>
                <w:sz w:val="22"/>
                <w:lang w:val="ru-RU" w:bidi="ar-SA"/>
              </w:rPr>
              <w:t>Пок. 1.1.</w:t>
            </w:r>
          </w:p>
        </w:tc>
        <w:tc>
          <w:tcPr>
            <w:tcW w:w="7099" w:type="dxa"/>
            <w:tcBorders/>
            <w:shd w:color="auto" w:fill="auto" w:val="clear"/>
          </w:tcPr>
          <w:p>
            <w:pPr>
              <w:pStyle w:val="Normal"/>
              <w:widowControl w:val="false"/>
              <w:suppressAutoHyphens w:val="true"/>
              <w:spacing w:before="0" w:after="0"/>
              <w:jc w:val="both"/>
              <w:rPr>
                <w:sz w:val="24"/>
                <w:szCs w:val="24"/>
              </w:rPr>
            </w:pPr>
            <w:r>
              <w:rPr>
                <w:i/>
                <w:iCs/>
                <w:kern w:val="0"/>
                <w:sz w:val="24"/>
                <w:szCs w:val="24"/>
                <w:lang w:val="ru-RU" w:bidi="ar-SA"/>
              </w:rPr>
              <w:t>Соответствие информации о деятельности организации, размещенной на общедоступных информационных ресурсах, ее содержанию и порядку (форме) размещения, установленным нормативными правовыми актами</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t xml:space="preserve">на </w:t>
            </w:r>
            <w:r>
              <w:rPr>
                <w:kern w:val="0"/>
                <w:sz w:val="22"/>
                <w:u w:val="single"/>
                <w:lang w:val="ru-RU" w:bidi="ar-SA"/>
              </w:rPr>
              <w:t>информационных стендах</w:t>
            </w:r>
            <w:r>
              <w:rPr>
                <w:kern w:val="0"/>
                <w:sz w:val="22"/>
                <w:lang w:val="ru-RU" w:bidi="ar-SA"/>
              </w:rPr>
              <w:t xml:space="preserve"> в помещении организации</w:t>
            </w:r>
          </w:p>
        </w:tc>
        <w:tc>
          <w:tcPr>
            <w:tcW w:w="7099" w:type="dxa"/>
            <w:tcBorders/>
            <w:shd w:color="auto" w:fill="auto" w:val="clear"/>
          </w:tcPr>
          <w:p>
            <w:pPr>
              <w:pStyle w:val="ListParagraph"/>
              <w:widowControl w:val="false"/>
              <w:numPr>
                <w:ilvl w:val="0"/>
                <w:numId w:val="4"/>
              </w:numPr>
              <w:suppressAutoHyphens w:val="true"/>
              <w:bidi w:val="0"/>
              <w:spacing w:lineRule="auto" w:line="240" w:before="0" w:after="0"/>
              <w:ind w:left="57" w:right="0" w:hanging="0"/>
              <w:contextualSpacing/>
              <w:jc w:val="both"/>
              <w:rPr>
                <w:sz w:val="24"/>
                <w:szCs w:val="24"/>
              </w:rPr>
            </w:pPr>
            <w:r>
              <w:rPr>
                <w:kern w:val="0"/>
                <w:sz w:val="24"/>
                <w:szCs w:val="24"/>
                <w:lang w:val="ru-RU" w:bidi="ar-SA"/>
              </w:rPr>
              <w:t>Систематизировать информацию на стенах в образовательной организации: организовать единый стенд в предусмотренным законодательно перечнем информации в фойе организации.</w:t>
            </w:r>
          </w:p>
          <w:p>
            <w:pPr>
              <w:pStyle w:val="ListParagraph"/>
              <w:widowControl w:val="false"/>
              <w:numPr>
                <w:ilvl w:val="0"/>
                <w:numId w:val="4"/>
              </w:numPr>
              <w:suppressAutoHyphens w:val="true"/>
              <w:bidi w:val="0"/>
              <w:spacing w:lineRule="auto" w:line="240" w:before="0" w:after="0"/>
              <w:ind w:left="57" w:right="0" w:hanging="0"/>
              <w:contextualSpacing/>
              <w:jc w:val="both"/>
              <w:rPr>
                <w:sz w:val="24"/>
                <w:szCs w:val="24"/>
              </w:rPr>
            </w:pPr>
            <w:r>
              <w:rPr>
                <w:kern w:val="0"/>
                <w:sz w:val="24"/>
                <w:szCs w:val="24"/>
                <w:lang w:val="ru-RU" w:bidi="ar-SA"/>
              </w:rPr>
              <w:t>Обеспечить наличие на стендах в образовательной организации недостающей информации согласно нулевым значениям в приложении к настоящему отчету.</w:t>
            </w:r>
          </w:p>
          <w:p>
            <w:pPr>
              <w:pStyle w:val="ListParagraph"/>
              <w:widowControl w:val="false"/>
              <w:numPr>
                <w:ilvl w:val="0"/>
                <w:numId w:val="4"/>
              </w:numPr>
              <w:suppressAutoHyphens w:val="true"/>
              <w:bidi w:val="0"/>
              <w:spacing w:lineRule="auto" w:line="240" w:before="0" w:after="0"/>
              <w:ind w:left="57" w:right="0" w:hanging="0"/>
              <w:contextualSpacing/>
              <w:jc w:val="both"/>
              <w:rPr>
                <w:sz w:val="24"/>
                <w:szCs w:val="24"/>
              </w:rPr>
            </w:pPr>
            <w:r>
              <w:rPr>
                <w:kern w:val="0"/>
                <w:sz w:val="24"/>
                <w:szCs w:val="24"/>
                <w:lang w:val="ru-RU" w:bidi="ar-SA"/>
              </w:rPr>
              <w:t>Дополнить информацию на стендах следующими данными:______(заполняется обязательно в случае, если на стенде отсутствуют некоторые единицы информации по одному пункту)</w:t>
            </w:r>
          </w:p>
          <w:p>
            <w:pPr>
              <w:pStyle w:val="ListParagraph"/>
              <w:widowControl w:val="false"/>
              <w:numPr>
                <w:ilvl w:val="0"/>
                <w:numId w:val="4"/>
              </w:numPr>
              <w:suppressAutoHyphens w:val="true"/>
              <w:bidi w:val="0"/>
              <w:spacing w:lineRule="auto" w:line="240" w:before="0" w:after="0"/>
              <w:ind w:left="57" w:right="0" w:hanging="0"/>
              <w:contextualSpacing/>
              <w:jc w:val="both"/>
              <w:rPr>
                <w:sz w:val="24"/>
                <w:szCs w:val="24"/>
              </w:rPr>
            </w:pPr>
            <w:r>
              <w:rPr>
                <w:kern w:val="0"/>
                <w:sz w:val="24"/>
                <w:szCs w:val="24"/>
                <w:lang w:val="ru-RU" w:bidi="ar-SA"/>
              </w:rPr>
              <w:t>Обеспечить открытость и доступность информации о деятельности образовательной организации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порядок оформления возникновения, приостановления и прекращения отношений между образовательной организацией и родителями (законными представителями) несовершеннолетних обучающихся: копии внутренних локальных нормативно-правовых актов разместить в перекидном диспенсере или отдельной папке, которые должны быть расположены в фойе в открытом и доступном для сторон образовательного процесса месте.</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t xml:space="preserve">на </w:t>
            </w:r>
            <w:r>
              <w:rPr>
                <w:kern w:val="0"/>
                <w:sz w:val="22"/>
                <w:u w:val="single"/>
                <w:lang w:val="ru-RU" w:bidi="ar-SA"/>
              </w:rPr>
              <w:t>официальном сайте</w:t>
            </w:r>
            <w:r>
              <w:rPr>
                <w:kern w:val="0"/>
                <w:sz w:val="22"/>
                <w:lang w:val="ru-RU" w:bidi="ar-SA"/>
              </w:rPr>
              <w:t xml:space="preserve"> организации в информационно-телекоммуникационной сети "Интернет"</w:t>
            </w:r>
          </w:p>
        </w:tc>
        <w:tc>
          <w:tcPr>
            <w:tcW w:w="7099" w:type="dxa"/>
            <w:tcBorders/>
            <w:shd w:color="auto" w:fill="auto" w:val="clear"/>
          </w:tcPr>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работоспособность сайта образовательной организации.</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Систематизировать и структурировать информацию на сайте образовательной организации в соответствии с Приказом Федеральной службы по надзору в сфере образования и науки РФ от 14 августа 2020 г. № 831 "Об утверждении Требований к структуре официального сайта образовательной организации в информационно-телекоммуникационной сети "Интернет" и формату представления информации".</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на сайте образовательной организации недостающей информации согласно нулевым значениям в приложении к настоящему отчету.</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Дополнить информацию в соответствующих разделах сайта следующими данными:______(заполняется обязательно в случае, если на сайте отсутствуют некоторые единицы информации по одному пункту).</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Систематически обновлять информацию на сайте образовательной организации об имеющихся вакансиях для приема/перевода получателей услуг, информацию персональном составе педагогических работниках, включая сведения о повышении квалификации (профессиональной переподготовке).</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Систематически актуализировать информацию о повышении квалификации педагогических работников (с указанием наименования курса повышения квалификации, объема часов, даты выдачи удостоверения о повышении квалификации) на сайте образовательной организации.</w:t>
            </w:r>
          </w:p>
          <w:p>
            <w:pPr>
              <w:pStyle w:val="ListParagraph"/>
              <w:widowControl w:val="false"/>
              <w:numPr>
                <w:ilvl w:val="0"/>
                <w:numId w:val="5"/>
              </w:numPr>
              <w:suppressAutoHyphens w:val="true"/>
              <w:bidi w:val="0"/>
              <w:spacing w:lineRule="auto" w:line="240" w:before="0" w:after="0"/>
              <w:ind w:left="0" w:right="0" w:hanging="0"/>
              <w:contextualSpacing/>
              <w:jc w:val="both"/>
              <w:rPr>
                <w:sz w:val="24"/>
                <w:szCs w:val="24"/>
              </w:rPr>
            </w:pPr>
            <w:r>
              <w:rPr>
                <w:kern w:val="0"/>
                <w:sz w:val="24"/>
                <w:szCs w:val="24"/>
                <w:lang w:val="ru-RU" w:bidi="ar-SA"/>
              </w:rPr>
              <w:t>Актуализировать на сайте образовательной организации следующую информацию:____ (заполняется обязательно в случае, если на сайте размещена устаревшая информация (например отчет о самообследовании за 2018 год…вместо отчетов за 2019,2020 годы), информация об учебных планах, информация о государственном/муниципальном задании, информация о численности обучающихся, информация о плане фин.-хозяйственной деятельности и т.п.).</w:t>
            </w:r>
          </w:p>
        </w:tc>
      </w:tr>
      <w:tr>
        <w:trPr/>
        <w:tc>
          <w:tcPr>
            <w:tcW w:w="2676" w:type="dxa"/>
            <w:tcBorders/>
            <w:shd w:color="auto" w:fill="auto" w:val="clear"/>
          </w:tcPr>
          <w:p>
            <w:pPr>
              <w:pStyle w:val="Normal"/>
              <w:widowControl w:val="false"/>
              <w:suppressAutoHyphens w:val="true"/>
              <w:spacing w:before="0" w:after="0"/>
              <w:jc w:val="both"/>
              <w:rPr>
                <w:i/>
                <w:i/>
                <w:iCs/>
              </w:rPr>
            </w:pPr>
            <w:r>
              <w:rPr>
                <w:i/>
                <w:iCs/>
                <w:kern w:val="0"/>
                <w:sz w:val="22"/>
                <w:lang w:val="ru-RU" w:bidi="ar-SA"/>
              </w:rPr>
              <w:t>Пок. 1.2.</w:t>
            </w:r>
          </w:p>
        </w:tc>
        <w:tc>
          <w:tcPr>
            <w:tcW w:w="7099" w:type="dxa"/>
            <w:tcBorders/>
            <w:shd w:color="auto" w:fill="auto" w:val="clear"/>
          </w:tcPr>
          <w:p>
            <w:pPr>
              <w:pStyle w:val="ListParagraph"/>
              <w:widowControl w:val="false"/>
              <w:suppressAutoHyphens w:val="true"/>
              <w:spacing w:before="0" w:after="0"/>
              <w:ind w:left="69" w:hanging="0"/>
              <w:contextualSpacing/>
              <w:jc w:val="both"/>
              <w:rPr>
                <w:sz w:val="24"/>
                <w:szCs w:val="24"/>
              </w:rPr>
            </w:pPr>
            <w:r>
              <w:rPr>
                <w:i/>
                <w:iCs/>
                <w:kern w:val="0"/>
                <w:sz w:val="24"/>
                <w:szCs w:val="24"/>
                <w:lang w:val="ru-RU" w:bidi="ar-SA"/>
              </w:rPr>
              <w:t>Обеспечение на официальном сайте организации наличия и функционирования дистанционных способов обратной связи и взаимодействия с получателями услуг</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ListParagraph"/>
              <w:widowControl w:val="false"/>
              <w:numPr>
                <w:ilvl w:val="0"/>
                <w:numId w:val="6"/>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и работоспособность раздела «Часто задаваемые вопросы» на сайте образовательной организации</w:t>
            </w:r>
          </w:p>
          <w:p>
            <w:pPr>
              <w:pStyle w:val="ListParagraph"/>
              <w:widowControl w:val="false"/>
              <w:numPr>
                <w:ilvl w:val="0"/>
                <w:numId w:val="6"/>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 сайте образовательной организации сведений о телефоне и адресе электронной почты образовательной организации.</w:t>
            </w:r>
          </w:p>
          <w:p>
            <w:pPr>
              <w:pStyle w:val="ListParagraph"/>
              <w:widowControl w:val="false"/>
              <w:numPr>
                <w:ilvl w:val="0"/>
                <w:numId w:val="6"/>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и работоспособность формы для подачи электронных обращений/жалобы/предложений на сайте образовательной организации посредством организации доставки сообщений на специально предусмотренную электронную почту организации.</w:t>
            </w:r>
          </w:p>
          <w:p>
            <w:pPr>
              <w:pStyle w:val="ListParagraph"/>
              <w:widowControl w:val="false"/>
              <w:numPr>
                <w:ilvl w:val="0"/>
                <w:numId w:val="6"/>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технической возможности выражения участниками образовательных отношений мнения о качестве условий оказания услуг посредством размещения на сайте организации анкеты для опроса граждан или гиперссылки на нее.</w:t>
            </w:r>
          </w:p>
        </w:tc>
      </w:tr>
      <w:tr>
        <w:trPr/>
        <w:tc>
          <w:tcPr>
            <w:tcW w:w="2676" w:type="dxa"/>
            <w:tcBorders/>
            <w:shd w:color="auto" w:fill="auto" w:val="clear"/>
          </w:tcPr>
          <w:p>
            <w:pPr>
              <w:pStyle w:val="Normal"/>
              <w:widowControl w:val="false"/>
              <w:suppressAutoHyphens w:val="true"/>
              <w:spacing w:before="0" w:after="0"/>
              <w:jc w:val="both"/>
              <w:rPr>
                <w:i/>
                <w:i/>
                <w:iCs/>
              </w:rPr>
            </w:pPr>
            <w:r>
              <w:rPr>
                <w:i/>
                <w:iCs/>
                <w:kern w:val="0"/>
                <w:sz w:val="22"/>
                <w:lang w:val="ru-RU" w:bidi="ar-SA"/>
              </w:rPr>
              <w:t>Пок. 1.3.</w:t>
            </w:r>
          </w:p>
        </w:tc>
        <w:tc>
          <w:tcPr>
            <w:tcW w:w="7099" w:type="dxa"/>
            <w:tcBorders/>
            <w:shd w:color="auto" w:fill="auto" w:val="clear"/>
          </w:tcPr>
          <w:p>
            <w:pPr>
              <w:pStyle w:val="Normal"/>
              <w:widowControl w:val="false"/>
              <w:suppressAutoHyphens w:val="true"/>
              <w:spacing w:before="0" w:after="0"/>
              <w:jc w:val="both"/>
              <w:rPr>
                <w:sz w:val="24"/>
                <w:szCs w:val="24"/>
              </w:rPr>
            </w:pPr>
            <w:r>
              <w:rPr>
                <w:i/>
                <w:iCs/>
                <w:kern w:val="0"/>
                <w:sz w:val="24"/>
                <w:szCs w:val="24"/>
                <w:lang w:val="ru-RU" w:bidi="ar-SA"/>
              </w:rPr>
              <w:t>Удовлетворенность получателей услуг открытостью и доступностью информации об образовательной организации</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Систематически проводить работу с получателями услуг/законными представителями о возможности получения интересующей информации на сайте образовательной организации.</w:t>
            </w:r>
          </w:p>
          <w:p>
            <w:pPr>
              <w:pStyle w:val="Normal"/>
              <w:widowControl w:val="false"/>
              <w:suppressAutoHyphens w:val="true"/>
              <w:spacing w:before="0" w:after="0"/>
              <w:jc w:val="both"/>
              <w:rPr>
                <w:sz w:val="24"/>
                <w:szCs w:val="24"/>
              </w:rPr>
            </w:pPr>
            <w:r>
              <w:rPr>
                <w:kern w:val="0"/>
                <w:sz w:val="24"/>
                <w:szCs w:val="24"/>
                <w:u w:val="single"/>
                <w:lang w:val="ru-RU" w:bidi="ar-SA"/>
              </w:rPr>
              <w:t>Рекомендации респондентов:</w:t>
            </w:r>
          </w:p>
          <w:p>
            <w:pPr>
              <w:pStyle w:val="ListParagraph"/>
              <w:widowControl w:val="false"/>
              <w:numPr>
                <w:ilvl w:val="0"/>
                <w:numId w:val="9"/>
              </w:numPr>
              <w:suppressAutoHyphens w:val="true"/>
              <w:bidi w:val="0"/>
              <w:spacing w:lineRule="auto" w:line="240" w:before="0" w:after="0"/>
              <w:ind w:left="0" w:right="0" w:hanging="0"/>
              <w:contextualSpacing/>
              <w:jc w:val="both"/>
              <w:rPr>
                <w:sz w:val="24"/>
                <w:szCs w:val="24"/>
              </w:rPr>
            </w:pPr>
            <w:r>
              <w:rPr>
                <w:sz w:val="24"/>
                <w:szCs w:val="24"/>
                <w:u w:val="none"/>
              </w:rPr>
              <w:t xml:space="preserve">Довести до уровня 100% </w:t>
            </w:r>
            <w:r>
              <w:rPr>
                <w:rFonts w:eastAsia="Times New Roman" w:cs="Times New Roman"/>
                <w:color w:val="auto"/>
                <w:kern w:val="0"/>
                <w:sz w:val="24"/>
                <w:szCs w:val="24"/>
                <w:u w:val="none"/>
                <w:lang w:val="ru-RU" w:eastAsia="ru-RU" w:bidi="ar-SA"/>
              </w:rPr>
              <w:t>д</w:t>
            </w:r>
            <w:r>
              <w:rPr>
                <w:sz w:val="24"/>
                <w:szCs w:val="24"/>
                <w:u w:val="none"/>
              </w:rPr>
              <w:t>ол</w:t>
            </w:r>
            <w:r>
              <w:rPr>
                <w:rFonts w:eastAsia="Times New Roman" w:cs="Times New Roman"/>
                <w:color w:val="auto"/>
                <w:kern w:val="0"/>
                <w:sz w:val="24"/>
                <w:szCs w:val="24"/>
                <w:u w:val="none"/>
                <w:lang w:val="ru-RU" w:eastAsia="ru-RU" w:bidi="ar-SA"/>
              </w:rPr>
              <w:t>ю</w:t>
            </w:r>
            <w:r>
              <w:rPr>
                <w:sz w:val="24"/>
                <w:szCs w:val="24"/>
                <w:u w:val="none"/>
              </w:rPr>
              <w:t xml:space="preserve"> получателей услуг, удовлетворенных открытостью, полнотой и доступностью информации о деятельности организации.</w:t>
            </w:r>
          </w:p>
          <w:p>
            <w:pPr>
              <w:pStyle w:val="ListParagraph"/>
              <w:widowControl w:val="false"/>
              <w:numPr>
                <w:ilvl w:val="0"/>
                <w:numId w:val="9"/>
              </w:numPr>
              <w:suppressAutoHyphens w:val="true"/>
              <w:bidi w:val="0"/>
              <w:spacing w:lineRule="auto" w:line="240" w:before="0" w:after="0"/>
              <w:ind w:left="0" w:right="0" w:hanging="0"/>
              <w:contextualSpacing/>
              <w:jc w:val="both"/>
              <w:rPr>
                <w:sz w:val="24"/>
                <w:szCs w:val="24"/>
              </w:rPr>
            </w:pPr>
            <w:r>
              <w:rPr>
                <w:sz w:val="24"/>
                <w:szCs w:val="24"/>
                <w:u w:val="none"/>
              </w:rPr>
              <w:t>Систематически проводить работу с получателями услуг/законными представителями о возможности получения интересующей информации на сайте организации.</w:t>
            </w:r>
          </w:p>
          <w:p>
            <w:pPr>
              <w:pStyle w:val="ListParagraph"/>
              <w:widowControl w:val="false"/>
              <w:numPr>
                <w:ilvl w:val="0"/>
                <w:numId w:val="9"/>
              </w:numPr>
              <w:suppressAutoHyphens w:val="true"/>
              <w:bidi w:val="0"/>
              <w:spacing w:lineRule="auto" w:line="240" w:before="0" w:after="0"/>
              <w:ind w:left="0" w:right="0" w:hanging="0"/>
              <w:contextualSpacing/>
              <w:jc w:val="both"/>
              <w:rPr>
                <w:sz w:val="24"/>
                <w:szCs w:val="24"/>
              </w:rPr>
            </w:pPr>
            <w:r>
              <w:rPr>
                <w:kern w:val="0"/>
                <w:sz w:val="24"/>
                <w:szCs w:val="24"/>
                <w:u w:val="none"/>
                <w:lang w:val="ru-RU" w:bidi="ar-SA"/>
              </w:rPr>
              <w:t>Проводить с получателями услуг мероприятия по популяризации сайта организации и дистанционных форм взаимодействия с получателями услуг.</w:t>
            </w:r>
          </w:p>
        </w:tc>
      </w:tr>
      <w:tr>
        <w:trPr/>
        <w:tc>
          <w:tcPr>
            <w:tcW w:w="2676"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Критерий 2</w:t>
            </w:r>
          </w:p>
        </w:tc>
        <w:tc>
          <w:tcPr>
            <w:tcW w:w="7099"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Комфортность условий предоставления услуг</w:t>
            </w:r>
          </w:p>
        </w:tc>
      </w:tr>
      <w:tr>
        <w:trPr/>
        <w:tc>
          <w:tcPr>
            <w:tcW w:w="2676" w:type="dxa"/>
            <w:tcBorders/>
            <w:shd w:color="auto" w:fill="auto" w:val="clear"/>
          </w:tcPr>
          <w:p>
            <w:pPr>
              <w:pStyle w:val="Normal"/>
              <w:widowControl w:val="false"/>
              <w:suppressAutoHyphens w:val="true"/>
              <w:spacing w:before="0" w:after="0"/>
              <w:jc w:val="both"/>
              <w:rPr>
                <w:i/>
                <w:i/>
                <w:iCs/>
              </w:rPr>
            </w:pPr>
            <w:r>
              <w:rPr>
                <w:i/>
                <w:iCs/>
                <w:kern w:val="0"/>
                <w:sz w:val="22"/>
                <w:lang w:val="ru-RU" w:bidi="ar-SA"/>
              </w:rPr>
              <w:t>Пок. 2.1.</w:t>
            </w:r>
          </w:p>
        </w:tc>
        <w:tc>
          <w:tcPr>
            <w:tcW w:w="7099" w:type="dxa"/>
            <w:tcBorders/>
            <w:shd w:color="auto" w:fill="auto" w:val="clear"/>
          </w:tcPr>
          <w:p>
            <w:pPr>
              <w:pStyle w:val="Normal"/>
              <w:widowControl w:val="false"/>
              <w:suppressAutoHyphens w:val="true"/>
              <w:spacing w:before="0" w:after="0"/>
              <w:jc w:val="both"/>
              <w:rPr>
                <w:sz w:val="24"/>
                <w:szCs w:val="24"/>
              </w:rPr>
            </w:pPr>
            <w:r>
              <w:rPr>
                <w:i/>
                <w:iCs/>
                <w:kern w:val="0"/>
                <w:sz w:val="24"/>
                <w:szCs w:val="24"/>
                <w:lang w:val="ru-RU" w:bidi="ar-SA"/>
              </w:rPr>
              <w:t>Обеспечение в организации комфортных условий для предоставления образовательных услуг</w:t>
            </w:r>
          </w:p>
        </w:tc>
      </w:tr>
      <w:tr>
        <w:trPr/>
        <w:tc>
          <w:tcPr>
            <w:tcW w:w="2676" w:type="dxa"/>
            <w:vMerge w:val="restart"/>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Оснастить зону отдыха/ожидания соответствующей мебелью (стулья или модульные ряды стульев с мягкой обивкой, пуфы, столы, диваны, скамейки и т.п.)</w:t>
            </w:r>
          </w:p>
        </w:tc>
      </w:tr>
      <w:tr>
        <w:trPr/>
        <w:tc>
          <w:tcPr>
            <w:tcW w:w="2676" w:type="dxa"/>
            <w:vMerge w:val="continue"/>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Разместить навигационные указатели в фойе образовательной организации с указанием структурных подразделений, кабинетов, этажности)</w:t>
            </w:r>
          </w:p>
        </w:tc>
      </w:tr>
      <w:tr>
        <w:trPr/>
        <w:tc>
          <w:tcPr>
            <w:tcW w:w="2676" w:type="dxa"/>
            <w:vMerge w:val="continue"/>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Обеспечить наличие и доступность питьевой воды в образовательной организации: установить кулеры с одноразовыми стаканами на этажах образовательной организации, разместить графины с водой и одноразовыми стаканами, утвердить график обновления воды в питьевых емкостях/резервуарах, обеспечить наличие одноразовых стаканов для кулеров с питьевой водой (выбрать одну или несколько расшифровок рекомендации)</w:t>
            </w:r>
          </w:p>
        </w:tc>
      </w:tr>
      <w:tr>
        <w:trPr/>
        <w:tc>
          <w:tcPr>
            <w:tcW w:w="2676" w:type="dxa"/>
            <w:vMerge w:val="continue"/>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Обеспечить специальные обозначения санитарно-гигиенических помещений, размещенные на дверях данных помещений</w:t>
            </w:r>
          </w:p>
          <w:p>
            <w:pPr>
              <w:pStyle w:val="Normal"/>
              <w:widowControl w:val="false"/>
              <w:suppressAutoHyphens w:val="true"/>
              <w:spacing w:before="0" w:after="0"/>
              <w:jc w:val="both"/>
              <w:rPr>
                <w:sz w:val="24"/>
                <w:szCs w:val="24"/>
              </w:rPr>
            </w:pPr>
            <w:r>
              <w:rPr>
                <w:kern w:val="0"/>
                <w:sz w:val="24"/>
                <w:szCs w:val="24"/>
                <w:lang w:val="ru-RU" w:bidi="ar-SA"/>
              </w:rPr>
              <w:t>Обеспечить наличие мыла и бумажных полотенец и санитарно-гигиенических помещениях</w:t>
            </w:r>
          </w:p>
          <w:p>
            <w:pPr>
              <w:pStyle w:val="Normal"/>
              <w:widowControl w:val="false"/>
              <w:suppressAutoHyphens w:val="true"/>
              <w:spacing w:before="0" w:after="0"/>
              <w:jc w:val="both"/>
              <w:rPr>
                <w:sz w:val="24"/>
                <w:szCs w:val="24"/>
              </w:rPr>
            </w:pPr>
            <w:r>
              <w:rPr>
                <w:kern w:val="0"/>
                <w:sz w:val="24"/>
                <w:szCs w:val="24"/>
                <w:lang w:val="ru-RU" w:bidi="ar-SA"/>
              </w:rPr>
              <w:t>Обеспечить наличие воды, мыла и бумажных полотенец и санитарно-гигиенических помещениях (только для приспособленных зданий)</w:t>
            </w:r>
          </w:p>
          <w:p>
            <w:pPr>
              <w:pStyle w:val="Normal"/>
              <w:widowControl w:val="false"/>
              <w:suppressAutoHyphens w:val="true"/>
              <w:spacing w:before="0" w:after="0"/>
              <w:jc w:val="both"/>
              <w:rPr>
                <w:sz w:val="24"/>
                <w:szCs w:val="24"/>
              </w:rPr>
            </w:pPr>
            <w:r>
              <w:rPr>
                <w:kern w:val="0"/>
                <w:sz w:val="24"/>
                <w:szCs w:val="24"/>
                <w:lang w:val="ru-RU" w:bidi="ar-SA"/>
              </w:rPr>
              <w:t>Рассмотреть возможность оборудования санитарно-гигиенического помещения внутри образовательной организации</w:t>
            </w:r>
          </w:p>
        </w:tc>
      </w:tr>
      <w:tr>
        <w:trPr/>
        <w:tc>
          <w:tcPr>
            <w:tcW w:w="2676" w:type="dxa"/>
            <w:vMerge w:val="continue"/>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Улучшить санитарное состояние образовательной организации: систематически осуществлять уборку прилегающей территории, входных групп, фойе и санузлов образовательной организации. Обеспечивать регулярное проветривание санитарно-гигиенических помещений.</w:t>
            </w:r>
          </w:p>
        </w:tc>
      </w:tr>
      <w:tr>
        <w:trPr/>
        <w:tc>
          <w:tcPr>
            <w:tcW w:w="2676" w:type="dxa"/>
            <w:tcBorders/>
            <w:shd w:color="auto" w:fill="auto" w:val="clear"/>
          </w:tcPr>
          <w:p>
            <w:pPr>
              <w:pStyle w:val="Normal"/>
              <w:widowControl w:val="false"/>
              <w:suppressAutoHyphens w:val="true"/>
              <w:spacing w:before="0" w:after="0"/>
              <w:jc w:val="both"/>
              <w:rPr>
                <w:i/>
                <w:i/>
                <w:iCs/>
              </w:rPr>
            </w:pPr>
            <w:r>
              <w:rPr>
                <w:i/>
                <w:iCs/>
                <w:kern w:val="0"/>
                <w:sz w:val="22"/>
                <w:lang w:val="ru-RU" w:bidi="ar-SA"/>
              </w:rPr>
              <w:t>Пок. 2.3.</w:t>
            </w:r>
          </w:p>
        </w:tc>
        <w:tc>
          <w:tcPr>
            <w:tcW w:w="7099" w:type="dxa"/>
            <w:tcBorders/>
            <w:shd w:color="auto" w:fill="auto" w:val="clear"/>
          </w:tcPr>
          <w:p>
            <w:pPr>
              <w:pStyle w:val="Normal"/>
              <w:widowControl w:val="false"/>
              <w:suppressAutoHyphens w:val="true"/>
              <w:spacing w:before="0" w:after="0"/>
              <w:jc w:val="both"/>
              <w:rPr>
                <w:sz w:val="24"/>
                <w:szCs w:val="24"/>
              </w:rPr>
            </w:pPr>
            <w:r>
              <w:rPr>
                <w:i/>
                <w:iCs/>
                <w:kern w:val="0"/>
                <w:sz w:val="24"/>
                <w:szCs w:val="24"/>
                <w:lang w:val="ru-RU" w:bidi="ar-SA"/>
              </w:rPr>
              <w:t>Удовлетворенность комфортностью условий предоставления услуг</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u w:val="single"/>
                <w:lang w:val="ru-RU" w:eastAsia="ru-RU" w:bidi="ar-SA"/>
              </w:rPr>
              <w:t>Рекомендации респондентов:</w:t>
            </w:r>
          </w:p>
          <w:p>
            <w:pPr>
              <w:pStyle w:val="Normal"/>
              <w:widowControl w:val="false"/>
              <w:suppressAutoHyphens w:val="true"/>
              <w:spacing w:before="0" w:after="0"/>
              <w:jc w:val="both"/>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lang w:val="ru-RU" w:eastAsia="ru-RU" w:bidi="ar-SA"/>
              </w:rPr>
              <w:t>Рекомендации отсутствуют</w:t>
            </w:r>
          </w:p>
        </w:tc>
      </w:tr>
      <w:tr>
        <w:trPr/>
        <w:tc>
          <w:tcPr>
            <w:tcW w:w="2676"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Критерий 3</w:t>
            </w:r>
          </w:p>
        </w:tc>
        <w:tc>
          <w:tcPr>
            <w:tcW w:w="7099"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Доступность услуг для инвалидов</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t>Пок. 3.1.</w:t>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Оборудование территории, прилегающей к организации, и ее помещений с учетом доступности для инвалидов</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ListParagraph"/>
              <w:widowControl w:val="false"/>
              <w:numPr>
                <w:ilvl w:val="0"/>
                <w:numId w:val="7"/>
              </w:numPr>
              <w:suppressAutoHyphens w:val="true"/>
              <w:spacing w:before="0" w:after="0"/>
              <w:ind w:left="0" w:right="0" w:hanging="0"/>
              <w:contextualSpacing/>
              <w:jc w:val="both"/>
              <w:rPr>
                <w:sz w:val="24"/>
                <w:szCs w:val="24"/>
              </w:rPr>
            </w:pPr>
            <w:r>
              <w:rPr>
                <w:kern w:val="0"/>
                <w:sz w:val="24"/>
                <w:szCs w:val="24"/>
                <w:lang w:val="ru-RU" w:bidi="ar-SA"/>
              </w:rPr>
              <w:t>Обеспечить оборудование входных групп пандусами/мобильными пандусами, противоскользящим покрытием.</w:t>
            </w:r>
          </w:p>
          <w:p>
            <w:pPr>
              <w:pStyle w:val="ListParagraph"/>
              <w:widowControl w:val="false"/>
              <w:numPr>
                <w:ilvl w:val="0"/>
                <w:numId w:val="7"/>
              </w:numPr>
              <w:suppressAutoHyphens w:val="true"/>
              <w:spacing w:before="0" w:after="0"/>
              <w:ind w:left="0" w:right="0" w:hanging="0"/>
              <w:contextualSpacing/>
              <w:jc w:val="both"/>
              <w:rPr>
                <w:sz w:val="24"/>
                <w:szCs w:val="24"/>
              </w:rPr>
            </w:pPr>
            <w:r>
              <w:rPr>
                <w:kern w:val="0"/>
                <w:sz w:val="24"/>
                <w:szCs w:val="24"/>
                <w:lang w:val="ru-RU" w:bidi="ar-SA"/>
              </w:rPr>
              <w:t>Обеспечить наличие и функционирование специализированных кнопок вызова персонала образовательной организации.</w:t>
            </w:r>
          </w:p>
          <w:p>
            <w:pPr>
              <w:pStyle w:val="ListParagraph"/>
              <w:widowControl w:val="false"/>
              <w:numPr>
                <w:ilvl w:val="0"/>
                <w:numId w:val="7"/>
              </w:numPr>
              <w:suppressAutoHyphens w:val="true"/>
              <w:spacing w:before="0" w:after="0"/>
              <w:ind w:left="0" w:right="0" w:hanging="0"/>
              <w:contextualSpacing/>
              <w:jc w:val="both"/>
              <w:rPr>
                <w:sz w:val="24"/>
                <w:szCs w:val="24"/>
              </w:rPr>
            </w:pPr>
            <w:r>
              <w:rPr>
                <w:kern w:val="0"/>
                <w:sz w:val="24"/>
                <w:szCs w:val="24"/>
                <w:lang w:val="ru-RU" w:bidi="ar-SA"/>
              </w:rPr>
              <w:t>Обеспечить наличие выделенных стоянок для автотранспортных средств инвалидов:</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 нанести соответствующую разметку на дорожное покрытие стоянки</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 разместить соответствующий знак стоянки для инвалидов</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 обеспечить свободное место стоянки для автотранспортных средств инвалидов на постоянной основе</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3.  Обеспечить наличие специализированных поручней на входной группе, в фойе и коридорах образовательной организации.</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4. Обеспечить наличие и доступность сменных кресел-колясок.</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5. Обеспечить наличие с доступность специально оборудованных санитарно-гигиенических помещений:</w:t>
            </w:r>
          </w:p>
          <w:p>
            <w:pPr>
              <w:pStyle w:val="ListParagraph"/>
              <w:widowControl w:val="false"/>
              <w:suppressAutoHyphens w:val="true"/>
              <w:spacing w:before="0" w:after="0"/>
              <w:ind w:left="0" w:right="0" w:hanging="0"/>
              <w:contextualSpacing/>
              <w:jc w:val="both"/>
              <w:rPr>
                <w:sz w:val="24"/>
                <w:szCs w:val="24"/>
              </w:rPr>
            </w:pPr>
            <w:r>
              <w:rPr>
                <w:kern w:val="0"/>
                <w:sz w:val="24"/>
                <w:szCs w:val="24"/>
                <w:lang w:val="ru-RU" w:bidi="ar-SA"/>
              </w:rPr>
              <w:t>- оснастить санузлы и уборные специализированными опорными поручнями, кнопками вызова персонала образовательной организации, специализированными крючками для размещения опорных приспособлений  (тростей, костылей)</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t>Пок. 3.2.</w:t>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Обеспечение в образовательной организации условий доступности, позволяющих инвалидам получать образовательные услуги</w:t>
            </w:r>
          </w:p>
          <w:p>
            <w:pPr>
              <w:pStyle w:val="Normal"/>
              <w:widowControl w:val="false"/>
              <w:suppressAutoHyphens w:val="true"/>
              <w:spacing w:before="0" w:after="0"/>
              <w:jc w:val="both"/>
              <w:rPr>
                <w:sz w:val="24"/>
                <w:szCs w:val="24"/>
              </w:rPr>
            </w:pPr>
            <w:r>
              <w:rPr>
                <w:kern w:val="0"/>
                <w:sz w:val="24"/>
                <w:szCs w:val="24"/>
                <w:lang w:val="ru-RU" w:bidi="ar-SA"/>
              </w:rPr>
              <w:t>наравне с другими</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аппаратное дублирование для инвалидов по слуху и зрению звуковой и зрительной информации (индукционные петли, речевые информаторы и маяки, текстовое табло для дублирования звуковой информации, пиктограммы, тактильные схемы)</w:t>
            </w:r>
          </w:p>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дублирование надписей, знаков и иной текстовой и графической информации, выполненными рельефно-точечным шрифтом Брайля</w:t>
            </w:r>
          </w:p>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возможность предоставления инвалидам по слуху и зрению услуг сурдопереводчиков (тифлосурдопереводчиков), в том числе посредством межведомственного взаимодействия и социального партнерства</w:t>
            </w:r>
          </w:p>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и работоспособность альтернативной версии сайта в сети «Интернет» для инвалидов по зрению</w:t>
            </w:r>
          </w:p>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наличие возможности предоставления образовательных услуг в дистанционном режиме или на дому</w:t>
            </w:r>
          </w:p>
          <w:p>
            <w:pPr>
              <w:pStyle w:val="ListParagraph"/>
              <w:widowControl w:val="false"/>
              <w:numPr>
                <w:ilvl w:val="0"/>
                <w:numId w:val="8"/>
              </w:numPr>
              <w:suppressAutoHyphens w:val="true"/>
              <w:bidi w:val="0"/>
              <w:spacing w:lineRule="auto" w:line="240" w:before="0" w:after="0"/>
              <w:ind w:left="0" w:right="0" w:hanging="0"/>
              <w:contextualSpacing/>
              <w:jc w:val="both"/>
              <w:rPr>
                <w:sz w:val="24"/>
                <w:szCs w:val="24"/>
              </w:rPr>
            </w:pPr>
            <w:r>
              <w:rPr>
                <w:kern w:val="0"/>
                <w:sz w:val="24"/>
                <w:szCs w:val="24"/>
                <w:lang w:val="ru-RU" w:bidi="ar-SA"/>
              </w:rPr>
              <w:t>Обеспечить возможность оказания помощи работками образовательной организации инвалидам: провести соответствующий инструктаж, определить должностное лицо, ответственное за сопровождение лиц с ОВЗ.</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t>Пок. 3.3.</w:t>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lang w:val="ru-RU" w:bidi="ar-SA"/>
              </w:rPr>
              <w:t>Удовлетворенность качеством условий предоставления услуг для инвалидов</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u w:val="single"/>
                <w:lang w:val="ru-RU" w:bidi="ar-SA"/>
              </w:rPr>
              <w:t>Рекомендации респондентов:</w:t>
            </w:r>
          </w:p>
          <w:p>
            <w:pPr>
              <w:pStyle w:val="Normal"/>
              <w:widowControl w:val="false"/>
              <w:numPr>
                <w:ilvl w:val="0"/>
                <w:numId w:val="0"/>
              </w:numPr>
              <w:suppressAutoHyphens w:val="true"/>
              <w:bidi w:val="0"/>
              <w:spacing w:lineRule="auto" w:line="240" w:before="0" w:after="0"/>
              <w:ind w:left="0" w:right="0" w:hanging="0"/>
              <w:jc w:val="both"/>
              <w:rPr>
                <w:rFonts w:ascii="Times New Roman" w:hAnsi="Times New Roman" w:eastAsia="Times New Roman" w:cs="Times New Roman"/>
                <w:color w:val="auto"/>
                <w:kern w:val="0"/>
                <w:sz w:val="24"/>
                <w:szCs w:val="24"/>
                <w:lang w:val="ru-RU" w:eastAsia="ru-RU" w:bidi="ar-SA"/>
              </w:rPr>
            </w:pPr>
            <w:r>
              <w:rPr>
                <w:rFonts w:eastAsia="Times New Roman" w:cs="Times New Roman"/>
                <w:color w:val="auto"/>
                <w:kern w:val="0"/>
                <w:sz w:val="24"/>
                <w:szCs w:val="24"/>
                <w:u w:val="none"/>
                <w:lang w:val="ru-RU" w:eastAsia="ru-RU" w:bidi="ar-SA"/>
              </w:rPr>
              <w:t>1. Довести до уровня 100% долю получателей услуг, удовлетворенных доступностью услуг для инвалидов</w:t>
            </w:r>
          </w:p>
        </w:tc>
      </w:tr>
      <w:tr>
        <w:trPr/>
        <w:tc>
          <w:tcPr>
            <w:tcW w:w="2676"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Критерий 4</w:t>
            </w:r>
          </w:p>
        </w:tc>
        <w:tc>
          <w:tcPr>
            <w:tcW w:w="7099"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Доброжелательность, вежливость работников организации</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u w:val="single"/>
                <w:lang w:val="ru-RU" w:bidi="ar-SA"/>
              </w:rPr>
              <w:t>Рекомендации респондентов:</w:t>
            </w:r>
          </w:p>
          <w:p>
            <w:pPr>
              <w:pStyle w:val="ListParagraph"/>
              <w:widowControl w:val="false"/>
              <w:numPr>
                <w:ilvl w:val="0"/>
                <w:numId w:val="10"/>
              </w:numPr>
              <w:tabs>
                <w:tab w:val="clear" w:pos="708"/>
                <w:tab w:val="left" w:pos="0" w:leader="none"/>
              </w:tabs>
              <w:suppressAutoHyphens w:val="true"/>
              <w:bidi w:val="0"/>
              <w:spacing w:lineRule="auto" w:line="240" w:before="0" w:after="0"/>
              <w:ind w:left="0" w:right="0" w:hanging="0"/>
              <w:contextualSpacing w:val="false"/>
              <w:jc w:val="both"/>
              <w:rPr>
                <w:sz w:val="24"/>
                <w:szCs w:val="24"/>
              </w:rPr>
            </w:pPr>
            <w:r>
              <w:rPr>
                <w:sz w:val="24"/>
                <w:szCs w:val="24"/>
              </w:rPr>
              <w:t>Довести до уровня 100% удовлетворенность получателей услуг доброжелательностью и вежливостью работников организации.</w:t>
            </w:r>
          </w:p>
          <w:p>
            <w:pPr>
              <w:pStyle w:val="ListParagraph"/>
              <w:widowControl w:val="false"/>
              <w:numPr>
                <w:ilvl w:val="0"/>
                <w:numId w:val="10"/>
              </w:numPr>
              <w:tabs>
                <w:tab w:val="clear" w:pos="708"/>
                <w:tab w:val="left" w:pos="0" w:leader="none"/>
              </w:tabs>
              <w:suppressAutoHyphens w:val="true"/>
              <w:bidi w:val="0"/>
              <w:spacing w:lineRule="auto" w:line="240" w:before="0" w:after="0"/>
              <w:ind w:left="0" w:right="0" w:hanging="0"/>
              <w:contextualSpacing w:val="false"/>
              <w:jc w:val="both"/>
              <w:rPr>
                <w:sz w:val="24"/>
                <w:szCs w:val="24"/>
              </w:rPr>
            </w:pPr>
            <w:r>
              <w:rPr>
                <w:kern w:val="0"/>
                <w:sz w:val="24"/>
                <w:szCs w:val="24"/>
                <w:lang w:val="ru-RU" w:bidi="ar-SA"/>
              </w:rPr>
              <w:t xml:space="preserve">Проводить регулярный инструктаж работникам организации по повышению вежливости и доброжелательности по отношению к  </w:t>
            </w:r>
            <w:r>
              <w:rPr>
                <w:rFonts w:eastAsia="Times New Roman" w:cs="Times New Roman"/>
                <w:color w:val="auto"/>
                <w:kern w:val="0"/>
                <w:sz w:val="24"/>
                <w:szCs w:val="24"/>
                <w:u w:val="none"/>
                <w:lang w:val="ru-RU" w:eastAsia="ru-RU" w:bidi="ar-SA"/>
              </w:rPr>
              <w:t>получателям услуг.</w:t>
            </w:r>
          </w:p>
        </w:tc>
      </w:tr>
      <w:tr>
        <w:trPr/>
        <w:tc>
          <w:tcPr>
            <w:tcW w:w="2676"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Критерий 5</w:t>
            </w:r>
          </w:p>
        </w:tc>
        <w:tc>
          <w:tcPr>
            <w:tcW w:w="7099" w:type="dxa"/>
            <w:tcBorders/>
            <w:shd w:color="auto" w:fill="DEEAF6" w:themeFill="accent1" w:themeFillTint="33" w:val="clear"/>
          </w:tcPr>
          <w:p>
            <w:pPr>
              <w:pStyle w:val="Normal"/>
              <w:widowControl w:val="false"/>
              <w:suppressAutoHyphens w:val="true"/>
              <w:spacing w:before="0" w:after="0"/>
              <w:jc w:val="center"/>
              <w:rPr>
                <w:sz w:val="24"/>
                <w:szCs w:val="24"/>
              </w:rPr>
            </w:pPr>
            <w:r>
              <w:rPr>
                <w:kern w:val="0"/>
                <w:sz w:val="24"/>
                <w:szCs w:val="24"/>
                <w:lang w:val="ru-RU" w:bidi="ar-SA"/>
              </w:rPr>
              <w:t>Удовлетворенность условиями оказания услуг</w:t>
            </w:r>
          </w:p>
        </w:tc>
      </w:tr>
      <w:tr>
        <w:trPr/>
        <w:tc>
          <w:tcPr>
            <w:tcW w:w="2676" w:type="dxa"/>
            <w:tcBorders/>
            <w:shd w:color="auto" w:fill="auto" w:val="clear"/>
          </w:tcPr>
          <w:p>
            <w:pPr>
              <w:pStyle w:val="Normal"/>
              <w:widowControl w:val="false"/>
              <w:suppressAutoHyphens w:val="true"/>
              <w:spacing w:before="0" w:after="0"/>
              <w:jc w:val="both"/>
              <w:rPr>
                <w:kern w:val="0"/>
                <w:lang w:val="ru-RU" w:bidi="ar-SA"/>
              </w:rPr>
            </w:pPr>
            <w:r>
              <w:rPr>
                <w:kern w:val="0"/>
                <w:sz w:val="22"/>
                <w:lang w:val="ru-RU" w:bidi="ar-SA"/>
              </w:rPr>
            </w:r>
          </w:p>
        </w:tc>
        <w:tc>
          <w:tcPr>
            <w:tcW w:w="7099" w:type="dxa"/>
            <w:tcBorders/>
            <w:shd w:color="auto" w:fill="auto" w:val="clear"/>
          </w:tcPr>
          <w:p>
            <w:pPr>
              <w:pStyle w:val="Normal"/>
              <w:widowControl w:val="false"/>
              <w:suppressAutoHyphens w:val="true"/>
              <w:spacing w:before="0" w:after="0"/>
              <w:jc w:val="both"/>
              <w:rPr>
                <w:sz w:val="24"/>
                <w:szCs w:val="24"/>
              </w:rPr>
            </w:pPr>
            <w:r>
              <w:rPr>
                <w:kern w:val="0"/>
                <w:sz w:val="24"/>
                <w:szCs w:val="24"/>
                <w:u w:val="single"/>
                <w:lang w:val="ru-RU" w:bidi="ar-SA"/>
              </w:rPr>
              <w:t>Рекомендации респондентов:</w:t>
            </w:r>
          </w:p>
          <w:p>
            <w:pPr>
              <w:pStyle w:val="ListParagraph"/>
              <w:widowControl w:val="false"/>
              <w:numPr>
                <w:ilvl w:val="0"/>
                <w:numId w:val="0"/>
              </w:numPr>
              <w:suppressAutoHyphens w:val="true"/>
              <w:bidi w:val="0"/>
              <w:spacing w:lineRule="auto" w:line="240" w:before="0" w:after="0"/>
              <w:ind w:left="57" w:right="0" w:hanging="0"/>
              <w:contextualSpacing/>
              <w:jc w:val="both"/>
              <w:rPr>
                <w:sz w:val="24"/>
                <w:szCs w:val="24"/>
              </w:rPr>
            </w:pPr>
            <w:r>
              <w:rPr>
                <w:rFonts w:eastAsia="Times New Roman" w:cs="Times New Roman"/>
                <w:color w:val="auto"/>
                <w:kern w:val="0"/>
                <w:sz w:val="24"/>
                <w:szCs w:val="24"/>
                <w:u w:val="none"/>
                <w:lang w:val="ru-RU" w:eastAsia="ru-RU" w:bidi="ar-SA"/>
              </w:rPr>
              <w:t>Рекомендации отсутствуют</w:t>
            </w:r>
            <w:r>
              <w:rPr>
                <w:kern w:val="0"/>
                <w:sz w:val="24"/>
                <w:szCs w:val="24"/>
                <w:u w:val="none"/>
                <w:lang w:val="ru-RU" w:bidi="ar-SA"/>
              </w:rPr>
              <w:t>.</w:t>
            </w:r>
          </w:p>
        </w:tc>
      </w:tr>
    </w:tbl>
    <w:p>
      <w:pPr>
        <w:pStyle w:val="ListParagraph"/>
        <w:ind w:left="709" w:hanging="0"/>
        <w:jc w:val="both"/>
        <w:rPr>
          <w:sz w:val="28"/>
          <w:szCs w:val="28"/>
        </w:rPr>
      </w:pPr>
      <w:r>
        <w:rPr>
          <w:sz w:val="28"/>
          <w:szCs w:val="28"/>
        </w:rPr>
      </w:r>
    </w:p>
    <w:p>
      <w:pPr>
        <w:pStyle w:val="Normal"/>
        <w:ind w:firstLine="709"/>
        <w:jc w:val="both"/>
        <w:rPr>
          <w:sz w:val="28"/>
          <w:szCs w:val="28"/>
        </w:rPr>
      </w:pPr>
      <w:r>
        <w:rPr>
          <w:sz w:val="28"/>
          <w:szCs w:val="28"/>
          <w:u w:val="single"/>
        </w:rPr>
        <w:t>Интегральное значение по совокупности общих критериев</w:t>
      </w:r>
      <w:r>
        <w:rPr>
          <w:sz w:val="28"/>
          <w:szCs w:val="28"/>
        </w:rPr>
        <w:t xml:space="preserve">, с учетом значимости показателей </w:t>
      </w:r>
      <w:r>
        <w:rPr>
          <w:color w:val="000000"/>
          <w:sz w:val="28"/>
          <w:szCs w:val="28"/>
          <w:shd w:fill="auto" w:val="clear"/>
        </w:rPr>
        <w:t>{{name}}</w:t>
      </w:r>
      <w:r>
        <w:rPr>
          <w:color w:val="000000"/>
          <w:sz w:val="28"/>
          <w:szCs w:val="28"/>
        </w:rPr>
        <w:t>,</w:t>
      </w:r>
      <w:r>
        <w:rPr>
          <w:sz w:val="28"/>
          <w:szCs w:val="28"/>
        </w:rPr>
        <w:t xml:space="preserve"> составило </w:t>
      </w:r>
      <w:r>
        <w:rPr>
          <w:b/>
          <w:bCs/>
          <w:sz w:val="28"/>
          <w:szCs w:val="28"/>
        </w:rPr>
        <w:t>{{bal</w:t>
      </w:r>
      <w:r>
        <w:rPr>
          <w:b/>
          <w:bCs/>
          <w:sz w:val="28"/>
          <w:szCs w:val="28"/>
          <w:shd w:fill="auto" w:val="clear"/>
        </w:rPr>
        <w:t>ls}}</w:t>
      </w:r>
      <w:r>
        <w:rPr>
          <w:b/>
          <w:color w:val="000000" w:themeColor="text1"/>
          <w:sz w:val="28"/>
          <w:szCs w:val="28"/>
          <w:shd w:fill="auto" w:val="clear"/>
        </w:rPr>
        <w:t xml:space="preserve"> балла</w:t>
      </w:r>
      <w:r>
        <w:rPr>
          <w:sz w:val="28"/>
          <w:szCs w:val="28"/>
          <w:shd w:fill="auto" w:val="clear"/>
        </w:rPr>
        <w:t xml:space="preserve">. </w:t>
      </w:r>
      <w:r>
        <w:rPr>
          <w:sz w:val="28"/>
          <w:szCs w:val="28"/>
        </w:rPr>
        <w:t>Детализация показателей общих критериев, участвующих в формировании интегрального значения приведена в Приложении №1.</w:t>
      </w:r>
    </w:p>
    <w:p>
      <w:pPr>
        <w:pStyle w:val="Normal"/>
        <w:rPr>
          <w:sz w:val="28"/>
          <w:szCs w:val="28"/>
        </w:rPr>
      </w:pPr>
      <w:r>
        <w:rPr>
          <w:sz w:val="28"/>
          <w:szCs w:val="28"/>
        </w:rPr>
      </w:r>
    </w:p>
    <w:p>
      <w:pPr>
        <w:pStyle w:val="Normal"/>
        <w:ind w:firstLine="709"/>
        <w:jc w:val="both"/>
        <w:rPr>
          <w:sz w:val="28"/>
          <w:szCs w:val="28"/>
        </w:rPr>
      </w:pPr>
      <w:r>
        <w:rPr>
          <w:sz w:val="28"/>
          <w:szCs w:val="28"/>
        </w:rPr>
        <w:t>Сведения, полученные по итогам реализации дистанционного и очного этапов сбора и обобщения информации о качестве условий осуществления образовательной деятельности в соответствии с показателями, характеризующими общие критерии оценки качества условий осуществления образовательной деятельности образовательными организациями, в отношении которых проводится независимая оценка, подлежат передаче в Общественный совет при Министерстве образования и науки Чеченской Республики по проведению независимой оценки качества условий осуществления образовательной деятельности образовательными организациями Чеченской Республики для принятия решения о присвоении рейтинга организации и формирования плана мероприятий по улучшению качества условий осуществления образовательной деятельности образовательной организацией.</w:t>
      </w:r>
    </w:p>
    <w:p>
      <w:pPr>
        <w:pStyle w:val="Normal"/>
        <w:ind w:firstLine="709"/>
        <w:jc w:val="both"/>
        <w:rPr>
          <w:b/>
          <w:b/>
          <w:sz w:val="28"/>
          <w:szCs w:val="28"/>
        </w:rPr>
      </w:pPr>
      <w:r>
        <w:rPr>
          <w:b/>
          <w:sz w:val="28"/>
          <w:szCs w:val="28"/>
        </w:rPr>
      </w:r>
    </w:p>
    <w:p>
      <w:pPr>
        <w:pStyle w:val="Normal"/>
        <w:ind w:firstLine="709"/>
        <w:jc w:val="both"/>
        <w:rPr>
          <w:b/>
          <w:b/>
          <w:sz w:val="28"/>
          <w:szCs w:val="28"/>
        </w:rPr>
      </w:pPr>
      <w:r>
        <w:rPr>
          <w:b/>
          <w:sz w:val="28"/>
          <w:szCs w:val="28"/>
        </w:rPr>
      </w:r>
    </w:p>
    <w:p>
      <w:pPr>
        <w:pStyle w:val="Normal"/>
        <w:ind w:firstLine="709"/>
        <w:jc w:val="both"/>
        <w:rPr>
          <w:b/>
          <w:b/>
          <w:sz w:val="28"/>
          <w:szCs w:val="28"/>
        </w:rPr>
      </w:pPr>
      <w:r>
        <w:rPr>
          <w:b/>
          <w:sz w:val="28"/>
          <w:szCs w:val="28"/>
        </w:rPr>
      </w:r>
    </w:p>
    <w:p>
      <w:pPr>
        <w:pStyle w:val="Normal"/>
        <w:rPr>
          <w:b/>
          <w:b/>
          <w:sz w:val="28"/>
          <w:szCs w:val="28"/>
        </w:rPr>
      </w:pPr>
      <w:r>
        <w:rPr>
          <w:b/>
          <w:sz w:val="28"/>
          <w:szCs w:val="28"/>
        </w:rPr>
        <w:t xml:space="preserve">     </w:t>
      </w:r>
      <w:r>
        <w:rPr>
          <w:b/>
          <w:sz w:val="28"/>
          <w:szCs w:val="28"/>
        </w:rPr>
        <w:t>Директор СКЦПОА</w:t>
        <w:tab/>
        <w:tab/>
        <w:tab/>
        <w:tab/>
        <w:t xml:space="preserve">                     </w:t>
        <w:tab/>
        <w:t>Е.С. Квасова</w:t>
      </w:r>
    </w:p>
    <w:p>
      <w:pPr>
        <w:pStyle w:val="Normal"/>
        <w:rPr>
          <w:b/>
          <w:b/>
          <w:sz w:val="28"/>
          <w:szCs w:val="28"/>
        </w:rPr>
      </w:pPr>
      <w:r>
        <w:rPr>
          <w:b/>
          <w:sz w:val="28"/>
          <w:szCs w:val="28"/>
        </w:rPr>
      </w:r>
    </w:p>
    <w:p>
      <w:pPr>
        <w:pStyle w:val="Normal"/>
        <w:rPr>
          <w:sz w:val="28"/>
          <w:szCs w:val="28"/>
        </w:rPr>
      </w:pPr>
      <w:r>
        <w:rPr/>
      </w:r>
    </w:p>
    <w:sectPr>
      <w:headerReference w:type="default" r:id="rId3"/>
      <w:type w:val="nextPage"/>
      <w:pgSz w:w="11906" w:h="16838"/>
      <w:pgMar w:left="1701" w:right="566" w:gutter="0" w:header="708" w:top="1135" w:footer="0" w:bottom="99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CY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19246473"/>
    </w:sdtPr>
    <w:sdtContent>
      <w:p>
        <w:pPr>
          <w:pStyle w:val="Style26"/>
          <w:jc w:val="center"/>
          <w:rPr/>
        </w:pPr>
        <w:r>
          <w:rPr/>
          <w:fldChar w:fldCharType="begin"/>
        </w:r>
        <w:r>
          <w:rPr/>
          <w:instrText xml:space="preserve"> PAGE </w:instrText>
        </w:r>
        <w:r>
          <w:rPr/>
          <w:fldChar w:fldCharType="separate"/>
        </w:r>
        <w:r>
          <w:rPr/>
          <w:t>5</w:t>
        </w:r>
        <w:r>
          <w:rPr/>
          <w:fldChar w:fldCharType="end"/>
        </w:r>
      </w:p>
    </w:sdtContent>
  </w:sdt>
  <w:p>
    <w:pPr>
      <w:pStyle w:val="Style26"/>
      <w:tabs>
        <w:tab w:val="clear" w:pos="4677"/>
        <w:tab w:val="clear" w:pos="9355"/>
        <w:tab w:val="left" w:pos="8264"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1848" w:hanging="432"/>
      </w:pPr>
      <w:rPr/>
    </w:lvl>
    <w:lvl w:ilvl="1">
      <w:start w:val="1"/>
      <w:numFmt w:val="none"/>
      <w:suff w:val="nothing"/>
      <w:lvlText w:val=""/>
      <w:lvlJc w:val="left"/>
      <w:pPr>
        <w:tabs>
          <w:tab w:val="num" w:pos="0"/>
        </w:tabs>
        <w:ind w:left="1992" w:hanging="576"/>
      </w:pPr>
      <w:rPr/>
    </w:lvl>
    <w:lvl w:ilvl="2">
      <w:start w:val="1"/>
      <w:numFmt w:val="none"/>
      <w:suff w:val="nothing"/>
      <w:lvlText w:val=""/>
      <w:lvlJc w:val="left"/>
      <w:pPr>
        <w:tabs>
          <w:tab w:val="num" w:pos="0"/>
        </w:tabs>
        <w:ind w:left="2136" w:hanging="720"/>
      </w:pPr>
      <w:rPr/>
    </w:lvl>
    <w:lvl w:ilvl="3">
      <w:start w:val="1"/>
      <w:numFmt w:val="none"/>
      <w:suff w:val="nothing"/>
      <w:lvlText w:val=""/>
      <w:lvlJc w:val="left"/>
      <w:pPr>
        <w:tabs>
          <w:tab w:val="num" w:pos="0"/>
        </w:tabs>
        <w:ind w:left="2280" w:hanging="864"/>
      </w:pPr>
      <w:rPr/>
    </w:lvl>
    <w:lvl w:ilvl="4">
      <w:start w:val="1"/>
      <w:numFmt w:val="none"/>
      <w:suff w:val="nothing"/>
      <w:lvlText w:val=""/>
      <w:lvlJc w:val="left"/>
      <w:pPr>
        <w:tabs>
          <w:tab w:val="num" w:pos="0"/>
        </w:tabs>
        <w:ind w:left="2424" w:hanging="1008"/>
      </w:pPr>
      <w:rPr/>
    </w:lvl>
    <w:lvl w:ilvl="5">
      <w:start w:val="1"/>
      <w:numFmt w:val="none"/>
      <w:suff w:val="nothing"/>
      <w:lvlText w:val=""/>
      <w:lvlJc w:val="left"/>
      <w:pPr>
        <w:tabs>
          <w:tab w:val="num" w:pos="0"/>
        </w:tabs>
        <w:ind w:left="2568" w:hanging="1152"/>
      </w:pPr>
      <w:rPr/>
    </w:lvl>
    <w:lvl w:ilvl="6">
      <w:start w:val="1"/>
      <w:numFmt w:val="none"/>
      <w:suff w:val="nothing"/>
      <w:lvlText w:val=""/>
      <w:lvlJc w:val="left"/>
      <w:pPr>
        <w:tabs>
          <w:tab w:val="num" w:pos="0"/>
        </w:tabs>
        <w:ind w:left="2712" w:hanging="1296"/>
      </w:pPr>
      <w:rPr/>
    </w:lvl>
    <w:lvl w:ilvl="7">
      <w:start w:val="1"/>
      <w:numFmt w:val="none"/>
      <w:suff w:val="nothing"/>
      <w:lvlText w:val=""/>
      <w:lvlJc w:val="left"/>
      <w:pPr>
        <w:tabs>
          <w:tab w:val="num" w:pos="0"/>
        </w:tabs>
        <w:ind w:left="2856" w:hanging="1440"/>
      </w:pPr>
      <w:rPr/>
    </w:lvl>
    <w:lvl w:ilvl="8">
      <w:start w:val="1"/>
      <w:numFmt w:val="none"/>
      <w:suff w:val="nothing"/>
      <w:lvlText w:val=""/>
      <w:lvlJc w:val="left"/>
      <w:pPr>
        <w:tabs>
          <w:tab w:val="num" w:pos="0"/>
        </w:tabs>
        <w:ind w:left="3000"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sz w:val="28"/>
        <w:szCs w:val="28"/>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724"/>
        </w:tabs>
        <w:ind w:left="724" w:hanging="360"/>
      </w:pPr>
      <w:rPr/>
    </w:lvl>
    <w:lvl w:ilvl="1">
      <w:start w:val="1"/>
      <w:numFmt w:val="decimal"/>
      <w:lvlText w:val="%2."/>
      <w:lvlJc w:val="left"/>
      <w:pPr>
        <w:tabs>
          <w:tab w:val="num" w:pos="1084"/>
        </w:tabs>
        <w:ind w:left="1084" w:hanging="360"/>
      </w:pPr>
      <w:rPr/>
    </w:lvl>
    <w:lvl w:ilvl="2">
      <w:start w:val="1"/>
      <w:numFmt w:val="decimal"/>
      <w:lvlText w:val="%3."/>
      <w:lvlJc w:val="left"/>
      <w:pPr>
        <w:tabs>
          <w:tab w:val="num" w:pos="1444"/>
        </w:tabs>
        <w:ind w:left="1444" w:hanging="360"/>
      </w:pPr>
      <w:rPr/>
    </w:lvl>
    <w:lvl w:ilvl="3">
      <w:start w:val="1"/>
      <w:numFmt w:val="decimal"/>
      <w:lvlText w:val="%4."/>
      <w:lvlJc w:val="left"/>
      <w:pPr>
        <w:tabs>
          <w:tab w:val="num" w:pos="1804"/>
        </w:tabs>
        <w:ind w:left="1804" w:hanging="360"/>
      </w:pPr>
      <w:rPr/>
    </w:lvl>
    <w:lvl w:ilvl="4">
      <w:start w:val="1"/>
      <w:numFmt w:val="decimal"/>
      <w:lvlText w:val="%5."/>
      <w:lvlJc w:val="left"/>
      <w:pPr>
        <w:tabs>
          <w:tab w:val="num" w:pos="2164"/>
        </w:tabs>
        <w:ind w:left="2164" w:hanging="360"/>
      </w:pPr>
      <w:rPr/>
    </w:lvl>
    <w:lvl w:ilvl="5">
      <w:start w:val="1"/>
      <w:numFmt w:val="decimal"/>
      <w:lvlText w:val="%6."/>
      <w:lvlJc w:val="left"/>
      <w:pPr>
        <w:tabs>
          <w:tab w:val="num" w:pos="2524"/>
        </w:tabs>
        <w:ind w:left="2524" w:hanging="360"/>
      </w:pPr>
      <w:rPr/>
    </w:lvl>
    <w:lvl w:ilvl="6">
      <w:start w:val="1"/>
      <w:numFmt w:val="decimal"/>
      <w:lvlText w:val="%7."/>
      <w:lvlJc w:val="left"/>
      <w:pPr>
        <w:tabs>
          <w:tab w:val="num" w:pos="2884"/>
        </w:tabs>
        <w:ind w:left="2884" w:hanging="360"/>
      </w:pPr>
      <w:rPr/>
    </w:lvl>
    <w:lvl w:ilvl="7">
      <w:start w:val="1"/>
      <w:numFmt w:val="decimal"/>
      <w:lvlText w:val="%8."/>
      <w:lvlJc w:val="left"/>
      <w:pPr>
        <w:tabs>
          <w:tab w:val="num" w:pos="3244"/>
        </w:tabs>
        <w:ind w:left="3244" w:hanging="360"/>
      </w:pPr>
      <w:rPr/>
    </w:lvl>
    <w:lvl w:ilvl="8">
      <w:start w:val="1"/>
      <w:numFmt w:val="decimal"/>
      <w:lvlText w:val="%9."/>
      <w:lvlJc w:val="left"/>
      <w:pPr>
        <w:tabs>
          <w:tab w:val="num" w:pos="3604"/>
        </w:tabs>
        <w:ind w:left="3604"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777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4">
    <w:name w:val="Heading 4"/>
    <w:basedOn w:val="Normal"/>
    <w:link w:val="41"/>
    <w:uiPriority w:val="9"/>
    <w:qFormat/>
    <w:rsid w:val="00d7375f"/>
    <w:pPr>
      <w:spacing w:beforeAutospacing="1" w:afterAutospacing="1"/>
      <w:outlineLvl w:val="3"/>
    </w:pPr>
    <w:rPr>
      <w:b/>
      <w:bC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8b31ba"/>
    <w:rPr/>
  </w:style>
  <w:style w:type="character" w:styleId="Style14" w:customStyle="1">
    <w:name w:val="Нижний колонтитул Знак"/>
    <w:basedOn w:val="DefaultParagraphFont"/>
    <w:uiPriority w:val="99"/>
    <w:qFormat/>
    <w:rsid w:val="008b31ba"/>
    <w:rPr/>
  </w:style>
  <w:style w:type="character" w:styleId="Style15">
    <w:name w:val="Интернет-ссылка"/>
    <w:basedOn w:val="DefaultParagraphFont"/>
    <w:uiPriority w:val="99"/>
    <w:unhideWhenUsed/>
    <w:rsid w:val="00eb4910"/>
    <w:rPr>
      <w:color w:val="0563C1" w:themeColor="hyperlink"/>
      <w:u w:val="single"/>
    </w:rPr>
  </w:style>
  <w:style w:type="character" w:styleId="Style16" w:customStyle="1">
    <w:name w:val="Текст выноски Знак"/>
    <w:basedOn w:val="DefaultParagraphFont"/>
    <w:link w:val="BalloonText"/>
    <w:uiPriority w:val="99"/>
    <w:semiHidden/>
    <w:qFormat/>
    <w:rsid w:val="00f97998"/>
    <w:rPr>
      <w:rFonts w:ascii="Tahoma" w:hAnsi="Tahoma" w:cs="Tahoma"/>
      <w:sz w:val="16"/>
      <w:szCs w:val="16"/>
    </w:rPr>
  </w:style>
  <w:style w:type="character" w:styleId="WW8Num1z3" w:customStyle="1">
    <w:name w:val="WW8Num1z3"/>
    <w:qFormat/>
    <w:rsid w:val="00757933"/>
    <w:rPr/>
  </w:style>
  <w:style w:type="character" w:styleId="41" w:customStyle="1">
    <w:name w:val="Заголовок 4 Знак"/>
    <w:basedOn w:val="DefaultParagraphFont"/>
    <w:uiPriority w:val="9"/>
    <w:qFormat/>
    <w:rsid w:val="00d7375f"/>
    <w:rPr>
      <w:rFonts w:ascii="Times New Roman" w:hAnsi="Times New Roman" w:eastAsia="Times New Roman" w:cs="Times New Roman"/>
      <w:b/>
      <w:bCs/>
      <w:sz w:val="24"/>
      <w:szCs w:val="24"/>
      <w:lang w:eastAsia="ru-RU"/>
    </w:rPr>
  </w:style>
  <w:style w:type="character" w:styleId="Strong">
    <w:name w:val="Strong"/>
    <w:basedOn w:val="DefaultParagraphFont"/>
    <w:uiPriority w:val="22"/>
    <w:qFormat/>
    <w:rsid w:val="00dc6dde"/>
    <w:rPr>
      <w:b/>
      <w:bCs/>
    </w:rPr>
  </w:style>
  <w:style w:type="character" w:styleId="Style17">
    <w:name w:val="Выделение"/>
    <w:basedOn w:val="DefaultParagraphFont"/>
    <w:uiPriority w:val="20"/>
    <w:qFormat/>
    <w:rsid w:val="00525ef1"/>
    <w:rPr>
      <w:i/>
      <w:iCs/>
    </w:rPr>
  </w:style>
  <w:style w:type="character" w:styleId="Val" w:customStyle="1">
    <w:name w:val="val"/>
    <w:basedOn w:val="DefaultParagraphFont"/>
    <w:qFormat/>
    <w:rsid w:val="004d5f54"/>
    <w:rPr/>
  </w:style>
  <w:style w:type="character" w:styleId="Style18">
    <w:name w:val="Маркеры"/>
    <w:qFormat/>
    <w:rPr>
      <w:rFonts w:ascii="OpenSymbol" w:hAnsi="OpenSymbol" w:eastAsia="OpenSymbol" w:cs="OpenSymbol"/>
    </w:rPr>
  </w:style>
  <w:style w:type="character" w:styleId="Style19">
    <w:name w:val="Символ нумерации"/>
    <w:qFormat/>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lang w:val="zxx" w:eastAsia="zxx" w:bidi="zxx"/>
    </w:rPr>
  </w:style>
  <w:style w:type="paragraph" w:styleId="Style25">
    <w:name w:val="Колонтитул"/>
    <w:basedOn w:val="Normal"/>
    <w:qFormat/>
    <w:pPr/>
    <w:rPr/>
  </w:style>
  <w:style w:type="paragraph" w:styleId="Style26">
    <w:name w:val="Header"/>
    <w:basedOn w:val="Normal"/>
    <w:link w:val="Style13"/>
    <w:uiPriority w:val="99"/>
    <w:unhideWhenUsed/>
    <w:rsid w:val="008b31ba"/>
    <w:pPr>
      <w:tabs>
        <w:tab w:val="clear" w:pos="708"/>
        <w:tab w:val="center" w:pos="4677" w:leader="none"/>
        <w:tab w:val="right" w:pos="9355" w:leader="none"/>
      </w:tabs>
    </w:pPr>
    <w:rPr/>
  </w:style>
  <w:style w:type="paragraph" w:styleId="Style27">
    <w:name w:val="Footer"/>
    <w:basedOn w:val="Normal"/>
    <w:link w:val="Style14"/>
    <w:uiPriority w:val="99"/>
    <w:unhideWhenUsed/>
    <w:rsid w:val="008b31ba"/>
    <w:pPr>
      <w:tabs>
        <w:tab w:val="clear" w:pos="708"/>
        <w:tab w:val="center" w:pos="4677" w:leader="none"/>
        <w:tab w:val="right" w:pos="9355" w:leader="none"/>
      </w:tabs>
    </w:pPr>
    <w:rPr/>
  </w:style>
  <w:style w:type="paragraph" w:styleId="ListParagraph">
    <w:name w:val="List Paragraph"/>
    <w:basedOn w:val="Normal"/>
    <w:uiPriority w:val="34"/>
    <w:qFormat/>
    <w:rsid w:val="008b31ba"/>
    <w:pPr>
      <w:spacing w:before="0" w:after="0"/>
      <w:ind w:left="720" w:hanging="0"/>
      <w:contextualSpacing/>
    </w:pPr>
    <w:rPr/>
  </w:style>
  <w:style w:type="paragraph" w:styleId="ConsPlusTitle" w:customStyle="1">
    <w:name w:val="ConsPlusTitle"/>
    <w:uiPriority w:val="99"/>
    <w:qFormat/>
    <w:rsid w:val="00044ebc"/>
    <w:pPr>
      <w:widowControl w:val="false"/>
      <w:suppressAutoHyphens w:val="true"/>
      <w:bidi w:val="0"/>
      <w:spacing w:lineRule="auto" w:line="240" w:before="0" w:after="0"/>
      <w:jc w:val="left"/>
    </w:pPr>
    <w:rPr>
      <w:rFonts w:ascii="Arial" w:hAnsi="Arial" w:eastAsia="Times New Roman" w:cs="Arial"/>
      <w:b/>
      <w:bCs/>
      <w:color w:val="auto"/>
      <w:kern w:val="0"/>
      <w:sz w:val="24"/>
      <w:szCs w:val="20"/>
      <w:lang w:val="ru-RU" w:eastAsia="zh-CN" w:bidi="ar-SA"/>
    </w:rPr>
  </w:style>
  <w:style w:type="paragraph" w:styleId="ConsPlusNormal" w:customStyle="1">
    <w:name w:val="ConsPlusNormal"/>
    <w:qFormat/>
    <w:rsid w:val="001045a2"/>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31" w:customStyle="1">
    <w:name w:val="Заголовок 31"/>
    <w:basedOn w:val="Normal"/>
    <w:qFormat/>
    <w:rsid w:val="00d83689"/>
    <w:pPr>
      <w:keepNext w:val="true"/>
      <w:numPr>
        <w:ilvl w:val="2"/>
        <w:numId w:val="1"/>
      </w:numPr>
      <w:tabs>
        <w:tab w:val="clear" w:pos="708"/>
        <w:tab w:val="left" w:pos="312" w:leader="none"/>
      </w:tabs>
      <w:spacing w:before="240" w:after="60"/>
      <w:ind w:left="142" w:hanging="0"/>
      <w:jc w:val="both"/>
      <w:outlineLvl w:val="2"/>
    </w:pPr>
    <w:rPr>
      <w:rFonts w:ascii="Arial" w:hAnsi="Arial" w:cs="Arial"/>
      <w:b/>
      <w:bCs/>
      <w:lang w:eastAsia="zh-CN"/>
    </w:rPr>
  </w:style>
  <w:style w:type="paragraph" w:styleId="411" w:customStyle="1">
    <w:name w:val="Заголовок 41"/>
    <w:basedOn w:val="Normal"/>
    <w:qFormat/>
    <w:rsid w:val="00d83689"/>
    <w:pPr>
      <w:keepNext w:val="true"/>
      <w:numPr>
        <w:ilvl w:val="3"/>
        <w:numId w:val="1"/>
      </w:numPr>
      <w:spacing w:before="120" w:after="120"/>
      <w:outlineLvl w:val="3"/>
    </w:pPr>
    <w:rPr>
      <w:rFonts w:ascii="Liberation Serif" w:hAnsi="Liberation Serif" w:eastAsia="SimSun" w:cs="Mangal"/>
      <w:b/>
      <w:bCs/>
      <w:lang w:eastAsia="zh-CN"/>
    </w:rPr>
  </w:style>
  <w:style w:type="paragraph" w:styleId="BalloonText">
    <w:name w:val="Balloon Text"/>
    <w:basedOn w:val="Normal"/>
    <w:link w:val="Style16"/>
    <w:uiPriority w:val="99"/>
    <w:semiHidden/>
    <w:unhideWhenUsed/>
    <w:qFormat/>
    <w:rsid w:val="00f97998"/>
    <w:pPr/>
    <w:rPr>
      <w:rFonts w:ascii="Tahoma" w:hAnsi="Tahoma" w:cs="Tahoma"/>
      <w:sz w:val="16"/>
      <w:szCs w:val="16"/>
    </w:rPr>
  </w:style>
  <w:style w:type="paragraph" w:styleId="NormalWeb">
    <w:name w:val="Normal (Web)"/>
    <w:basedOn w:val="Normal"/>
    <w:uiPriority w:val="99"/>
    <w:semiHidden/>
    <w:unhideWhenUsed/>
    <w:qFormat/>
    <w:rsid w:val="00525ef1"/>
    <w:pPr>
      <w:spacing w:beforeAutospacing="1" w:afterAutospacing="1"/>
    </w:pPr>
    <w:rPr/>
  </w:style>
  <w:style w:type="paragraph" w:styleId="11" w:customStyle="1">
    <w:name w:val="Цветной список - Акцент 11"/>
    <w:basedOn w:val="Normal"/>
    <w:qFormat/>
    <w:rsid w:val="00782f1a"/>
    <w:pPr>
      <w:widowControl w:val="false"/>
      <w:numPr>
        <w:ilvl w:val="0"/>
        <w:numId w:val="3"/>
      </w:numPr>
      <w:tabs>
        <w:tab w:val="clear" w:pos="708"/>
        <w:tab w:val="left" w:pos="993" w:leader="none"/>
      </w:tabs>
      <w:spacing w:before="120" w:after="60"/>
      <w:jc w:val="both"/>
    </w:pPr>
    <w:rPr>
      <w:rFonts w:ascii="Times New Roman CYR" w:hAnsi="Times New Roman CYR"/>
    </w:rPr>
  </w:style>
  <w:style w:type="paragraph" w:styleId="Style28">
    <w:name w:val="Содержимое врезки"/>
    <w:basedOn w:val="Normal"/>
    <w:qFormat/>
    <w:pPr/>
    <w:rPr/>
  </w:style>
  <w:style w:type="numbering" w:styleId="NoList" w:default="1">
    <w:name w:val="No List"/>
    <w:uiPriority w:val="99"/>
    <w:semiHidden/>
    <w:unhideWhenUsed/>
    <w:qFormat/>
  </w:style>
  <w:style w:type="numbering" w:styleId="61" w:customStyle="1">
    <w:name w:val="Стиль61"/>
    <w:uiPriority w:val="99"/>
    <w:qFormat/>
    <w:rsid w:val="00f06582"/>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d42e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16872-E7D8-4CC1-BE9D-07A6BEFC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LibreOffice/7.3.7.2$Linux_X86_64 LibreOffice_project/30$Build-2</Application>
  <AppVersion>15.0000</AppVersion>
  <Pages>7</Pages>
  <Words>1489</Words>
  <Characters>12177</Characters>
  <CharactersWithSpaces>13653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2022-11-28T07:49:00Z</dcterms:created>
  <dc:creator>Пользователь Windows</dc:creator>
  <dc:description/>
  <dc:language>ru-RU</dc:language>
  <cp:lastModifiedBy/>
  <cp:lastPrinted>2019-07-24T18:58:00Z</cp:lastPrinted>
  <dcterms:modified xsi:type="dcterms:W3CDTF">2022-11-29T19:28:17Z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