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sz w:val="36"/>
          <w:szCs w:val="36"/>
          <w:rtl w:val="0"/>
        </w:rPr>
        <w:t xml:space="preserve">Challenge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8.89999999999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IBM Plex Mono" w:cs="IBM Plex Mono" w:eastAsia="IBM Plex Mono" w:hAnsi="IBM Plex Mono"/>
                <w:sz w:val="16"/>
                <w:szCs w:val="1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16"/>
                <w:szCs w:val="16"/>
                <w:rtl w:val="0"/>
              </w:rPr>
              <w:t xml:space="preserve">Project:</w:t>
            </w: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IBM Plex Mono" w:cs="IBM Plex Mono" w:eastAsia="IBM Plex Mono" w:hAnsi="IBM Plex Mono"/>
                <w:sz w:val="16"/>
                <w:szCs w:val="1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ab/>
            </w:r>
            <w:r w:rsidDel="00000000" w:rsidR="00000000" w:rsidRPr="00000000">
              <w:rPr>
                <w:rFonts w:ascii="IBM Plex Mono" w:cs="IBM Plex Mono" w:eastAsia="IBM Plex Mono" w:hAnsi="IBM Plex Mono"/>
                <w:sz w:val="16"/>
                <w:szCs w:val="16"/>
                <w:rtl w:val="0"/>
              </w:rPr>
              <w:t xml:space="preserve">Challenge Owner: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Empowering Youth to Share Digital Experiences and Seek Support through AI Tools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IBM Plex Mono" w:cs="IBM Plex Mono" w:eastAsia="IBM Plex Mono" w:hAnsi="IBM Plex Mono"/>
                <w:color w:val="1a1a1a"/>
                <w:sz w:val="16"/>
                <w:szCs w:val="16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0"/>
                <w:szCs w:val="20"/>
                <w:rtl w:val="0"/>
              </w:rPr>
              <w:t xml:space="preserve">Digital Child Rights Foundation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Background: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  <w:br w:type="textWrapping"/>
        <w:t xml:space="preserve">Young people aged 13–17 are growing up in a digital-first world that presents both opportunities and risks. While digital platforms enable connection, creativity, and education, they also expose youth to challenges such as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online bullying, misinformation, harmful content, privacy risks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, and a lack of safe spaces for open dialogue. These issues are compounded by a general lack of tools that empower youth to: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Rule="auto"/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Share concerns confidentially.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Understand and build resilience against digital challenges.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lineRule="auto"/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Access trusted support systems.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Currently, youth often rely on informal solutions, such as talking to friends or parents, attending occasional workshops, or navigating the complexities of digital issues alone. These approaches can leave them feeling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isolated, unheard, and unsupported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, especially when they lack trust, confidence, or knowledge about how to seek help.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By creating an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AI-powered solution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, we aim to provide young people with a safe, accessible, and engaging tool to share their experiences, learn about digital challenges, and connect with the support they need.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Why this matters: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240" w:lineRule="auto"/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Rising Digital Challenges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Youth are increasingly exposed to online issues, including bullying, mental health pressures, misinformation, and exploitation.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Lack of Safe Tools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There is a gap in tools tailored to youth that enable open dialogue, provide actionable guidance, and encourage proactive learning about digital safety and well-being.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Youth Voices Are Missing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National and local authorities often struggle to include youth voices when shaping policies or solutions for digital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lineRule="auto"/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Empowerment Through Technology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AI presents a unique opportunity to provide personalised, scalable, and meaningful support to youth in ways that feel intuitive, accessible, and impactful.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Target audience: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40" w:lineRule="auto"/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Primary Audience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Youth aged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13–17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across diverse backgrounds, including students, digital natives, and underserved communities.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lineRule="auto"/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Secondary Audience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Educators, parents, youth-focused organisations, and policymakers who can use insights generated by the tool to enhance youth support systems.</w:t>
      </w:r>
    </w:p>
    <w:p w:rsidR="00000000" w:rsidDel="00000000" w:rsidP="00000000" w:rsidRDefault="00000000" w:rsidRPr="00000000" w14:paraId="00000016">
      <w:pPr>
        <w:pageBreakBefore w:val="0"/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Problem statement: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Young people aged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13–17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face significant challenges in digital environments, including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online bullying, exposure to harmful content, misinformation, and privacy concerns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. Many youth feel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isolated, unheard, or unsure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about where to turn for support. Existing solutions—such as school workshops or informal conversations—are often inaccessible, reactive, or ineffective at addressing their concerns in a safe, empowering way.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To create meaningful change, there is a need for an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AI-driven solution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that provides youth with: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240" w:lineRule="auto"/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safe and private space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to express concerns.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Rule="auto"/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Actionable resources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to navigate digital challenges effectively.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lineRule="auto"/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Opportunities to feel 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heard and supported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, while generating insights for stakeholders to improve youth support systems.</w:t>
      </w:r>
    </w:p>
    <w:p w:rsidR="00000000" w:rsidDel="00000000" w:rsidP="00000000" w:rsidRDefault="00000000" w:rsidRPr="00000000" w14:paraId="0000001C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BM Plex Mono" w:cs="IBM Plex Mono" w:eastAsia="IBM Plex Mono" w:hAnsi="IBM Plex Mono"/>
          <w:b w:val="1"/>
          <w:color w:val="1a1a1a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Challenge: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1a1a1a"/>
          <w:rtl w:val="0"/>
        </w:rPr>
        <w:t xml:space="preserve">How ​can ​we ​help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ff541f"/>
          <w:rtl w:val="0"/>
        </w:rPr>
        <w:t xml:space="preserve">​young people aged 13–17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1a1a1a"/>
          <w:rtl w:val="0"/>
        </w:rPr>
        <w:t xml:space="preserve"> to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6bf5"/>
          <w:rtl w:val="0"/>
        </w:rPr>
        <w:t xml:space="preserve">navigate digital challenges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1a1a1a"/>
          <w:rtl w:val="0"/>
        </w:rPr>
        <w:t xml:space="preserve">​by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5942bf"/>
          <w:rtl w:val="0"/>
        </w:rPr>
        <w:t xml:space="preserve">developing an AI-driven solution that allows them to share concerns safely, gain actionable insights, and access trusted support systems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1a1a1a"/>
          <w:rtl w:val="0"/>
        </w:rPr>
        <w:t xml:space="preserve"> ​when 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00634f"/>
          <w:rtl w:val="0"/>
        </w:rPr>
        <w:t xml:space="preserve">they’re experiencing digital issues such as bullying or discrimination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1a1a1a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empowering them to</w:t>
      </w:r>
      <w:r w:rsidDel="00000000" w:rsidR="00000000" w:rsidRPr="00000000">
        <w:rPr>
          <w:rFonts w:ascii="IBM Plex Mono" w:cs="IBM Plex Mono" w:eastAsia="IBM Plex Mono" w:hAnsi="IBM Plex Mono"/>
          <w:b w:val="1"/>
          <w:color w:val="b7b7b7"/>
          <w:rtl w:val="0"/>
        </w:rPr>
        <w:t xml:space="preserve"> take control of their digital experiences and feel heard?</w:t>
      </w:r>
      <w:r w:rsidDel="00000000" w:rsidR="00000000" w:rsidRPr="00000000">
        <w:rPr>
          <w:rFonts w:ascii="IBM Plex Mono" w:cs="IBM Plex Mono" w:eastAsia="IBM Plex Mono" w:hAnsi="IBM Plex Mono"/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Sub questions: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IBM Plex Mono" w:cs="IBM Plex Mono" w:eastAsia="IBM Plex Mono" w:hAnsi="IBM Plex Mono"/>
          <w:sz w:val="16"/>
          <w:szCs w:val="16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How might we design a solution that feels </w:t>
      </w:r>
      <w:r w:rsidDel="00000000" w:rsidR="00000000" w:rsidRPr="00000000">
        <w:rPr>
          <w:rFonts w:ascii="IBM Plex Mono" w:cs="IBM Plex Mono" w:eastAsia="IBM Plex Mono" w:hAnsi="IBM Plex Mono"/>
          <w:b w:val="1"/>
          <w:sz w:val="16"/>
          <w:szCs w:val="16"/>
          <w:rtl w:val="0"/>
        </w:rPr>
        <w:t xml:space="preserve">trustworthy, engaging, and safe</w:t>
      </w: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 for youth?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IBM Plex Mono" w:cs="IBM Plex Mono" w:eastAsia="IBM Plex Mono" w:hAnsi="IBM Plex Mono"/>
          <w:sz w:val="16"/>
          <w:szCs w:val="16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What features can ensure </w:t>
      </w:r>
      <w:r w:rsidDel="00000000" w:rsidR="00000000" w:rsidRPr="00000000">
        <w:rPr>
          <w:rFonts w:ascii="IBM Plex Mono" w:cs="IBM Plex Mono" w:eastAsia="IBM Plex Mono" w:hAnsi="IBM Plex Mono"/>
          <w:b w:val="1"/>
          <w:sz w:val="16"/>
          <w:szCs w:val="16"/>
          <w:rtl w:val="0"/>
        </w:rPr>
        <w:t xml:space="preserve">confidentiality</w:t>
      </w: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 while fostering </w:t>
      </w:r>
      <w:r w:rsidDel="00000000" w:rsidR="00000000" w:rsidRPr="00000000">
        <w:rPr>
          <w:rFonts w:ascii="IBM Plex Mono" w:cs="IBM Plex Mono" w:eastAsia="IBM Plex Mono" w:hAnsi="IBM Plex Mono"/>
          <w:b w:val="1"/>
          <w:sz w:val="16"/>
          <w:szCs w:val="16"/>
          <w:rtl w:val="0"/>
        </w:rPr>
        <w:t xml:space="preserve">open dialogue</w:t>
      </w: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IBM Plex Mono" w:cs="IBM Plex Mono" w:eastAsia="IBM Plex Mono" w:hAnsi="IBM Plex Mono"/>
          <w:sz w:val="16"/>
          <w:szCs w:val="16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How can the tool deliver </w:t>
      </w:r>
      <w:r w:rsidDel="00000000" w:rsidR="00000000" w:rsidRPr="00000000">
        <w:rPr>
          <w:rFonts w:ascii="IBM Plex Mono" w:cs="IBM Plex Mono" w:eastAsia="IBM Plex Mono" w:hAnsi="IBM Plex Mono"/>
          <w:b w:val="1"/>
          <w:sz w:val="16"/>
          <w:szCs w:val="16"/>
          <w:rtl w:val="0"/>
        </w:rPr>
        <w:t xml:space="preserve">relevant, actionable guidance</w:t>
      </w: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 to address digital challenges?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IBM Plex Mono" w:cs="IBM Plex Mono" w:eastAsia="IBM Plex Mono" w:hAnsi="IBM Plex Mono"/>
          <w:sz w:val="16"/>
          <w:szCs w:val="16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How can the solution provide </w:t>
      </w:r>
      <w:r w:rsidDel="00000000" w:rsidR="00000000" w:rsidRPr="00000000">
        <w:rPr>
          <w:rFonts w:ascii="IBM Plex Mono" w:cs="IBM Plex Mono" w:eastAsia="IBM Plex Mono" w:hAnsi="IBM Plex Mono"/>
          <w:b w:val="1"/>
          <w:sz w:val="16"/>
          <w:szCs w:val="16"/>
          <w:rtl w:val="0"/>
        </w:rPr>
        <w:t xml:space="preserve">anonymised insights</w:t>
      </w: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 to help stakeholders improve support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IBM Plex Mono" w:cs="IBM Plex Mono" w:eastAsia="IBM Plex Mono" w:hAnsi="IBM Plex Mono"/>
          <w:sz w:val="16"/>
          <w:szCs w:val="16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How might AI personalise the experience and scale effectively across different contexts?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Fonts w:ascii="IBM Plex Mono" w:cs="IBM Plex Mono" w:eastAsia="IBM Plex Mono" w:hAnsi="IBM Plex Mono"/>
          <w:sz w:val="16"/>
          <w:szCs w:val="16"/>
          <w:rtl w:val="0"/>
        </w:rPr>
        <w:t xml:space="preserve">Sustainable development goals: </w:t>
      </w:r>
    </w:p>
    <w:p w:rsidR="00000000" w:rsidDel="00000000" w:rsidP="00000000" w:rsidRDefault="00000000" w:rsidRPr="00000000" w14:paraId="00000027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</w:rPr>
        <w:drawing>
          <wp:inline distB="114300" distT="114300" distL="114300" distR="114300">
            <wp:extent cx="972566" cy="972566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566" cy="972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</w:rPr>
        <w:drawing>
          <wp:inline distB="114300" distT="114300" distL="114300" distR="114300">
            <wp:extent cx="966788" cy="966788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</w:rPr>
        <w:drawing>
          <wp:inline distB="114300" distT="114300" distL="114300" distR="114300">
            <wp:extent cx="968899" cy="968899"/>
            <wp:effectExtent b="0" l="0" r="0" t="0"/>
            <wp:docPr id="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899" cy="96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BM Plex Mono" w:cs="IBM Plex Mono" w:eastAsia="IBM Plex Mono" w:hAnsi="IBM Plex Mono"/>
          <w:i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Criteria: </w:t>
      </w:r>
      <w:r w:rsidDel="00000000" w:rsidR="00000000" w:rsidRPr="00000000">
        <w:rPr>
          <w:rFonts w:ascii="IBM Plex Mono" w:cs="IBM Plex Mono" w:eastAsia="IBM Plex Mono" w:hAnsi="IBM Plex Mono"/>
          <w:i w:val="1"/>
          <w:sz w:val="18"/>
          <w:szCs w:val="18"/>
          <w:rtl w:val="0"/>
        </w:rPr>
        <w:t xml:space="preserve">(beneficial if feasible)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IBM Plex Mono" w:cs="IBM Plex Mono" w:eastAsia="IBM Plex Mono" w:hAnsi="IBM Plex Mono"/>
          <w:color w:val="0e101a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e101a"/>
          <w:sz w:val="18"/>
          <w:szCs w:val="18"/>
          <w:rtl w:val="0"/>
        </w:rPr>
        <w:t xml:space="preserve">User-Centred</w:t>
      </w:r>
      <w:r w:rsidDel="00000000" w:rsidR="00000000" w:rsidRPr="00000000">
        <w:rPr>
          <w:rFonts w:ascii="IBM Plex Mono" w:cs="IBM Plex Mono" w:eastAsia="IBM Plex Mono" w:hAnsi="IBM Plex Mono"/>
          <w:color w:val="0e101a"/>
          <w:sz w:val="18"/>
          <w:szCs w:val="18"/>
          <w:rtl w:val="0"/>
        </w:rPr>
        <w:t xml:space="preserve">: Designed with input and feedback from youth to ensure relevance and usability.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IBM Plex Mono" w:cs="IBM Plex Mono" w:eastAsia="IBM Plex Mono" w:hAnsi="IBM Plex Mono"/>
          <w:color w:val="0e101a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e101a"/>
          <w:sz w:val="18"/>
          <w:szCs w:val="18"/>
          <w:rtl w:val="0"/>
        </w:rPr>
        <w:t xml:space="preserve">Safe and Secure</w:t>
      </w:r>
      <w:r w:rsidDel="00000000" w:rsidR="00000000" w:rsidRPr="00000000">
        <w:rPr>
          <w:rFonts w:ascii="IBM Plex Mono" w:cs="IBM Plex Mono" w:eastAsia="IBM Plex Mono" w:hAnsi="IBM Plex Mono"/>
          <w:color w:val="0e101a"/>
          <w:sz w:val="18"/>
          <w:szCs w:val="18"/>
          <w:rtl w:val="0"/>
        </w:rPr>
        <w:t xml:space="preserve">: Incorporates robust safeguarding, privacy, and anonymity measures.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IBM Plex Mono" w:cs="IBM Plex Mono" w:eastAsia="IBM Plex Mono" w:hAnsi="IBM Plex Mono"/>
          <w:color w:val="0e101a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e101a"/>
          <w:sz w:val="18"/>
          <w:szCs w:val="18"/>
          <w:rtl w:val="0"/>
        </w:rPr>
        <w:t xml:space="preserve">Educational and Actionable</w:t>
      </w:r>
      <w:r w:rsidDel="00000000" w:rsidR="00000000" w:rsidRPr="00000000">
        <w:rPr>
          <w:rFonts w:ascii="IBM Plex Mono" w:cs="IBM Plex Mono" w:eastAsia="IBM Plex Mono" w:hAnsi="IBM Plex Mono"/>
          <w:color w:val="0e101a"/>
          <w:sz w:val="18"/>
          <w:szCs w:val="18"/>
          <w:rtl w:val="0"/>
        </w:rPr>
        <w:t xml:space="preserve">: Provides interactive content, practical steps, and trusted resources on digital challenges.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IBM Plex Mono" w:cs="IBM Plex Mono" w:eastAsia="IBM Plex Mono" w:hAnsi="IBM Plex Mono"/>
          <w:color w:val="0e101a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e101a"/>
          <w:sz w:val="18"/>
          <w:szCs w:val="18"/>
          <w:rtl w:val="0"/>
        </w:rPr>
        <w:t xml:space="preserve">AI-Driven</w:t>
      </w:r>
      <w:r w:rsidDel="00000000" w:rsidR="00000000" w:rsidRPr="00000000">
        <w:rPr>
          <w:rFonts w:ascii="IBM Plex Mono" w:cs="IBM Plex Mono" w:eastAsia="IBM Plex Mono" w:hAnsi="IBM Plex Mono"/>
          <w:color w:val="0e101a"/>
          <w:sz w:val="18"/>
          <w:szCs w:val="18"/>
          <w:rtl w:val="0"/>
        </w:rPr>
        <w:t xml:space="preserve">: Leverages AI for personalised responses, insights, or support (e.g., conversational AI for chatbots).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IBM Plex Mono" w:cs="IBM Plex Mono" w:eastAsia="IBM Plex Mono" w:hAnsi="IBM Plex Mono"/>
          <w:color w:val="0e101a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e101a"/>
          <w:sz w:val="18"/>
          <w:szCs w:val="18"/>
          <w:rtl w:val="0"/>
        </w:rPr>
        <w:t xml:space="preserve">Impactful</w:t>
      </w:r>
      <w:r w:rsidDel="00000000" w:rsidR="00000000" w:rsidRPr="00000000">
        <w:rPr>
          <w:rFonts w:ascii="IBM Plex Mono" w:cs="IBM Plex Mono" w:eastAsia="IBM Plex Mono" w:hAnsi="IBM Plex Mono"/>
          <w:color w:val="0e101a"/>
          <w:sz w:val="18"/>
          <w:szCs w:val="18"/>
          <w:rtl w:val="0"/>
        </w:rPr>
        <w:t xml:space="preserve">: Demonstrates clear benefits for youth and stakeholders, including improved understanding of digital issues.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IBM Plex Mono" w:cs="IBM Plex Mono" w:eastAsia="IBM Plex Mono" w:hAnsi="IBM Plex Mono"/>
          <w:color w:val="0e101a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color w:val="0e101a"/>
          <w:sz w:val="18"/>
          <w:szCs w:val="18"/>
          <w:rtl w:val="0"/>
        </w:rPr>
        <w:t xml:space="preserve">Scalable and Accessible</w:t>
      </w:r>
      <w:r w:rsidDel="00000000" w:rsidR="00000000" w:rsidRPr="00000000">
        <w:rPr>
          <w:rFonts w:ascii="IBM Plex Mono" w:cs="IBM Plex Mono" w:eastAsia="IBM Plex Mono" w:hAnsi="IBM Plex Mono"/>
          <w:color w:val="0e101a"/>
          <w:sz w:val="18"/>
          <w:szCs w:val="18"/>
          <w:rtl w:val="0"/>
        </w:rPr>
        <w:t xml:space="preserve">: Designed to reach diverse youth groups across regions and platforms.</w:t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Data: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ChildRightsPlay survey answers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(.csv)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ChildRight Themes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10 main themes and 40 sub-themes (.csv)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IBM Plex Mono" w:cs="IBM Plex Mono" w:eastAsia="IBM Plex Mono" w:hAnsi="IBM Plex Mono"/>
          <w:b w:val="1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Bright Data Initiative</w:t>
      </w: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Tiktok Comments (5M) (.csv)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Instagram Comments (300k) (.csv)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Reddit Comments (300k) (.csv)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Youtube Comments (1M) (.csv)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Resources: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Existing Case Studies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Examples of youth-centred tools and initiatives, such as educational chatbots, AI-powered storytelling tools, and interactive forums.</w:t>
      </w:r>
    </w:p>
    <w:p w:rsidR="00000000" w:rsidDel="00000000" w:rsidP="00000000" w:rsidRDefault="00000000" w:rsidRPr="00000000" w14:paraId="0000003B">
      <w:pPr>
        <w:ind w:left="0" w:firstLine="720"/>
        <w:rPr>
          <w:rFonts w:ascii="IBM Plex Mono" w:cs="IBM Plex Mono" w:eastAsia="IBM Plex Mono" w:hAnsi="IBM Plex Mono"/>
          <w:sz w:val="18"/>
          <w:szCs w:val="18"/>
        </w:rPr>
      </w:pPr>
      <w:hyperlink r:id="rId10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https://troomi.com/blog/introducing-troodi-your-childs-ai-mental-health-coach/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Digital Youth Index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Provides comprehensive insights into young people's digital experiences, including data on online behaviours, safety, and well-being.</w:t>
      </w:r>
    </w:p>
    <w:p w:rsidR="00000000" w:rsidDel="00000000" w:rsidP="00000000" w:rsidRDefault="00000000" w:rsidRPr="00000000" w14:paraId="0000003D">
      <w:pPr>
        <w:ind w:left="0" w:firstLine="720"/>
        <w:rPr>
          <w:rFonts w:ascii="IBM Plex Mono" w:cs="IBM Plex Mono" w:eastAsia="IBM Plex Mono" w:hAnsi="IBM Plex Mono"/>
          <w:sz w:val="18"/>
          <w:szCs w:val="18"/>
        </w:rPr>
      </w:pPr>
      <w:hyperlink r:id="rId11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https://digitalyouthindex.uk/exploredata/</w:t>
        </w:r>
      </w:hyperlink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(Account needed to export)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Safeguarding Guidelines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Best practices for safe and ethical AI design for children (e.g., UNICEF’s guidelines on safer chatbots).</w:t>
      </w:r>
    </w:p>
    <w:p w:rsidR="00000000" w:rsidDel="00000000" w:rsidP="00000000" w:rsidRDefault="00000000" w:rsidRPr="00000000" w14:paraId="0000003F">
      <w:pPr>
        <w:ind w:left="0" w:firstLine="720"/>
        <w:rPr>
          <w:rFonts w:ascii="IBM Plex Mono" w:cs="IBM Plex Mono" w:eastAsia="IBM Plex Mono" w:hAnsi="IBM Plex Mono"/>
          <w:sz w:val="18"/>
          <w:szCs w:val="18"/>
        </w:rPr>
      </w:pPr>
      <w:hyperlink r:id="rId12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https://www.unicef.org/innocenti/reports/policy-guidance-ai-children</w:t>
        </w:r>
      </w:hyperlink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Technical Resources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Publicly available AI models, frameworks, or data sets for chatbot development and digital engagement tools.</w:t>
      </w:r>
    </w:p>
    <w:p w:rsidR="00000000" w:rsidDel="00000000" w:rsidP="00000000" w:rsidRDefault="00000000" w:rsidRPr="00000000" w14:paraId="00000041">
      <w:pPr>
        <w:ind w:left="0" w:firstLine="720"/>
        <w:rPr>
          <w:rFonts w:ascii="IBM Plex Mono" w:cs="IBM Plex Mono" w:eastAsia="IBM Plex Mono" w:hAnsi="IBM Plex Mono"/>
          <w:sz w:val="18"/>
          <w:szCs w:val="18"/>
        </w:rPr>
      </w:pPr>
      <w:hyperlink r:id="rId13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https://link.springer.com/article/10.1007/s10639-022-11177-3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rFonts w:ascii="IBM Plex Mono" w:cs="IBM Plex Mono" w:eastAsia="IBM Plex Mono" w:hAnsi="IBM Plex Mono"/>
          <w:sz w:val="18"/>
          <w:szCs w:val="18"/>
        </w:rPr>
      </w:pPr>
      <w:hyperlink r:id="rId14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https://arxiv.org/abs/2306.10645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EU GDPR Compliance Guidelines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Rules and case studies on data protection and privacy for youth-focused tools.</w:t>
      </w:r>
    </w:p>
    <w:p w:rsidR="00000000" w:rsidDel="00000000" w:rsidP="00000000" w:rsidRDefault="00000000" w:rsidRPr="00000000" w14:paraId="00000044">
      <w:pPr>
        <w:ind w:left="0" w:firstLine="720"/>
        <w:rPr>
          <w:rFonts w:ascii="IBM Plex Mono" w:cs="IBM Plex Mono" w:eastAsia="IBM Plex Mono" w:hAnsi="IBM Plex Mono"/>
          <w:sz w:val="18"/>
          <w:szCs w:val="18"/>
        </w:rPr>
      </w:pPr>
      <w:hyperlink r:id="rId15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https://gdpr-info.eu/</w:t>
        </w:r>
      </w:hyperlink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AI Bias and Fairness Datasets</w:t>
      </w: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: Case studies and examples of how to address AI biases, especially in youth-oriented applications.</w:t>
      </w:r>
    </w:p>
    <w:p w:rsidR="00000000" w:rsidDel="00000000" w:rsidP="00000000" w:rsidRDefault="00000000" w:rsidRPr="00000000" w14:paraId="00000046">
      <w:pPr>
        <w:ind w:left="0" w:firstLine="720"/>
        <w:rPr>
          <w:rFonts w:ascii="IBM Plex Mono" w:cs="IBM Plex Mono" w:eastAsia="IBM Plex Mono" w:hAnsi="IBM Plex Mono"/>
          <w:sz w:val="18"/>
          <w:szCs w:val="18"/>
        </w:rPr>
      </w:pPr>
      <w:hyperlink r:id="rId16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https://aif360.res.ibm.com/</w:t>
        </w:r>
      </w:hyperlink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Reading: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UNICEF’s Children’s Rights in Digital Environments</w:t>
      </w:r>
    </w:p>
    <w:p w:rsidR="00000000" w:rsidDel="00000000" w:rsidP="00000000" w:rsidRDefault="00000000" w:rsidRPr="00000000" w14:paraId="00000049">
      <w:pPr>
        <w:ind w:left="720" w:firstLine="0"/>
        <w:rPr>
          <w:rFonts w:ascii="IBM Plex Mono" w:cs="IBM Plex Mono" w:eastAsia="IBM Plex Mono" w:hAnsi="IBM Plex Mono"/>
          <w:sz w:val="18"/>
          <w:szCs w:val="18"/>
        </w:rPr>
      </w:pPr>
      <w:hyperlink r:id="rId17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https://www.unicef.org/innovation/stories/protecting-childrens-rights-in-digital-environments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18"/>
          <w:szCs w:val="18"/>
          <w:rtl w:val="0"/>
        </w:rPr>
        <w:t xml:space="preserve">Digital Child Rights Report (NL)</w:t>
      </w:r>
    </w:p>
    <w:p w:rsidR="00000000" w:rsidDel="00000000" w:rsidP="00000000" w:rsidRDefault="00000000" w:rsidRPr="00000000" w14:paraId="0000004B">
      <w:pPr>
        <w:ind w:left="720" w:firstLine="0"/>
        <w:rPr>
          <w:rFonts w:ascii="IBM Plex Mono" w:cs="IBM Plex Mono" w:eastAsia="IBM Plex Mono" w:hAnsi="IBM Plex Mono"/>
          <w:sz w:val="18"/>
          <w:szCs w:val="18"/>
        </w:rPr>
      </w:pPr>
      <w:hyperlink r:id="rId18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https://api.v1.iyyu.com/api/contentbox-file/r8WT0oHVhs8uVeEcQcohy6Eue05YutJFePEMQxa9vlUGvpoHSwqzP3QYQbYQXVtg/download</w:t>
        </w:r>
      </w:hyperlink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IBM Plex Mono" w:cs="IBM Plex Mono" w:eastAsia="IBM Plex Mono" w:hAnsi="IBM Plex Mono"/>
          <w:sz w:val="18"/>
          <w:szCs w:val="18"/>
        </w:rPr>
      </w:pPr>
      <w:hyperlink r:id="rId19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https://digitalebalans.nl/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Deliverables: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A functional prototype of the proposed AI-driven solution (e.g., chatbot, platform).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A clear user journey map, showcasing usability, safety, and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IBM Plex Mono" w:cs="IBM Plex Mono" w:eastAsia="IBM Plex Mono" w:hAnsi="IBM Plex Mono"/>
          <w:sz w:val="18"/>
          <w:szCs w:val="1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A presentation explaining how the solution addresses the problem statement, its scalability, and its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IBM Plex Mono" w:cs="IBM Plex Mono" w:eastAsia="IBM Plex Mono" w:hAnsi="IBM Plex Mono"/>
          <w:sz w:val="16"/>
          <w:szCs w:val="16"/>
        </w:rPr>
      </w:pPr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Project Lead: </w:t>
        <w:tab/>
        <w:t xml:space="preserve">Peter  </w:t>
      </w:r>
      <w:hyperlink r:id="rId20">
        <w:r w:rsidDel="00000000" w:rsidR="00000000" w:rsidRPr="00000000">
          <w:rPr>
            <w:rFonts w:ascii="IBM Plex Mono" w:cs="IBM Plex Mono" w:eastAsia="IBM Plex Mono" w:hAnsi="IBM Plex Mono"/>
            <w:color w:val="1155cc"/>
            <w:sz w:val="18"/>
            <w:szCs w:val="18"/>
            <w:u w:val="single"/>
            <w:rtl w:val="0"/>
          </w:rPr>
          <w:t xml:space="preserve">info@digitalchildrights.org</w:t>
        </w:r>
      </w:hyperlink>
      <w:r w:rsidDel="00000000" w:rsidR="00000000" w:rsidRPr="00000000">
        <w:rPr>
          <w:rFonts w:ascii="IBM Plex Mono" w:cs="IBM Plex Mono" w:eastAsia="IBM Plex Mono" w:hAnsi="IBM Plex Mon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IBM Plex Mono" w:cs="IBM Plex Mono" w:eastAsia="IBM Plex Mono" w:hAnsi="IBM Plex Mon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>
        <w:rFonts w:ascii="IBM Plex Mono" w:cs="IBM Plex Mono" w:eastAsia="IBM Plex Mono" w:hAnsi="IBM Plex Mono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>
        <w:rFonts w:ascii="IBM Plex Mono" w:cs="IBM Plex Mono" w:eastAsia="IBM Plex Mono" w:hAnsi="IBM Plex Mono"/>
        <w:i w:val="1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-28567</wp:posOffset>
          </wp:positionH>
          <wp:positionV relativeFrom="page">
            <wp:posOffset>0</wp:posOffset>
          </wp:positionV>
          <wp:extent cx="4695825" cy="800100"/>
          <wp:effectExtent b="0" l="0" r="0" t="0"/>
          <wp:wrapTopAndBottom distB="114300" distT="114300"/>
          <wp:docPr id="2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5571" l="1495" r="1493" t="15572"/>
                  <a:stretch>
                    <a:fillRect/>
                  </a:stretch>
                </pic:blipFill>
                <pic:spPr>
                  <a:xfrm>
                    <a:off x="0" y="0"/>
                    <a:ext cx="4695825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-342899</wp:posOffset>
          </wp:positionV>
          <wp:extent cx="1976438" cy="628866"/>
          <wp:effectExtent b="0" l="0" r="0" t="0"/>
          <wp:wrapNone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6438" cy="62886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info@digitalchildrights.org" TargetMode="External"/><Relationship Id="rId11" Type="http://schemas.openxmlformats.org/officeDocument/2006/relationships/hyperlink" Target="https://digitalyouthindex.uk/exploredata/" TargetMode="External"/><Relationship Id="rId22" Type="http://schemas.openxmlformats.org/officeDocument/2006/relationships/header" Target="header2.xml"/><Relationship Id="rId10" Type="http://schemas.openxmlformats.org/officeDocument/2006/relationships/hyperlink" Target="https://troomi.com/blog/introducing-troodi-your-childs-ai-mental-health-coach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link.springer.com/article/10.1007/s10639-022-11177-3" TargetMode="External"/><Relationship Id="rId24" Type="http://schemas.openxmlformats.org/officeDocument/2006/relationships/footer" Target="footer2.xml"/><Relationship Id="rId12" Type="http://schemas.openxmlformats.org/officeDocument/2006/relationships/hyperlink" Target="https://www.unicef.org/innocenti/reports/policy-guidance-ai-children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s://gdpr-info.eu/" TargetMode="External"/><Relationship Id="rId14" Type="http://schemas.openxmlformats.org/officeDocument/2006/relationships/hyperlink" Target="https://arxiv.org/abs/2306.10645" TargetMode="External"/><Relationship Id="rId17" Type="http://schemas.openxmlformats.org/officeDocument/2006/relationships/hyperlink" Target="https://www.unicef.org/innovation/stories/protecting-childrens-rights-in-digital-environments" TargetMode="External"/><Relationship Id="rId16" Type="http://schemas.openxmlformats.org/officeDocument/2006/relationships/hyperlink" Target="https://aif360.res.ibm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igitalebalans.nl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pi.v1.iyyu.com/api/contentbox-file/r8WT0oHVhs8uVeEcQcohy6Eue05YutJFePEMQxa9vlUGvpoHSwqzP3QYQbYQXVtg/download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8OnEpfx16VHo4D93ReCupKYgQ==">CgMxLjA4AHIhMUNFTGFtX2RiaVNuMG04bWxnQzNnbEF5RXJqM3JLUE5R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