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rFonts w:ascii="Sura" w:cs="Sura" w:eastAsia="Sura" w:hAnsi="Sura"/>
        </w:rPr>
      </w:pPr>
      <w:r w:rsidDel="00000000" w:rsidR="00000000" w:rsidRPr="00000000">
        <w:rPr>
          <w:rFonts w:ascii="Sura" w:cs="Sura" w:eastAsia="Sura" w:hAnsi="Sura"/>
          <w:smallCaps w:val="1"/>
          <w:color w:val="888888"/>
          <w:sz w:val="18"/>
          <w:szCs w:val="18"/>
          <w:rtl w:val="0"/>
        </w:rPr>
        <w:t xml:space="preserve">WODEN DIGITAL STORYGUIDE—CONTENT TEMPLATE</w:t>
      </w:r>
      <w:r w:rsidDel="00000000" w:rsidR="00000000" w:rsidRPr="00000000">
        <w:rPr>
          <w:rtl w:val="0"/>
        </w:rPr>
      </w:r>
    </w:p>
    <w:p w:rsidR="00000000" w:rsidDel="00000000" w:rsidP="00000000" w:rsidRDefault="00000000" w:rsidRPr="00000000" w14:paraId="00000002">
      <w:pPr>
        <w:pStyle w:val="Heading1"/>
        <w:pBdr>
          <w:bottom w:color="000000" w:space="0" w:sz="8" w:val="single"/>
        </w:pBdr>
        <w:spacing w:after="40" w:lineRule="auto"/>
        <w:rPr/>
      </w:pPr>
      <w:bookmarkStart w:colFirst="0" w:colLast="0" w:name="_heading=h.yeyntkk35v74" w:id="0"/>
      <w:bookmarkEnd w:id="0"/>
      <w:r w:rsidDel="00000000" w:rsidR="00000000" w:rsidRPr="00000000">
        <w:rPr>
          <w:rtl w:val="0"/>
        </w:rPr>
        <w:t xml:space="preserve">THE STORYKERNEL</w:t>
      </w:r>
    </w:p>
    <w:p w:rsidR="00000000" w:rsidDel="00000000" w:rsidP="00000000" w:rsidRDefault="00000000" w:rsidRPr="00000000" w14:paraId="00000003">
      <w:pPr>
        <w:spacing w:before="80" w:lineRule="auto"/>
        <w:rPr>
          <w:rFonts w:ascii="Sura" w:cs="Sura" w:eastAsia="Sura" w:hAnsi="Sura"/>
        </w:rPr>
      </w:pPr>
      <w:r w:rsidDel="00000000" w:rsidR="00000000" w:rsidRPr="00000000">
        <w:rPr>
          <w:rFonts w:ascii="Sura" w:cs="Sura" w:eastAsia="Sura" w:hAnsi="Sura"/>
          <w:color w:val="555555"/>
          <w:rtl w:val="0"/>
        </w:rPr>
        <w:t xml:space="preserve">Strategic Narrative Foundation</w:t>
      </w:r>
      <w:r w:rsidDel="00000000" w:rsidR="00000000" w:rsidRPr="00000000">
        <w:rPr>
          <w:rtl w:val="0"/>
        </w:rPr>
      </w:r>
    </w:p>
    <w:p w:rsidR="00000000" w:rsidDel="00000000" w:rsidP="00000000" w:rsidRDefault="00000000" w:rsidRPr="00000000" w14:paraId="00000004">
      <w:pPr>
        <w:spacing w:before="240" w:lineRule="auto"/>
        <w:rPr>
          <w:rFonts w:ascii="Sura" w:cs="Sura" w:eastAsia="Sura" w:hAnsi="Sura"/>
        </w:rPr>
      </w:pPr>
      <w:r w:rsidDel="00000000" w:rsidR="00000000" w:rsidRPr="00000000">
        <w:rPr>
          <w:rtl w:val="0"/>
        </w:rPr>
      </w:r>
    </w:p>
    <w:p w:rsidR="00000000" w:rsidDel="00000000" w:rsidP="00000000" w:rsidRDefault="00000000" w:rsidRPr="00000000" w14:paraId="00000005">
      <w:pPr>
        <w:pStyle w:val="Heading2"/>
        <w:pBdr>
          <w:bottom w:color="000000" w:space="0" w:sz="4" w:val="single"/>
        </w:pBdr>
        <w:spacing w:after="100" w:before="320" w:lineRule="auto"/>
        <w:rPr/>
      </w:pPr>
      <w:bookmarkStart w:colFirst="0" w:colLast="0" w:name="_heading=h.55mucrv1w11l" w:id="1"/>
      <w:bookmarkEnd w:id="1"/>
      <w:r w:rsidDel="00000000" w:rsidR="00000000" w:rsidRPr="00000000">
        <w:rPr>
          <w:rtl w:val="0"/>
        </w:rPr>
        <w:t xml:space="preserve">PAGE METADATA</w:t>
      </w:r>
    </w:p>
    <w:p w:rsidR="00000000" w:rsidDel="00000000" w:rsidP="00000000" w:rsidRDefault="00000000" w:rsidRPr="00000000" w14:paraId="00000006">
      <w:pPr>
        <w:spacing w:after="80" w:before="60" w:lineRule="auto"/>
        <w:rPr>
          <w:rFonts w:ascii="Sura" w:cs="Sura" w:eastAsia="Sura" w:hAnsi="Sura"/>
        </w:rPr>
      </w:pPr>
      <w:r w:rsidDel="00000000" w:rsidR="00000000" w:rsidRPr="00000000">
        <w:rPr>
          <w:rFonts w:ascii="Sura" w:cs="Sura" w:eastAsia="Sura" w:hAnsi="Sura"/>
          <w:color w:val="555555"/>
          <w:sz w:val="18"/>
          <w:szCs w:val="18"/>
          <w:rtl w:val="0"/>
        </w:rPr>
        <w:t xml:space="preserve">These fields define the page’s identity in the site architecture. They are used by the platform to build navigation and rendering behavior.</w:t>
      </w:r>
      <w:r w:rsidDel="00000000" w:rsidR="00000000" w:rsidRPr="00000000">
        <w:rPr>
          <w:rtl w:val="0"/>
        </w:rPr>
      </w:r>
    </w:p>
    <w:p w:rsidR="00000000" w:rsidDel="00000000" w:rsidP="00000000" w:rsidRDefault="00000000" w:rsidRPr="00000000" w14:paraId="00000007">
      <w:pPr>
        <w:spacing w:before="80" w:lineRule="auto"/>
        <w:rPr>
          <w:rFonts w:ascii="Sura" w:cs="Sura" w:eastAsia="Sura" w:hAnsi="Sur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rHeight w:val="420.52734375" w:hRule="atLeast"/>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20.0" w:type="dxa"/>
            </w:tcMar>
          </w:tcPr>
          <w:p w:rsidR="00000000" w:rsidDel="00000000" w:rsidP="00000000" w:rsidRDefault="00000000" w:rsidRPr="00000000" w14:paraId="00000008">
            <w:pPr>
              <w:rPr>
                <w:rFonts w:ascii="Sura" w:cs="Sura" w:eastAsia="Sura" w:hAnsi="Sura"/>
              </w:rPr>
            </w:pPr>
            <w:r w:rsidDel="00000000" w:rsidR="00000000" w:rsidRPr="00000000">
              <w:rPr>
                <w:rFonts w:ascii="Sura" w:cs="Sura" w:eastAsia="Sura" w:hAnsi="Sura"/>
                <w:b w:val="1"/>
                <w:bCs w:val="1"/>
                <w:rtl w:val="0"/>
              </w:rPr>
              <w:t xml:space="preserve">PAGE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0.0" w:type="dxa"/>
              <w:bottom w:w="50.0" w:type="dxa"/>
              <w:right w:w="0.0" w:type="dxa"/>
            </w:tcMar>
          </w:tcPr>
          <w:p w:rsidR="00000000" w:rsidDel="00000000" w:rsidP="00000000" w:rsidRDefault="00000000" w:rsidRPr="00000000" w14:paraId="00000009">
            <w:pPr>
              <w:rPr>
                <w:rFonts w:ascii="Sura" w:cs="Sura" w:eastAsia="Sura" w:hAnsi="Sura"/>
              </w:rPr>
            </w:pPr>
            <w:r w:rsidDel="00000000" w:rsidR="00000000" w:rsidRPr="00000000">
              <w:rPr>
                <w:rFonts w:ascii="Sura" w:cs="Sura" w:eastAsia="Sura" w:hAnsi="Sura"/>
                <w:rtl w:val="0"/>
              </w:rPr>
              <w:t xml:space="preserve">StoryKernel</w:t>
            </w:r>
          </w:p>
        </w:tc>
      </w:tr>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20.0" w:type="dxa"/>
            </w:tcMar>
          </w:tcPr>
          <w:p w:rsidR="00000000" w:rsidDel="00000000" w:rsidP="00000000" w:rsidRDefault="00000000" w:rsidRPr="00000000" w14:paraId="0000000A">
            <w:pPr>
              <w:rPr>
                <w:rFonts w:ascii="Sura" w:cs="Sura" w:eastAsia="Sura" w:hAnsi="Sura"/>
              </w:rPr>
            </w:pPr>
            <w:r w:rsidDel="00000000" w:rsidR="00000000" w:rsidRPr="00000000">
              <w:rPr>
                <w:rFonts w:ascii="Sura" w:cs="Sura" w:eastAsia="Sura" w:hAnsi="Sura"/>
                <w:b w:val="1"/>
                <w:bCs w:val="1"/>
                <w:rtl w:val="0"/>
              </w:rPr>
              <w:t xml:space="preserve">NAVIGATION PARENT: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0.0" w:type="dxa"/>
              <w:bottom w:w="50.0" w:type="dxa"/>
              <w:right w:w="0.0" w:type="dxa"/>
            </w:tcMar>
          </w:tcPr>
          <w:p w:rsidR="00000000" w:rsidDel="00000000" w:rsidP="00000000" w:rsidRDefault="00000000" w:rsidRPr="00000000" w14:paraId="0000000B">
            <w:pPr>
              <w:rPr>
                <w:rFonts w:ascii="Sura" w:cs="Sura" w:eastAsia="Sura" w:hAnsi="Sura"/>
              </w:rPr>
            </w:pPr>
            <w:r w:rsidDel="00000000" w:rsidR="00000000" w:rsidRPr="00000000">
              <w:rPr>
                <w:rFonts w:ascii="Sura" w:cs="Sura" w:eastAsia="Sura" w:hAnsi="Sura"/>
                <w:rtl w:val="0"/>
              </w:rPr>
              <w:t xml:space="preserve">Top-level navigation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20.0" w:type="dxa"/>
            </w:tcMar>
          </w:tcPr>
          <w:p w:rsidR="00000000" w:rsidDel="00000000" w:rsidP="00000000" w:rsidRDefault="00000000" w:rsidRPr="00000000" w14:paraId="0000000C">
            <w:pPr>
              <w:rPr>
                <w:rFonts w:ascii="Sura" w:cs="Sura" w:eastAsia="Sura" w:hAnsi="Sura"/>
              </w:rPr>
            </w:pPr>
            <w:r w:rsidDel="00000000" w:rsidR="00000000" w:rsidRPr="00000000">
              <w:rPr>
                <w:rFonts w:ascii="Sura" w:cs="Sura" w:eastAsia="Sura" w:hAnsi="Sura"/>
                <w:b w:val="1"/>
                <w:bCs w:val="1"/>
                <w:rtl w:val="0"/>
              </w:rPr>
              <w:t xml:space="preserve">SECTIONS: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0.0" w:type="dxa"/>
              <w:bottom w:w="50.0" w:type="dxa"/>
              <w:right w:w="0.0" w:type="dxa"/>
            </w:tcMar>
          </w:tcPr>
          <w:p w:rsidR="00000000" w:rsidDel="00000000" w:rsidP="00000000" w:rsidRDefault="00000000" w:rsidRPr="00000000" w14:paraId="0000000D">
            <w:pPr>
              <w:rPr>
                <w:rFonts w:ascii="Sura" w:cs="Sura" w:eastAsia="Sura" w:hAnsi="Sura"/>
              </w:rPr>
            </w:pPr>
            <w:r w:rsidDel="00000000" w:rsidR="00000000" w:rsidRPr="00000000">
              <w:rPr>
                <w:rFonts w:ascii="Sura" w:cs="Sura" w:eastAsia="Sura" w:hAnsi="Sura"/>
                <w:rtl w:val="0"/>
              </w:rPr>
              <w:t xml:space="preserve">A Story of Change, The Nine-Part Arc, The [CLIENT] StoryKernel, StoryEngine Prompts</w:t>
            </w:r>
          </w:p>
        </w:tc>
      </w:tr>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20.0" w:type="dxa"/>
            </w:tcMar>
          </w:tcPr>
          <w:p w:rsidR="00000000" w:rsidDel="00000000" w:rsidP="00000000" w:rsidRDefault="00000000" w:rsidRPr="00000000" w14:paraId="0000000E">
            <w:pPr>
              <w:rPr>
                <w:rFonts w:ascii="Sura" w:cs="Sura" w:eastAsia="Sura" w:hAnsi="Sura"/>
              </w:rPr>
            </w:pPr>
            <w:r w:rsidDel="00000000" w:rsidR="00000000" w:rsidRPr="00000000">
              <w:rPr>
                <w:rFonts w:ascii="Sura" w:cs="Sura" w:eastAsia="Sura" w:hAnsi="Sura"/>
                <w:b w:val="1"/>
                <w:bCs w:val="1"/>
                <w:rtl w:val="0"/>
              </w:rPr>
              <w:t xml:space="preserve">UI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0.0" w:type="dxa"/>
              <w:bottom w:w="50.0" w:type="dxa"/>
              <w:right w:w="0.0" w:type="dxa"/>
            </w:tcMar>
          </w:tcPr>
          <w:p w:rsidR="00000000" w:rsidDel="00000000" w:rsidP="00000000" w:rsidRDefault="00000000" w:rsidRPr="00000000" w14:paraId="0000000F">
            <w:pPr>
              <w:rPr>
                <w:rFonts w:ascii="Sura" w:cs="Sura" w:eastAsia="Sura" w:hAnsi="Sura"/>
              </w:rPr>
            </w:pPr>
            <w:r w:rsidDel="00000000" w:rsidR="00000000" w:rsidRPr="00000000">
              <w:rPr>
                <w:rFonts w:ascii="Sura" w:cs="Sura" w:eastAsia="Sura" w:hAnsi="Sura"/>
                <w:rtl w:val="0"/>
              </w:rPr>
              <w:t xml:space="preserve">Three sections on a single scrolling page. Section 1: historical context of storytelling displayed as text. Section 2: nine arc cards displayed in sequence. Section 3: client StoryKernel prose with hover tooltips on annotated passages. Section 4: pre-loaded prompts for the AI tool.</w:t>
            </w:r>
          </w:p>
        </w:tc>
      </w:tr>
    </w:tbl>
    <w:p w:rsidR="00000000" w:rsidDel="00000000" w:rsidP="00000000" w:rsidRDefault="00000000" w:rsidRPr="00000000" w14:paraId="00000010">
      <w:pPr>
        <w:spacing w:before="200" w:lineRule="auto"/>
        <w:rPr>
          <w:rFonts w:ascii="Sura" w:cs="Sura" w:eastAsia="Sura" w:hAnsi="Sura"/>
        </w:rPr>
      </w:pPr>
      <w:r w:rsidDel="00000000" w:rsidR="00000000" w:rsidRPr="00000000">
        <w:rPr>
          <w:rtl w:val="0"/>
        </w:rPr>
      </w:r>
    </w:p>
    <w:p w:rsidR="00000000" w:rsidDel="00000000" w:rsidP="00000000" w:rsidRDefault="00000000" w:rsidRPr="00000000" w14:paraId="00000011">
      <w:pPr>
        <w:pStyle w:val="Heading2"/>
        <w:pBdr>
          <w:bottom w:color="000000" w:space="0" w:sz="4" w:val="single"/>
        </w:pBdr>
        <w:spacing w:after="100" w:before="320" w:lineRule="auto"/>
        <w:rPr/>
      </w:pPr>
      <w:bookmarkStart w:colFirst="0" w:colLast="0" w:name="_heading=h.p6n5bftta40a" w:id="2"/>
      <w:bookmarkEnd w:id="2"/>
      <w:r w:rsidDel="00000000" w:rsidR="00000000" w:rsidRPr="00000000">
        <w:rPr>
          <w:rtl w:val="0"/>
        </w:rPr>
        <w:t xml:space="preserve">A STORY OF CHANGE</w:t>
      </w:r>
    </w:p>
    <w:p w:rsidR="00000000" w:rsidDel="00000000" w:rsidP="00000000" w:rsidRDefault="00000000" w:rsidRPr="00000000" w14:paraId="00000012">
      <w:pPr>
        <w:spacing w:after="100" w:lineRule="auto"/>
        <w:rPr>
          <w:rFonts w:ascii="Sura" w:cs="Sura" w:eastAsia="Sura" w:hAnsi="Sura"/>
          <w:color w:val="555555"/>
          <w:sz w:val="18"/>
          <w:szCs w:val="18"/>
        </w:rPr>
      </w:pPr>
      <w:r w:rsidDel="00000000" w:rsidR="00000000" w:rsidRPr="00000000">
        <w:rPr>
          <w:rFonts w:ascii="Sura" w:cs="Sura" w:eastAsia="Sura" w:hAnsi="Sura"/>
          <w:color w:val="555555"/>
          <w:sz w:val="18"/>
          <w:szCs w:val="18"/>
          <w:rtl w:val="0"/>
        </w:rPr>
        <w:t xml:space="preserve">The brands that win are the ones with stories that inspire buyers to action.</w:t>
      </w:r>
    </w:p>
    <w:p w:rsidR="00000000" w:rsidDel="00000000" w:rsidP="00000000" w:rsidRDefault="00000000" w:rsidRPr="00000000" w14:paraId="00000013">
      <w:pPr>
        <w:spacing w:after="100" w:lineRule="auto"/>
        <w:rPr>
          <w:rFonts w:ascii="Sura" w:cs="Sura" w:eastAsia="Sura" w:hAnsi="Sura"/>
          <w:color w:val="555555"/>
          <w:sz w:val="18"/>
          <w:szCs w:val="18"/>
        </w:rPr>
      </w:pPr>
      <w:r w:rsidDel="00000000" w:rsidR="00000000" w:rsidRPr="00000000">
        <w:rPr>
          <w:rFonts w:ascii="Sura" w:cs="Sura" w:eastAsia="Sura" w:hAnsi="Sura"/>
          <w:color w:val="555555"/>
          <w:sz w:val="18"/>
          <w:szCs w:val="18"/>
          <w:rtl w:val="0"/>
        </w:rPr>
        <w:t xml:space="preserve">The StoryKernel is Woden's proprietary process for creating a strategic narrative: a customer-centric story of change that captures your brand's unique view of its market and why it's credible to help buyers navigate that change. The StoryKernel repositions your customer as the hero of the story and your brand as their mentor. It is designed to pull your best-fit buyers towards you and unlock efficient, customer-led growth. </w:t>
      </w:r>
    </w:p>
    <w:p w:rsidR="00000000" w:rsidDel="00000000" w:rsidP="00000000" w:rsidRDefault="00000000" w:rsidRPr="00000000" w14:paraId="00000014">
      <w:pPr>
        <w:spacing w:after="100" w:lineRule="auto"/>
        <w:rPr>
          <w:rFonts w:ascii="Sura" w:cs="Sura" w:eastAsia="Sura" w:hAnsi="Sura"/>
          <w:b w:val="1"/>
          <w:bCs w:val="1"/>
          <w:color w:val="555555"/>
          <w:sz w:val="18"/>
          <w:szCs w:val="18"/>
        </w:rPr>
      </w:pPr>
      <w:r w:rsidDel="00000000" w:rsidR="00000000" w:rsidRPr="00000000">
        <w:rPr>
          <w:rFonts w:ascii="Sura" w:cs="Sura" w:eastAsia="Sura" w:hAnsi="Sura"/>
          <w:b w:val="1"/>
          <w:bCs w:val="1"/>
          <w:color w:val="555555"/>
          <w:sz w:val="18"/>
          <w:szCs w:val="18"/>
          <w:rtl w:val="0"/>
        </w:rPr>
        <w:t xml:space="preserve">An Ancient Structure</w:t>
      </w:r>
    </w:p>
    <w:p w:rsidR="00000000" w:rsidDel="00000000" w:rsidP="00000000" w:rsidRDefault="00000000" w:rsidRPr="00000000" w14:paraId="00000015">
      <w:pPr>
        <w:spacing w:after="100" w:lineRule="auto"/>
        <w:rPr>
          <w:rFonts w:ascii="Sura" w:cs="Sura" w:eastAsia="Sura" w:hAnsi="Sura"/>
          <w:color w:val="555555"/>
          <w:sz w:val="18"/>
          <w:szCs w:val="18"/>
        </w:rPr>
      </w:pPr>
      <w:r w:rsidDel="00000000" w:rsidR="00000000" w:rsidRPr="00000000">
        <w:rPr>
          <w:rFonts w:ascii="Sura" w:cs="Sura" w:eastAsia="Sura" w:hAnsi="Sura"/>
          <w:color w:val="555555"/>
          <w:sz w:val="18"/>
          <w:szCs w:val="18"/>
          <w:rtl w:val="0"/>
        </w:rPr>
        <w:t xml:space="preserve">People have been sharing stories for most of human history. </w:t>
      </w:r>
    </w:p>
    <w:p w:rsidR="00000000" w:rsidDel="00000000" w:rsidP="00000000" w:rsidRDefault="00000000" w:rsidRPr="00000000" w14:paraId="00000016">
      <w:pPr>
        <w:spacing w:after="100" w:lineRule="auto"/>
        <w:rPr>
          <w:rFonts w:ascii="Sura" w:cs="Sura" w:eastAsia="Sura" w:hAnsi="Sura"/>
          <w:color w:val="555555"/>
          <w:sz w:val="18"/>
          <w:szCs w:val="18"/>
        </w:rPr>
      </w:pPr>
      <w:r w:rsidDel="00000000" w:rsidR="00000000" w:rsidRPr="00000000">
        <w:rPr>
          <w:rFonts w:ascii="Sura" w:cs="Sura" w:eastAsia="Sura" w:hAnsi="Sura"/>
          <w:color w:val="555555"/>
          <w:sz w:val="18"/>
          <w:szCs w:val="18"/>
          <w:rtl w:val="0"/>
        </w:rPr>
        <w:t xml:space="preserve">Long before business strategy, there was narrative. Etched on cave walls or shared around the campfire, the stories that endured followed one storytelling arc more than any other: the Hero's Journey, codified by mythologist Joseph Campbell and echoed in countless modern narratives, from Star Wars to Rocky to The Hunger Games. Campbell noticed a consistent pattern in the world's myths: a hero ventures forth from the ordinary world, faces trials, receives help from a mentor, and returns transformed. It's a structure that has endured because it reflects the emotional arc of human experience. </w:t>
      </w:r>
    </w:p>
    <w:p w:rsidR="00000000" w:rsidDel="00000000" w:rsidP="00000000" w:rsidRDefault="00000000" w:rsidRPr="00000000" w14:paraId="00000017">
      <w:pPr>
        <w:spacing w:after="100" w:lineRule="auto"/>
        <w:rPr>
          <w:rFonts w:ascii="Sura" w:cs="Sura" w:eastAsia="Sura" w:hAnsi="Sura"/>
          <w:color w:val="555555"/>
          <w:sz w:val="18"/>
          <w:szCs w:val="18"/>
        </w:rPr>
      </w:pPr>
      <w:r w:rsidDel="00000000" w:rsidR="00000000" w:rsidRPr="00000000">
        <w:rPr>
          <w:rFonts w:ascii="Sura" w:cs="Sura" w:eastAsia="Sura" w:hAnsi="Sura"/>
          <w:color w:val="555555"/>
          <w:sz w:val="18"/>
          <w:szCs w:val="18"/>
          <w:rtl w:val="0"/>
        </w:rPr>
        <w:t xml:space="preserve">The StoryKernel translates Campbell's arc into a framework that brands can use to tell a consistent, differentiated story across their buying journey. Stories work because they’re easy to remember and share, build community through shared beliefs, and make complex ideas simple.</w:t>
      </w:r>
    </w:p>
    <w:p w:rsidR="00000000" w:rsidDel="00000000" w:rsidP="00000000" w:rsidRDefault="00000000" w:rsidRPr="00000000" w14:paraId="00000018">
      <w:pPr>
        <w:spacing w:after="100" w:lineRule="auto"/>
        <w:rPr>
          <w:rFonts w:ascii="Sura" w:cs="Sura" w:eastAsia="Sura" w:hAnsi="Sura"/>
          <w:b w:val="1"/>
          <w:bCs w:val="1"/>
          <w:color w:val="555555"/>
          <w:sz w:val="18"/>
          <w:szCs w:val="18"/>
        </w:rPr>
      </w:pPr>
      <w:r w:rsidDel="00000000" w:rsidR="00000000" w:rsidRPr="00000000">
        <w:rPr>
          <w:rFonts w:ascii="Sura" w:cs="Sura" w:eastAsia="Sura" w:hAnsi="Sura"/>
          <w:b w:val="1"/>
          <w:bCs w:val="1"/>
          <w:color w:val="555555"/>
          <w:sz w:val="18"/>
          <w:szCs w:val="18"/>
          <w:rtl w:val="0"/>
        </w:rPr>
        <w:t xml:space="preserve">Powered by Purpose</w:t>
      </w:r>
    </w:p>
    <w:p w:rsidR="00000000" w:rsidDel="00000000" w:rsidP="00000000" w:rsidRDefault="00000000" w:rsidRPr="00000000" w14:paraId="00000019">
      <w:pPr>
        <w:spacing w:after="100" w:lineRule="auto"/>
        <w:rPr>
          <w:rFonts w:ascii="Sura" w:cs="Sura" w:eastAsia="Sura" w:hAnsi="Sura"/>
          <w:color w:val="555555"/>
          <w:sz w:val="18"/>
          <w:szCs w:val="18"/>
        </w:rPr>
      </w:pPr>
      <w:r w:rsidDel="00000000" w:rsidR="00000000" w:rsidRPr="00000000">
        <w:rPr>
          <w:rFonts w:ascii="Sura" w:cs="Sura" w:eastAsia="Sura" w:hAnsi="Sura"/>
          <w:color w:val="555555"/>
          <w:sz w:val="18"/>
          <w:szCs w:val="18"/>
          <w:rtl w:val="0"/>
        </w:rPr>
        <w:t xml:space="preserve">Stories exist to communicate belief. The StoryKernel is anchored in your brand’s purpose: the core of why the company started in the first place. This purpose must transcend your products or services to connect with the buyer's own beliefs. </w:t>
      </w:r>
    </w:p>
    <w:p w:rsidR="00000000" w:rsidDel="00000000" w:rsidP="00000000" w:rsidRDefault="00000000" w:rsidRPr="00000000" w14:paraId="0000001A">
      <w:pPr>
        <w:spacing w:after="100" w:lineRule="auto"/>
        <w:rPr>
          <w:rFonts w:ascii="Sura" w:cs="Sura" w:eastAsia="Sura" w:hAnsi="Sura"/>
          <w:color w:val="555555"/>
          <w:sz w:val="18"/>
          <w:szCs w:val="18"/>
        </w:rPr>
      </w:pPr>
      <w:r w:rsidDel="00000000" w:rsidR="00000000" w:rsidRPr="00000000">
        <w:rPr>
          <w:rFonts w:ascii="Sura" w:cs="Sura" w:eastAsia="Sura" w:hAnsi="Sura"/>
          <w:color w:val="555555"/>
          <w:sz w:val="18"/>
          <w:szCs w:val="18"/>
          <w:rtl w:val="0"/>
        </w:rPr>
        <w:t xml:space="preserve">Your strategic narrative is only effective when it can articulate your purpose, which must be unique to your brand, relevant to your buyer, and authentic. Your company must be committed to realizing it and willing to stand behind it. Your purpose captures a state of change, as this is the core of the arc your own story will tell and the impact your brand creates.</w:t>
      </w:r>
    </w:p>
    <w:p w:rsidR="00000000" w:rsidDel="00000000" w:rsidP="00000000" w:rsidRDefault="00000000" w:rsidRPr="00000000" w14:paraId="0000001B">
      <w:pPr>
        <w:spacing w:after="100" w:lineRule="auto"/>
        <w:rPr>
          <w:rFonts w:ascii="Sura" w:cs="Sura" w:eastAsia="Sura" w:hAnsi="Sura"/>
          <w:b w:val="1"/>
          <w:bCs w:val="1"/>
          <w:color w:val="555555"/>
          <w:sz w:val="18"/>
          <w:szCs w:val="18"/>
        </w:rPr>
      </w:pPr>
      <w:r w:rsidDel="00000000" w:rsidR="00000000" w:rsidRPr="00000000">
        <w:rPr>
          <w:rFonts w:ascii="Sura" w:cs="Sura" w:eastAsia="Sura" w:hAnsi="Sura"/>
          <w:b w:val="1"/>
          <w:bCs w:val="1"/>
          <w:color w:val="555555"/>
          <w:sz w:val="18"/>
          <w:szCs w:val="18"/>
          <w:rtl w:val="0"/>
        </w:rPr>
        <w:t xml:space="preserve">Strategic Narrative: A Story of Change </w:t>
      </w:r>
    </w:p>
    <w:p w:rsidR="00000000" w:rsidDel="00000000" w:rsidP="00000000" w:rsidRDefault="00000000" w:rsidRPr="00000000" w14:paraId="0000001C">
      <w:pPr>
        <w:spacing w:after="100" w:lineRule="auto"/>
        <w:rPr>
          <w:rFonts w:ascii="Sura" w:cs="Sura" w:eastAsia="Sura" w:hAnsi="Sura"/>
          <w:color w:val="555555"/>
          <w:sz w:val="18"/>
          <w:szCs w:val="18"/>
        </w:rPr>
      </w:pPr>
      <w:r w:rsidDel="00000000" w:rsidR="00000000" w:rsidRPr="00000000">
        <w:rPr>
          <w:rFonts w:ascii="Sura" w:cs="Sura" w:eastAsia="Sura" w:hAnsi="Sura"/>
          <w:color w:val="555555"/>
          <w:sz w:val="18"/>
          <w:szCs w:val="18"/>
          <w:rtl w:val="0"/>
        </w:rPr>
        <w:t xml:space="preserve">To share your brand’s belief with the world, you need a strategic narrative: a storytelling framework designed to capture the key elements of your story that you then retell across all your different storytelling applications. Woden crafted your strategic narrative, the StoryKernel, to ensure that every interaction you have with buyers is aligned with the message you want in the market. </w:t>
      </w:r>
    </w:p>
    <w:p w:rsidR="00000000" w:rsidDel="00000000" w:rsidP="00000000" w:rsidRDefault="00000000" w:rsidRPr="00000000" w14:paraId="0000001D">
      <w:pPr>
        <w:spacing w:after="100" w:lineRule="auto"/>
        <w:rPr>
          <w:rFonts w:ascii="Sura" w:cs="Sura" w:eastAsia="Sura" w:hAnsi="Sura"/>
          <w:color w:val="555555"/>
          <w:sz w:val="18"/>
          <w:szCs w:val="18"/>
        </w:rPr>
      </w:pPr>
      <w:r w:rsidDel="00000000" w:rsidR="00000000" w:rsidRPr="00000000">
        <w:rPr>
          <w:rFonts w:ascii="Sura" w:cs="Sura" w:eastAsia="Sura" w:hAnsi="Sura"/>
          <w:color w:val="555555"/>
          <w:sz w:val="18"/>
          <w:szCs w:val="18"/>
          <w:rtl w:val="0"/>
        </w:rPr>
        <w:t xml:space="preserve">Your StoryKernel challenges the status quo, resonates with your buyers, and invites them to join you on a journey of change.</w:t>
      </w:r>
    </w:p>
    <w:p w:rsidR="00000000" w:rsidDel="00000000" w:rsidP="00000000" w:rsidRDefault="00000000" w:rsidRPr="00000000" w14:paraId="0000001E">
      <w:pPr>
        <w:spacing w:after="100" w:lineRule="auto"/>
        <w:rPr>
          <w:rFonts w:ascii="Sura" w:cs="Sura" w:eastAsia="Sura" w:hAnsi="Sura"/>
          <w:b w:val="1"/>
          <w:bCs w:val="1"/>
          <w:smallCaps w:val="1"/>
          <w:sz w:val="24"/>
          <w:szCs w:val="24"/>
        </w:rPr>
      </w:pPr>
      <w:r w:rsidDel="00000000" w:rsidR="00000000" w:rsidRPr="00000000">
        <w:rPr>
          <w:rtl w:val="0"/>
        </w:rPr>
      </w:r>
    </w:p>
    <w:p w:rsidR="00000000" w:rsidDel="00000000" w:rsidP="00000000" w:rsidRDefault="00000000" w:rsidRPr="00000000" w14:paraId="0000001F">
      <w:pPr>
        <w:spacing w:before="200" w:lineRule="auto"/>
        <w:rPr>
          <w:rFonts w:ascii="Sura" w:cs="Sura" w:eastAsia="Sura" w:hAnsi="Sura"/>
        </w:rPr>
      </w:pPr>
      <w:r w:rsidDel="00000000" w:rsidR="00000000" w:rsidRPr="00000000">
        <w:rPr>
          <w:rtl w:val="0"/>
        </w:rPr>
      </w:r>
    </w:p>
    <w:p w:rsidR="00000000" w:rsidDel="00000000" w:rsidP="00000000" w:rsidRDefault="00000000" w:rsidRPr="00000000" w14:paraId="00000020">
      <w:pPr>
        <w:pStyle w:val="Heading2"/>
        <w:pBdr>
          <w:bottom w:color="000000" w:space="0" w:sz="4" w:val="single"/>
        </w:pBdr>
        <w:spacing w:after="100" w:before="320" w:lineRule="auto"/>
        <w:rPr/>
      </w:pPr>
      <w:bookmarkStart w:colFirst="0" w:colLast="0" w:name="_heading=h.vwo0zvvmzkz7" w:id="3"/>
      <w:bookmarkEnd w:id="3"/>
      <w:r w:rsidDel="00000000" w:rsidR="00000000" w:rsidRPr="00000000">
        <w:rPr>
          <w:rtl w:val="0"/>
        </w:rPr>
        <w:t xml:space="preserve">THE NINE-PART ARC</w:t>
      </w:r>
    </w:p>
    <w:p w:rsidR="00000000" w:rsidDel="00000000" w:rsidP="00000000" w:rsidRDefault="00000000" w:rsidRPr="00000000" w14:paraId="00000021">
      <w:pPr>
        <w:spacing w:after="80" w:before="40" w:lineRule="auto"/>
        <w:rPr>
          <w:rFonts w:ascii="Sura" w:cs="Sura" w:eastAsia="Sura" w:hAnsi="Sura"/>
        </w:rPr>
      </w:pPr>
      <w:r w:rsidDel="00000000" w:rsidR="00000000" w:rsidRPr="00000000">
        <w:rPr>
          <w:rFonts w:ascii="Sura" w:cs="Sura" w:eastAsia="Sura" w:hAnsi="Sura"/>
          <w:color w:val="555555"/>
          <w:sz w:val="18"/>
          <w:szCs w:val="18"/>
          <w:rtl w:val="0"/>
        </w:rPr>
        <w:t xml:space="preserve">Rendered as: Nine arc cards displayed in numbered sequence. Each card shows the arc section name, its corresponding Customer Journey stage, and a description of what it does and why it matters. Client-facing. Read-only. Evergreen—identical across all client StoryGuides.</w:t>
      </w:r>
      <w:r w:rsidDel="00000000" w:rsidR="00000000" w:rsidRPr="00000000">
        <w:rPr>
          <w:rtl w:val="0"/>
        </w:rPr>
      </w:r>
    </w:p>
    <w:p w:rsidR="00000000" w:rsidDel="00000000" w:rsidP="00000000" w:rsidRDefault="00000000" w:rsidRPr="00000000" w14:paraId="00000022">
      <w:pPr>
        <w:spacing w:before="100" w:lineRule="auto"/>
        <w:rPr>
          <w:rFonts w:ascii="Sura" w:cs="Sura" w:eastAsia="Sura" w:hAnsi="Sura"/>
        </w:rPr>
      </w:pPr>
      <w:r w:rsidDel="00000000" w:rsidR="00000000" w:rsidRPr="00000000">
        <w:rPr>
          <w:rFonts w:ascii="Sura" w:cs="Sura" w:eastAsia="Sura" w:hAnsi="Sura"/>
          <w:rtl w:val="0"/>
        </w:rPr>
        <w:t xml:space="preserve">All great stories have a Moral, the “lesson” they aim to teach their audience. The StorKernel is no different. Here your purpose is your moral. When your best-fit buyers hear your brand’s story, their own beliefs will be aligned with yours.</w:t>
      </w:r>
    </w:p>
    <w:p w:rsidR="00000000" w:rsidDel="00000000" w:rsidP="00000000" w:rsidRDefault="00000000" w:rsidRPr="00000000" w14:paraId="00000023">
      <w:pPr>
        <w:spacing w:before="100" w:lineRule="auto"/>
        <w:rPr>
          <w:rFonts w:ascii="Sura" w:cs="Sura" w:eastAsia="Sura" w:hAnsi="Sura"/>
        </w:rPr>
      </w:pPr>
      <w:r w:rsidDel="00000000" w:rsidR="00000000" w:rsidRPr="00000000">
        <w:rPr>
          <w:rFonts w:ascii="Sura" w:cs="Sura" w:eastAsia="Sura" w:hAnsi="Sura"/>
          <w:rtl w:val="0"/>
        </w:rPr>
        <w:t xml:space="preserve">To share that lesson with your audience, the StoryKernel is set up in a nine-part arc. The arc begins in the old world, where the Hero faces the threats, and ends in the new world, where they've overcome them with your brand's help. Each part of the arc flows into the next, outlining a story that pulls in your buyers: </w:t>
      </w:r>
    </w:p>
    <w:p w:rsidR="00000000" w:rsidDel="00000000" w:rsidP="00000000" w:rsidRDefault="00000000" w:rsidRPr="00000000" w14:paraId="00000024">
      <w:pPr>
        <w:spacing w:before="100" w:lineRule="auto"/>
        <w:rPr>
          <w:rFonts w:ascii="Sura" w:cs="Sura" w:eastAsia="Sura" w:hAnsi="Sura"/>
        </w:rPr>
      </w:pPr>
      <w:r w:rsidDel="00000000" w:rsidR="00000000" w:rsidRPr="00000000">
        <w:rPr>
          <w:rtl w:val="0"/>
        </w:rPr>
      </w:r>
    </w:p>
    <w:p w:rsidR="00000000" w:rsidDel="00000000" w:rsidP="00000000" w:rsidRDefault="00000000" w:rsidRPr="00000000" w14:paraId="00000025">
      <w:pPr>
        <w:spacing w:before="100" w:lineRule="auto"/>
        <w:rPr>
          <w:rFonts w:ascii="Sura" w:cs="Sura" w:eastAsia="Sura" w:hAnsi="Sura"/>
        </w:rPr>
      </w:pPr>
      <w:r w:rsidDel="00000000" w:rsidR="00000000" w:rsidRPr="00000000">
        <w:rPr>
          <w:rFonts w:ascii="Sura" w:cs="Sura" w:eastAsia="Sura" w:hAnsi="Sura"/>
          <w:rtl w:val="0"/>
        </w:rPr>
        <w:t xml:space="preserve">[NINE-PART ARC INFOGRAPHIC HERE]</w:t>
      </w:r>
    </w:p>
    <w:p w:rsidR="00000000" w:rsidDel="00000000" w:rsidP="00000000" w:rsidRDefault="00000000" w:rsidRPr="00000000" w14:paraId="00000026">
      <w:pPr>
        <w:spacing w:before="100" w:lineRule="auto"/>
        <w:rPr>
          <w:rFonts w:ascii="Sura" w:cs="Sura" w:eastAsia="Sura" w:hAnsi="Sura"/>
        </w:rPr>
      </w:pPr>
      <w:r w:rsidDel="00000000" w:rsidR="00000000" w:rsidRPr="00000000">
        <w:rPr>
          <w:rtl w:val="0"/>
        </w:rPr>
      </w:r>
    </w:p>
    <w:p w:rsidR="00000000" w:rsidDel="00000000" w:rsidP="00000000" w:rsidRDefault="00000000" w:rsidRPr="00000000" w14:paraId="00000027">
      <w:pPr>
        <w:spacing w:before="100" w:lineRule="auto"/>
        <w:rPr>
          <w:rFonts w:ascii="Sura" w:cs="Sura" w:eastAsia="Sura" w:hAnsi="Sur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222222" w:space="0" w:sz="18" w:val="single"/>
              <w:bottom w:color="aaaaaa" w:space="0" w:sz="4" w:val="single"/>
              <w:right w:color="aaaaaa" w:space="0" w:sz="4" w:val="single"/>
            </w:tcBorders>
            <w:tcMar>
              <w:top w:w="100.0" w:type="dxa"/>
              <w:left w:w="240.0" w:type="dxa"/>
              <w:bottom w:w="100.0" w:type="dxa"/>
              <w:right w:w="200.0" w:type="dxa"/>
            </w:tcMar>
          </w:tcPr>
          <w:p w:rsidR="00000000" w:rsidDel="00000000" w:rsidP="00000000" w:rsidRDefault="00000000" w:rsidRPr="00000000" w14:paraId="00000028">
            <w:pPr>
              <w:spacing w:after="40" w:lineRule="auto"/>
              <w:rPr>
                <w:rFonts w:ascii="Sura" w:cs="Sura" w:eastAsia="Sura" w:hAnsi="Sura"/>
              </w:rPr>
            </w:pPr>
            <w:r w:rsidDel="00000000" w:rsidR="00000000" w:rsidRPr="00000000">
              <w:rPr>
                <w:rFonts w:ascii="Sura" w:cs="Sura" w:eastAsia="Sura" w:hAnsi="Sura"/>
                <w:b w:val="1"/>
                <w:bCs w:val="1"/>
                <w:color w:val="aaaaaa"/>
                <w:sz w:val="18"/>
                <w:szCs w:val="18"/>
                <w:rtl w:val="0"/>
              </w:rPr>
              <w:t xml:space="preserve">1  </w:t>
            </w:r>
            <w:r w:rsidDel="00000000" w:rsidR="00000000" w:rsidRPr="00000000">
              <w:rPr>
                <w:rFonts w:ascii="Sura" w:cs="Sura" w:eastAsia="Sura" w:hAnsi="Sura"/>
                <w:b w:val="1"/>
                <w:bCs w:val="1"/>
                <w:sz w:val="22"/>
                <w:szCs w:val="22"/>
                <w:rtl w:val="0"/>
              </w:rPr>
              <w:t xml:space="preserve">Existential Threat</w:t>
            </w:r>
            <w:r w:rsidDel="00000000" w:rsidR="00000000" w:rsidRPr="00000000">
              <w:rPr>
                <w:rFonts w:ascii="Sura" w:cs="Sura" w:eastAsia="Sura" w:hAnsi="Sura"/>
                <w:color w:val="888888"/>
                <w:sz w:val="17"/>
                <w:szCs w:val="17"/>
                <w:rtl w:val="0"/>
              </w:rPr>
              <w:t xml:space="preserve">   —   Customer Journey: Awareness</w:t>
            </w:r>
            <w:r w:rsidDel="00000000" w:rsidR="00000000" w:rsidRPr="00000000">
              <w:rPr>
                <w:rtl w:val="0"/>
              </w:rPr>
            </w:r>
          </w:p>
          <w:p w:rsidR="00000000" w:rsidDel="00000000" w:rsidP="00000000" w:rsidRDefault="00000000" w:rsidRPr="00000000" w14:paraId="00000029">
            <w:pPr>
              <w:rPr>
                <w:rFonts w:ascii="Sura" w:cs="Sura" w:eastAsia="Sura" w:hAnsi="Sura"/>
              </w:rPr>
            </w:pPr>
            <w:r w:rsidDel="00000000" w:rsidR="00000000" w:rsidRPr="00000000">
              <w:rPr>
                <w:rFonts w:ascii="Sura" w:cs="Sura" w:eastAsia="Sura" w:hAnsi="Sura"/>
                <w:color w:val="333333"/>
                <w:sz w:val="19"/>
                <w:szCs w:val="19"/>
                <w:rtl w:val="0"/>
              </w:rPr>
              <w:t xml:space="preserve">Every compelling story begins with stakes. The Existential Threat identifies a significant shift or change in your market—something external to your buyer that makes the status quo untenable. This is the reality your buyer is already living with, whether they’re aware of it or not. By naming it first, your brand builds urgency and earns the right to be part of the conversation. The Existential Threat sets the stage for your story, pulling the buyer into the story and building urgency against the threat.</w:t>
            </w:r>
            <w:r w:rsidDel="00000000" w:rsidR="00000000" w:rsidRPr="00000000">
              <w:rPr>
                <w:rtl w:val="0"/>
              </w:rPr>
            </w:r>
          </w:p>
        </w:tc>
      </w:tr>
    </w:tbl>
    <w:p w:rsidR="00000000" w:rsidDel="00000000" w:rsidP="00000000" w:rsidRDefault="00000000" w:rsidRPr="00000000" w14:paraId="0000002A">
      <w:pPr>
        <w:spacing w:before="80" w:lineRule="auto"/>
        <w:rPr>
          <w:rFonts w:ascii="Sura" w:cs="Sura" w:eastAsia="Sura" w:hAnsi="Sur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222222" w:space="0" w:sz="18" w:val="single"/>
              <w:bottom w:color="aaaaaa" w:space="0" w:sz="4" w:val="single"/>
              <w:right w:color="aaaaaa" w:space="0" w:sz="4" w:val="single"/>
            </w:tcBorders>
            <w:tcMar>
              <w:top w:w="100.0" w:type="dxa"/>
              <w:left w:w="240.0" w:type="dxa"/>
              <w:bottom w:w="100.0" w:type="dxa"/>
              <w:right w:w="200.0" w:type="dxa"/>
            </w:tcMar>
          </w:tcPr>
          <w:p w:rsidR="00000000" w:rsidDel="00000000" w:rsidP="00000000" w:rsidRDefault="00000000" w:rsidRPr="00000000" w14:paraId="0000002B">
            <w:pPr>
              <w:spacing w:after="40" w:lineRule="auto"/>
              <w:rPr>
                <w:rFonts w:ascii="Sura" w:cs="Sura" w:eastAsia="Sura" w:hAnsi="Sura"/>
              </w:rPr>
            </w:pPr>
            <w:r w:rsidDel="00000000" w:rsidR="00000000" w:rsidRPr="00000000">
              <w:rPr>
                <w:rFonts w:ascii="Sura" w:cs="Sura" w:eastAsia="Sura" w:hAnsi="Sura"/>
                <w:b w:val="1"/>
                <w:bCs w:val="1"/>
                <w:color w:val="aaaaaa"/>
                <w:sz w:val="18"/>
                <w:szCs w:val="18"/>
                <w:rtl w:val="0"/>
              </w:rPr>
              <w:t xml:space="preserve">2  </w:t>
            </w:r>
            <w:r w:rsidDel="00000000" w:rsidR="00000000" w:rsidRPr="00000000">
              <w:rPr>
                <w:rFonts w:ascii="Sura" w:cs="Sura" w:eastAsia="Sura" w:hAnsi="Sura"/>
                <w:b w:val="1"/>
                <w:bCs w:val="1"/>
                <w:sz w:val="22"/>
                <w:szCs w:val="22"/>
                <w:rtl w:val="0"/>
              </w:rPr>
              <w:t xml:space="preserve">Shared Threat</w:t>
            </w:r>
            <w:r w:rsidDel="00000000" w:rsidR="00000000" w:rsidRPr="00000000">
              <w:rPr>
                <w:rFonts w:ascii="Sura" w:cs="Sura" w:eastAsia="Sura" w:hAnsi="Sura"/>
                <w:color w:val="888888"/>
                <w:sz w:val="17"/>
                <w:szCs w:val="17"/>
                <w:rtl w:val="0"/>
              </w:rPr>
              <w:t xml:space="preserve">   —   Customer Journey: Awareness</w:t>
            </w:r>
            <w:r w:rsidDel="00000000" w:rsidR="00000000" w:rsidRPr="00000000">
              <w:rPr>
                <w:rtl w:val="0"/>
              </w:rPr>
            </w:r>
          </w:p>
          <w:p w:rsidR="00000000" w:rsidDel="00000000" w:rsidP="00000000" w:rsidRDefault="00000000" w:rsidRPr="00000000" w14:paraId="0000002C">
            <w:pPr>
              <w:rPr>
                <w:rFonts w:ascii="Sura" w:cs="Sura" w:eastAsia="Sura" w:hAnsi="Sura"/>
              </w:rPr>
            </w:pPr>
            <w:r w:rsidDel="00000000" w:rsidR="00000000" w:rsidRPr="00000000">
              <w:rPr>
                <w:rFonts w:ascii="Sura" w:cs="Sura" w:eastAsia="Sura" w:hAnsi="Sura"/>
                <w:color w:val="333333"/>
                <w:sz w:val="19"/>
                <w:szCs w:val="19"/>
                <w:rtl w:val="0"/>
              </w:rPr>
              <w:t xml:space="preserve">The Shared Threat creates a before and after for your buyer. The old way of doing things is no longer viable, which creates a cost of inaction. The shared threat connects the stakes of the story to a business (in B2B brands) or a community (for B2C). This challenges buyers to consider a making a change. </w:t>
            </w:r>
            <w:r w:rsidDel="00000000" w:rsidR="00000000" w:rsidRPr="00000000">
              <w:rPr>
                <w:rtl w:val="0"/>
              </w:rPr>
            </w:r>
          </w:p>
        </w:tc>
      </w:tr>
    </w:tbl>
    <w:p w:rsidR="00000000" w:rsidDel="00000000" w:rsidP="00000000" w:rsidRDefault="00000000" w:rsidRPr="00000000" w14:paraId="0000002D">
      <w:pPr>
        <w:spacing w:before="80" w:lineRule="auto"/>
        <w:rPr>
          <w:rFonts w:ascii="Sura" w:cs="Sura" w:eastAsia="Sura" w:hAnsi="Sura"/>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222222" w:space="0" w:sz="18" w:val="single"/>
              <w:bottom w:color="aaaaaa" w:space="0" w:sz="4" w:val="single"/>
              <w:right w:color="aaaaaa" w:space="0" w:sz="4" w:val="single"/>
            </w:tcBorders>
            <w:tcMar>
              <w:top w:w="100.0" w:type="dxa"/>
              <w:left w:w="240.0" w:type="dxa"/>
              <w:bottom w:w="100.0" w:type="dxa"/>
              <w:right w:w="200.0" w:type="dxa"/>
            </w:tcMar>
          </w:tcPr>
          <w:p w:rsidR="00000000" w:rsidDel="00000000" w:rsidP="00000000" w:rsidRDefault="00000000" w:rsidRPr="00000000" w14:paraId="0000002E">
            <w:pPr>
              <w:spacing w:after="40" w:lineRule="auto"/>
              <w:rPr>
                <w:rFonts w:ascii="Sura" w:cs="Sura" w:eastAsia="Sura" w:hAnsi="Sura"/>
              </w:rPr>
            </w:pPr>
            <w:r w:rsidDel="00000000" w:rsidR="00000000" w:rsidRPr="00000000">
              <w:rPr>
                <w:rFonts w:ascii="Sura" w:cs="Sura" w:eastAsia="Sura" w:hAnsi="Sura"/>
                <w:b w:val="1"/>
                <w:bCs w:val="1"/>
                <w:color w:val="aaaaaa"/>
                <w:sz w:val="18"/>
                <w:szCs w:val="18"/>
                <w:rtl w:val="0"/>
              </w:rPr>
              <w:t xml:space="preserve">3  </w:t>
            </w:r>
            <w:r w:rsidDel="00000000" w:rsidR="00000000" w:rsidRPr="00000000">
              <w:rPr>
                <w:rFonts w:ascii="Sura" w:cs="Sura" w:eastAsia="Sura" w:hAnsi="Sura"/>
                <w:b w:val="1"/>
                <w:bCs w:val="1"/>
                <w:sz w:val="22"/>
                <w:szCs w:val="22"/>
                <w:rtl w:val="0"/>
              </w:rPr>
              <w:t xml:space="preserve">The Hero &amp; Their Meaning</w:t>
            </w:r>
            <w:r w:rsidDel="00000000" w:rsidR="00000000" w:rsidRPr="00000000">
              <w:rPr>
                <w:rFonts w:ascii="Sura" w:cs="Sura" w:eastAsia="Sura" w:hAnsi="Sura"/>
                <w:color w:val="888888"/>
                <w:sz w:val="17"/>
                <w:szCs w:val="17"/>
                <w:rtl w:val="0"/>
              </w:rPr>
              <w:t xml:space="preserve">   —   Customer Journey: Consideration</w:t>
            </w:r>
            <w:r w:rsidDel="00000000" w:rsidR="00000000" w:rsidRPr="00000000">
              <w:rPr>
                <w:rtl w:val="0"/>
              </w:rPr>
            </w:r>
          </w:p>
          <w:p w:rsidR="00000000" w:rsidDel="00000000" w:rsidP="00000000" w:rsidRDefault="00000000" w:rsidRPr="00000000" w14:paraId="0000002F">
            <w:pPr>
              <w:rPr>
                <w:rFonts w:ascii="Sura" w:cs="Sura" w:eastAsia="Sura" w:hAnsi="Sura"/>
              </w:rPr>
            </w:pPr>
            <w:r w:rsidDel="00000000" w:rsidR="00000000" w:rsidRPr="00000000">
              <w:rPr>
                <w:rFonts w:ascii="Sura" w:cs="Sura" w:eastAsia="Sura" w:hAnsi="Sura"/>
                <w:color w:val="333333"/>
                <w:sz w:val="19"/>
                <w:szCs w:val="19"/>
                <w:rtl w:val="0"/>
              </w:rPr>
              <w:t xml:space="preserve">The protagonist of your StoryKernel is your customer. The narrative makes them your brand’s hero, and defines what drives them, what they’re trying to accomplish, and how the threats impact them personally. By placing your buyer at the center of the narrative, your brand builds genuine empathy and trust. The meaning you assign to the Hero means buyers feel like the story was written for exactly the right person.</w:t>
            </w:r>
            <w:r w:rsidDel="00000000" w:rsidR="00000000" w:rsidRPr="00000000">
              <w:rPr>
                <w:rtl w:val="0"/>
              </w:rPr>
            </w:r>
          </w:p>
        </w:tc>
      </w:tr>
    </w:tbl>
    <w:p w:rsidR="00000000" w:rsidDel="00000000" w:rsidP="00000000" w:rsidRDefault="00000000" w:rsidRPr="00000000" w14:paraId="00000030">
      <w:pPr>
        <w:spacing w:before="80" w:lineRule="auto"/>
        <w:rPr>
          <w:rFonts w:ascii="Sura" w:cs="Sura" w:eastAsia="Sura" w:hAnsi="Sura"/>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222222" w:space="0" w:sz="18" w:val="single"/>
              <w:bottom w:color="aaaaaa" w:space="0" w:sz="4" w:val="single"/>
              <w:right w:color="aaaaaa" w:space="0" w:sz="4" w:val="single"/>
            </w:tcBorders>
            <w:tcMar>
              <w:top w:w="100.0" w:type="dxa"/>
              <w:left w:w="240.0" w:type="dxa"/>
              <w:bottom w:w="100.0" w:type="dxa"/>
              <w:right w:w="200.0" w:type="dxa"/>
            </w:tcMar>
          </w:tcPr>
          <w:p w:rsidR="00000000" w:rsidDel="00000000" w:rsidP="00000000" w:rsidRDefault="00000000" w:rsidRPr="00000000" w14:paraId="00000031">
            <w:pPr>
              <w:spacing w:after="40" w:lineRule="auto"/>
              <w:rPr>
                <w:rFonts w:ascii="Sura" w:cs="Sura" w:eastAsia="Sura" w:hAnsi="Sura"/>
              </w:rPr>
            </w:pPr>
            <w:r w:rsidDel="00000000" w:rsidR="00000000" w:rsidRPr="00000000">
              <w:rPr>
                <w:rFonts w:ascii="Sura" w:cs="Sura" w:eastAsia="Sura" w:hAnsi="Sura"/>
                <w:b w:val="1"/>
                <w:bCs w:val="1"/>
                <w:color w:val="aaaaaa"/>
                <w:sz w:val="18"/>
                <w:szCs w:val="18"/>
                <w:rtl w:val="0"/>
              </w:rPr>
              <w:t xml:space="preserve">4  </w:t>
            </w:r>
            <w:r w:rsidDel="00000000" w:rsidR="00000000" w:rsidRPr="00000000">
              <w:rPr>
                <w:rFonts w:ascii="Sura" w:cs="Sura" w:eastAsia="Sura" w:hAnsi="Sura"/>
                <w:b w:val="1"/>
                <w:bCs w:val="1"/>
                <w:sz w:val="22"/>
                <w:szCs w:val="22"/>
                <w:rtl w:val="0"/>
              </w:rPr>
              <w:t xml:space="preserve">The Mentor &amp; Their Allies</w:t>
            </w:r>
            <w:r w:rsidDel="00000000" w:rsidR="00000000" w:rsidRPr="00000000">
              <w:rPr>
                <w:rFonts w:ascii="Sura" w:cs="Sura" w:eastAsia="Sura" w:hAnsi="Sura"/>
                <w:color w:val="888888"/>
                <w:sz w:val="17"/>
                <w:szCs w:val="17"/>
                <w:rtl w:val="0"/>
              </w:rPr>
              <w:t xml:space="preserve">   —   Customer Journey: Evaluation</w:t>
            </w:r>
            <w:r w:rsidDel="00000000" w:rsidR="00000000" w:rsidRPr="00000000">
              <w:rPr>
                <w:rtl w:val="0"/>
              </w:rPr>
            </w:r>
          </w:p>
          <w:p w:rsidR="00000000" w:rsidDel="00000000" w:rsidP="00000000" w:rsidRDefault="00000000" w:rsidRPr="00000000" w14:paraId="00000032">
            <w:pPr>
              <w:rPr>
                <w:rFonts w:ascii="Sura" w:cs="Sura" w:eastAsia="Sura" w:hAnsi="Sura"/>
              </w:rPr>
            </w:pPr>
            <w:r w:rsidDel="00000000" w:rsidR="00000000" w:rsidRPr="00000000">
              <w:rPr>
                <w:rFonts w:ascii="Sura" w:cs="Sura" w:eastAsia="Sura" w:hAnsi="Sura"/>
                <w:color w:val="333333"/>
                <w:sz w:val="19"/>
                <w:szCs w:val="19"/>
                <w:rtl w:val="0"/>
              </w:rPr>
              <w:t xml:space="preserve">Your brand enters the story as the mentor, the wiser, more experienced guide who has navigated this terrain before and is credible to help. This section establishes why your brand is uniquely able to guide your buyer through the challenges ahead: your experience and, when needed, the allies (such as partners) you’ve gathered to empower your buyer. The mentor must equip the hero to solve the challenge themselves. That distinction is what builds lasting loyalty.</w:t>
            </w:r>
            <w:r w:rsidDel="00000000" w:rsidR="00000000" w:rsidRPr="00000000">
              <w:rPr>
                <w:rtl w:val="0"/>
              </w:rPr>
            </w:r>
          </w:p>
        </w:tc>
      </w:tr>
    </w:tbl>
    <w:p w:rsidR="00000000" w:rsidDel="00000000" w:rsidP="00000000" w:rsidRDefault="00000000" w:rsidRPr="00000000" w14:paraId="00000033">
      <w:pPr>
        <w:spacing w:before="80" w:lineRule="auto"/>
        <w:rPr>
          <w:rFonts w:ascii="Sura" w:cs="Sura" w:eastAsia="Sura" w:hAnsi="Sura"/>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222222" w:space="0" w:sz="18" w:val="single"/>
              <w:bottom w:color="aaaaaa" w:space="0" w:sz="4" w:val="single"/>
              <w:right w:color="aaaaaa" w:space="0" w:sz="4" w:val="single"/>
            </w:tcBorders>
            <w:tcMar>
              <w:top w:w="100.0" w:type="dxa"/>
              <w:left w:w="240.0" w:type="dxa"/>
              <w:bottom w:w="100.0" w:type="dxa"/>
              <w:right w:w="200.0" w:type="dxa"/>
            </w:tcMar>
          </w:tcPr>
          <w:p w:rsidR="00000000" w:rsidDel="00000000" w:rsidP="00000000" w:rsidRDefault="00000000" w:rsidRPr="00000000" w14:paraId="00000034">
            <w:pPr>
              <w:spacing w:after="40" w:lineRule="auto"/>
              <w:rPr>
                <w:rFonts w:ascii="Sura" w:cs="Sura" w:eastAsia="Sura" w:hAnsi="Sura"/>
              </w:rPr>
            </w:pPr>
            <w:r w:rsidDel="00000000" w:rsidR="00000000" w:rsidRPr="00000000">
              <w:rPr>
                <w:rFonts w:ascii="Sura" w:cs="Sura" w:eastAsia="Sura" w:hAnsi="Sura"/>
                <w:b w:val="1"/>
                <w:bCs w:val="1"/>
                <w:color w:val="aaaaaa"/>
                <w:sz w:val="18"/>
                <w:szCs w:val="18"/>
                <w:rtl w:val="0"/>
              </w:rPr>
              <w:t xml:space="preserve">5  </w:t>
            </w:r>
            <w:r w:rsidDel="00000000" w:rsidR="00000000" w:rsidRPr="00000000">
              <w:rPr>
                <w:rFonts w:ascii="Sura" w:cs="Sura" w:eastAsia="Sura" w:hAnsi="Sura"/>
                <w:b w:val="1"/>
                <w:bCs w:val="1"/>
                <w:sz w:val="22"/>
                <w:szCs w:val="22"/>
                <w:rtl w:val="0"/>
              </w:rPr>
              <w:t xml:space="preserve">Call to Adventure</w:t>
            </w:r>
            <w:r w:rsidDel="00000000" w:rsidR="00000000" w:rsidRPr="00000000">
              <w:rPr>
                <w:rFonts w:ascii="Sura" w:cs="Sura" w:eastAsia="Sura" w:hAnsi="Sura"/>
                <w:color w:val="888888"/>
                <w:sz w:val="17"/>
                <w:szCs w:val="17"/>
                <w:rtl w:val="0"/>
              </w:rPr>
              <w:t xml:space="preserve">   —   Customer Journey: Evaluation</w:t>
            </w:r>
            <w:r w:rsidDel="00000000" w:rsidR="00000000" w:rsidRPr="00000000">
              <w:rPr>
                <w:rtl w:val="0"/>
              </w:rPr>
            </w:r>
          </w:p>
          <w:p w:rsidR="00000000" w:rsidDel="00000000" w:rsidP="00000000" w:rsidRDefault="00000000" w:rsidRPr="00000000" w14:paraId="00000035">
            <w:pPr>
              <w:rPr>
                <w:rFonts w:ascii="Sura" w:cs="Sura" w:eastAsia="Sura" w:hAnsi="Sura"/>
              </w:rPr>
            </w:pPr>
            <w:r w:rsidDel="00000000" w:rsidR="00000000" w:rsidRPr="00000000">
              <w:rPr>
                <w:rFonts w:ascii="Sura" w:cs="Sura" w:eastAsia="Sura" w:hAnsi="Sura"/>
                <w:color w:val="333333"/>
                <w:sz w:val="19"/>
                <w:szCs w:val="19"/>
                <w:rtl w:val="0"/>
              </w:rPr>
              <w:t xml:space="preserve">The Call to Adventure is the pivot point of the story: the moment your brand invites the buyer to make a choice, take a step, and begin their transformation. </w:t>
            </w:r>
            <w:r w:rsidDel="00000000" w:rsidR="00000000" w:rsidRPr="00000000">
              <w:rPr>
                <w:rFonts w:ascii="Sura" w:cs="Sura" w:eastAsia="Sura" w:hAnsi="Sura"/>
                <w:color w:val="333333"/>
                <w:sz w:val="19"/>
                <w:szCs w:val="19"/>
                <w:highlight w:val="cyan"/>
                <w:rtl w:val="0"/>
              </w:rPr>
              <w:t xml:space="preserve">This is the invitation for them to make a change, join you as a customer, and resolve the threats facing them.</w:t>
            </w:r>
            <w:r w:rsidDel="00000000" w:rsidR="00000000" w:rsidRPr="00000000">
              <w:rPr>
                <w:rFonts w:ascii="Sura" w:cs="Sura" w:eastAsia="Sura" w:hAnsi="Sura"/>
                <w:color w:val="333333"/>
                <w:sz w:val="19"/>
                <w:szCs w:val="19"/>
                <w:rtl w:val="0"/>
              </w:rPr>
              <w:t xml:space="preserve"> The Call to Adventure shows buyers what is possible on the other side of the shift you’ve described and makes it clear that the journey is worth taking. Everything in your story builds to this moment.</w:t>
            </w:r>
            <w:r w:rsidDel="00000000" w:rsidR="00000000" w:rsidRPr="00000000">
              <w:rPr>
                <w:rtl w:val="0"/>
              </w:rPr>
            </w:r>
          </w:p>
        </w:tc>
      </w:tr>
    </w:tbl>
    <w:p w:rsidR="00000000" w:rsidDel="00000000" w:rsidP="00000000" w:rsidRDefault="00000000" w:rsidRPr="00000000" w14:paraId="00000036">
      <w:pPr>
        <w:spacing w:before="80" w:lineRule="auto"/>
        <w:rPr>
          <w:rFonts w:ascii="Sura" w:cs="Sura" w:eastAsia="Sura" w:hAnsi="Sura"/>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222222" w:space="0" w:sz="18" w:val="single"/>
              <w:bottom w:color="aaaaaa" w:space="0" w:sz="4" w:val="single"/>
              <w:right w:color="aaaaaa" w:space="0" w:sz="4" w:val="single"/>
            </w:tcBorders>
            <w:tcMar>
              <w:top w:w="100.0" w:type="dxa"/>
              <w:left w:w="240.0" w:type="dxa"/>
              <w:bottom w:w="100.0" w:type="dxa"/>
              <w:right w:w="200.0" w:type="dxa"/>
            </w:tcMar>
          </w:tcPr>
          <w:p w:rsidR="00000000" w:rsidDel="00000000" w:rsidP="00000000" w:rsidRDefault="00000000" w:rsidRPr="00000000" w14:paraId="00000037">
            <w:pPr>
              <w:spacing w:after="40" w:lineRule="auto"/>
              <w:rPr>
                <w:rFonts w:ascii="Sura" w:cs="Sura" w:eastAsia="Sura" w:hAnsi="Sura"/>
              </w:rPr>
            </w:pPr>
            <w:r w:rsidDel="00000000" w:rsidR="00000000" w:rsidRPr="00000000">
              <w:rPr>
                <w:rFonts w:ascii="Sura" w:cs="Sura" w:eastAsia="Sura" w:hAnsi="Sura"/>
                <w:b w:val="1"/>
                <w:bCs w:val="1"/>
                <w:color w:val="aaaaaa"/>
                <w:sz w:val="18"/>
                <w:szCs w:val="18"/>
                <w:rtl w:val="0"/>
              </w:rPr>
              <w:t xml:space="preserve">6  </w:t>
            </w:r>
            <w:r w:rsidDel="00000000" w:rsidR="00000000" w:rsidRPr="00000000">
              <w:rPr>
                <w:rFonts w:ascii="Sura" w:cs="Sura" w:eastAsia="Sura" w:hAnsi="Sura"/>
                <w:b w:val="1"/>
                <w:bCs w:val="1"/>
                <w:sz w:val="22"/>
                <w:szCs w:val="22"/>
                <w:rtl w:val="0"/>
              </w:rPr>
              <w:t xml:space="preserve">The Talisman</w:t>
            </w:r>
            <w:r w:rsidDel="00000000" w:rsidR="00000000" w:rsidRPr="00000000">
              <w:rPr>
                <w:rFonts w:ascii="Sura" w:cs="Sura" w:eastAsia="Sura" w:hAnsi="Sura"/>
                <w:color w:val="888888"/>
                <w:sz w:val="17"/>
                <w:szCs w:val="17"/>
                <w:rtl w:val="0"/>
              </w:rPr>
              <w:t xml:space="preserve">   —   Customer Journey: Customer Experience</w:t>
            </w:r>
            <w:r w:rsidDel="00000000" w:rsidR="00000000" w:rsidRPr="00000000">
              <w:rPr>
                <w:rtl w:val="0"/>
              </w:rPr>
            </w:r>
          </w:p>
          <w:p w:rsidR="00000000" w:rsidDel="00000000" w:rsidP="00000000" w:rsidRDefault="00000000" w:rsidRPr="00000000" w14:paraId="00000038">
            <w:pPr>
              <w:rPr>
                <w:rFonts w:ascii="Sura" w:cs="Sura" w:eastAsia="Sura" w:hAnsi="Sura"/>
              </w:rPr>
            </w:pPr>
            <w:r w:rsidDel="00000000" w:rsidR="00000000" w:rsidRPr="00000000">
              <w:rPr>
                <w:rFonts w:ascii="Sura" w:cs="Sura" w:eastAsia="Sura" w:hAnsi="Sura"/>
                <w:color w:val="333333"/>
                <w:sz w:val="19"/>
                <w:szCs w:val="19"/>
                <w:rtl w:val="0"/>
              </w:rPr>
              <w:t xml:space="preserve">Your product or service is the Talisman—the tool your buyer wields to face the challenges ahead. A great Talisman has both tangible and magical qualities. Your Talisman captures what your offering does (its tangible value) and what it means or represents to the buyer (magical). The Talisman makes it possible for your buyer to overcome the threats of the story themselves.</w:t>
            </w:r>
            <w:r w:rsidDel="00000000" w:rsidR="00000000" w:rsidRPr="00000000">
              <w:rPr>
                <w:rtl w:val="0"/>
              </w:rPr>
            </w:r>
          </w:p>
        </w:tc>
      </w:tr>
    </w:tbl>
    <w:p w:rsidR="00000000" w:rsidDel="00000000" w:rsidP="00000000" w:rsidRDefault="00000000" w:rsidRPr="00000000" w14:paraId="00000039">
      <w:pPr>
        <w:spacing w:before="80" w:lineRule="auto"/>
        <w:rPr>
          <w:rFonts w:ascii="Sura" w:cs="Sura" w:eastAsia="Sura" w:hAnsi="Sura"/>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222222" w:space="0" w:sz="18" w:val="single"/>
              <w:bottom w:color="aaaaaa" w:space="0" w:sz="4" w:val="single"/>
              <w:right w:color="aaaaaa" w:space="0" w:sz="4" w:val="single"/>
            </w:tcBorders>
            <w:tcMar>
              <w:top w:w="100.0" w:type="dxa"/>
              <w:left w:w="240.0" w:type="dxa"/>
              <w:bottom w:w="100.0" w:type="dxa"/>
              <w:right w:w="200.0" w:type="dxa"/>
            </w:tcMar>
          </w:tcPr>
          <w:p w:rsidR="00000000" w:rsidDel="00000000" w:rsidP="00000000" w:rsidRDefault="00000000" w:rsidRPr="00000000" w14:paraId="0000003A">
            <w:pPr>
              <w:spacing w:after="40" w:lineRule="auto"/>
              <w:rPr>
                <w:rFonts w:ascii="Sura" w:cs="Sura" w:eastAsia="Sura" w:hAnsi="Sura"/>
              </w:rPr>
            </w:pPr>
            <w:r w:rsidDel="00000000" w:rsidR="00000000" w:rsidRPr="00000000">
              <w:rPr>
                <w:rFonts w:ascii="Sura" w:cs="Sura" w:eastAsia="Sura" w:hAnsi="Sura"/>
                <w:b w:val="1"/>
                <w:bCs w:val="1"/>
                <w:color w:val="aaaaaa"/>
                <w:sz w:val="18"/>
                <w:szCs w:val="18"/>
                <w:rtl w:val="0"/>
              </w:rPr>
              <w:t xml:space="preserve">7  </w:t>
            </w:r>
            <w:r w:rsidDel="00000000" w:rsidR="00000000" w:rsidRPr="00000000">
              <w:rPr>
                <w:rFonts w:ascii="Sura" w:cs="Sura" w:eastAsia="Sura" w:hAnsi="Sura"/>
                <w:b w:val="1"/>
                <w:bCs w:val="1"/>
                <w:sz w:val="22"/>
                <w:szCs w:val="22"/>
                <w:rtl w:val="0"/>
              </w:rPr>
              <w:t xml:space="preserve">Obstacles to Overcome</w:t>
            </w:r>
            <w:r w:rsidDel="00000000" w:rsidR="00000000" w:rsidRPr="00000000">
              <w:rPr>
                <w:rFonts w:ascii="Sura" w:cs="Sura" w:eastAsia="Sura" w:hAnsi="Sura"/>
                <w:color w:val="888888"/>
                <w:sz w:val="17"/>
                <w:szCs w:val="17"/>
                <w:rtl w:val="0"/>
              </w:rPr>
              <w:t xml:space="preserve">   —   Customer Journey: Customer Experience</w:t>
            </w:r>
            <w:r w:rsidDel="00000000" w:rsidR="00000000" w:rsidRPr="00000000">
              <w:rPr>
                <w:rtl w:val="0"/>
              </w:rPr>
            </w:r>
          </w:p>
          <w:p w:rsidR="00000000" w:rsidDel="00000000" w:rsidP="00000000" w:rsidRDefault="00000000" w:rsidRPr="00000000" w14:paraId="0000003B">
            <w:pPr>
              <w:rPr>
                <w:rFonts w:ascii="Sura" w:cs="Sura" w:eastAsia="Sura" w:hAnsi="Sura"/>
                <w:color w:val="333333"/>
                <w:sz w:val="19"/>
                <w:szCs w:val="19"/>
              </w:rPr>
            </w:pPr>
            <w:r w:rsidDel="00000000" w:rsidR="00000000" w:rsidRPr="00000000">
              <w:rPr>
                <w:rFonts w:ascii="Sura" w:cs="Sura" w:eastAsia="Sura" w:hAnsi="Sura"/>
                <w:color w:val="333333"/>
                <w:sz w:val="19"/>
                <w:szCs w:val="19"/>
                <w:rtl w:val="0"/>
              </w:rPr>
              <w:t xml:space="preserve">Your buyer wields the Talisman to overcome the threats in the story: the real-world challenges, friction points, and moments of doubt that stand between them and their goal. Here you capture what makes your product different and the benefits it provides. Your StoryKernel names the obstacles directly so your brand demonstrates that it understands the journey your hero goes through.</w:t>
            </w:r>
          </w:p>
        </w:tc>
      </w:tr>
    </w:tbl>
    <w:p w:rsidR="00000000" w:rsidDel="00000000" w:rsidP="00000000" w:rsidRDefault="00000000" w:rsidRPr="00000000" w14:paraId="0000003C">
      <w:pPr>
        <w:spacing w:before="80" w:lineRule="auto"/>
        <w:rPr>
          <w:rFonts w:ascii="Sura" w:cs="Sura" w:eastAsia="Sura" w:hAnsi="Sura"/>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222222" w:space="0" w:sz="18" w:val="single"/>
              <w:bottom w:color="aaaaaa" w:space="0" w:sz="4" w:val="single"/>
              <w:right w:color="aaaaaa" w:space="0" w:sz="4" w:val="single"/>
            </w:tcBorders>
            <w:tcMar>
              <w:top w:w="100.0" w:type="dxa"/>
              <w:left w:w="240.0" w:type="dxa"/>
              <w:bottom w:w="100.0" w:type="dxa"/>
              <w:right w:w="200.0" w:type="dxa"/>
            </w:tcMar>
          </w:tcPr>
          <w:p w:rsidR="00000000" w:rsidDel="00000000" w:rsidP="00000000" w:rsidRDefault="00000000" w:rsidRPr="00000000" w14:paraId="0000003D">
            <w:pPr>
              <w:spacing w:after="40" w:lineRule="auto"/>
              <w:rPr>
                <w:rFonts w:ascii="Sura" w:cs="Sura" w:eastAsia="Sura" w:hAnsi="Sura"/>
              </w:rPr>
            </w:pPr>
            <w:r w:rsidDel="00000000" w:rsidR="00000000" w:rsidRPr="00000000">
              <w:rPr>
                <w:rFonts w:ascii="Sura" w:cs="Sura" w:eastAsia="Sura" w:hAnsi="Sura"/>
                <w:b w:val="1"/>
                <w:bCs w:val="1"/>
                <w:color w:val="aaaaaa"/>
                <w:sz w:val="18"/>
                <w:szCs w:val="18"/>
                <w:rtl w:val="0"/>
              </w:rPr>
              <w:t xml:space="preserve">8  </w:t>
            </w:r>
            <w:r w:rsidDel="00000000" w:rsidR="00000000" w:rsidRPr="00000000">
              <w:rPr>
                <w:rFonts w:ascii="Sura" w:cs="Sura" w:eastAsia="Sura" w:hAnsi="Sura"/>
                <w:b w:val="1"/>
                <w:bCs w:val="1"/>
                <w:sz w:val="22"/>
                <w:szCs w:val="22"/>
                <w:rtl w:val="0"/>
              </w:rPr>
              <w:t xml:space="preserve">Spoils of Victory</w:t>
            </w:r>
            <w:r w:rsidDel="00000000" w:rsidR="00000000" w:rsidRPr="00000000">
              <w:rPr>
                <w:rFonts w:ascii="Sura" w:cs="Sura" w:eastAsia="Sura" w:hAnsi="Sura"/>
                <w:color w:val="888888"/>
                <w:sz w:val="17"/>
                <w:szCs w:val="17"/>
                <w:rtl w:val="0"/>
              </w:rPr>
              <w:t xml:space="preserve">   —   Customer Journey: Evangelism</w:t>
            </w:r>
            <w:r w:rsidDel="00000000" w:rsidR="00000000" w:rsidRPr="00000000">
              <w:rPr>
                <w:rtl w:val="0"/>
              </w:rPr>
            </w:r>
          </w:p>
          <w:p w:rsidR="00000000" w:rsidDel="00000000" w:rsidP="00000000" w:rsidRDefault="00000000" w:rsidRPr="00000000" w14:paraId="0000003E">
            <w:pPr>
              <w:rPr>
                <w:rFonts w:ascii="Sura" w:cs="Sura" w:eastAsia="Sura" w:hAnsi="Sura"/>
              </w:rPr>
            </w:pPr>
            <w:r w:rsidDel="00000000" w:rsidR="00000000" w:rsidRPr="00000000">
              <w:rPr>
                <w:rFonts w:ascii="Sura" w:cs="Sura" w:eastAsia="Sura" w:hAnsi="Sura"/>
                <w:color w:val="333333"/>
                <w:sz w:val="19"/>
                <w:szCs w:val="19"/>
                <w:rtl w:val="0"/>
              </w:rPr>
              <w:t xml:space="preserve">Every great journey produces a return. The Spoils of Victory captures the tangible outcomes your buyer takes back to their world after working with your brand—the measurable results, the concrete wins, the ROI that makes the journey undeniably worth it. This is your brand’s promise made visible: a demonstration that transforms satisfied buyers into active advocates.</w:t>
            </w:r>
            <w:r w:rsidDel="00000000" w:rsidR="00000000" w:rsidRPr="00000000">
              <w:rPr>
                <w:rtl w:val="0"/>
              </w:rPr>
            </w:r>
          </w:p>
        </w:tc>
      </w:tr>
    </w:tbl>
    <w:p w:rsidR="00000000" w:rsidDel="00000000" w:rsidP="00000000" w:rsidRDefault="00000000" w:rsidRPr="00000000" w14:paraId="0000003F">
      <w:pPr>
        <w:spacing w:before="80" w:lineRule="auto"/>
        <w:rPr>
          <w:rFonts w:ascii="Sura" w:cs="Sura" w:eastAsia="Sura" w:hAnsi="Sura"/>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222222" w:space="0" w:sz="18" w:val="single"/>
              <w:bottom w:color="aaaaaa" w:space="0" w:sz="4" w:val="single"/>
              <w:right w:color="aaaaaa" w:space="0" w:sz="4" w:val="single"/>
            </w:tcBorders>
            <w:tcMar>
              <w:top w:w="100.0" w:type="dxa"/>
              <w:left w:w="240.0" w:type="dxa"/>
              <w:bottom w:w="100.0" w:type="dxa"/>
              <w:right w:w="200.0" w:type="dxa"/>
            </w:tcMar>
          </w:tcPr>
          <w:p w:rsidR="00000000" w:rsidDel="00000000" w:rsidP="00000000" w:rsidRDefault="00000000" w:rsidRPr="00000000" w14:paraId="00000040">
            <w:pPr>
              <w:spacing w:after="40" w:lineRule="auto"/>
              <w:rPr>
                <w:rFonts w:ascii="Sura" w:cs="Sura" w:eastAsia="Sura" w:hAnsi="Sura"/>
              </w:rPr>
            </w:pPr>
            <w:r w:rsidDel="00000000" w:rsidR="00000000" w:rsidRPr="00000000">
              <w:rPr>
                <w:rFonts w:ascii="Sura" w:cs="Sura" w:eastAsia="Sura" w:hAnsi="Sura"/>
                <w:b w:val="1"/>
                <w:bCs w:val="1"/>
                <w:color w:val="aaaaaa"/>
                <w:sz w:val="18"/>
                <w:szCs w:val="18"/>
                <w:rtl w:val="0"/>
              </w:rPr>
              <w:t xml:space="preserve">9  </w:t>
            </w:r>
            <w:r w:rsidDel="00000000" w:rsidR="00000000" w:rsidRPr="00000000">
              <w:rPr>
                <w:rFonts w:ascii="Sura" w:cs="Sura" w:eastAsia="Sura" w:hAnsi="Sura"/>
                <w:b w:val="1"/>
                <w:bCs w:val="1"/>
                <w:sz w:val="22"/>
                <w:szCs w:val="22"/>
                <w:rtl w:val="0"/>
              </w:rPr>
              <w:t xml:space="preserve">Potential Achieved</w:t>
            </w:r>
            <w:r w:rsidDel="00000000" w:rsidR="00000000" w:rsidRPr="00000000">
              <w:rPr>
                <w:rFonts w:ascii="Sura" w:cs="Sura" w:eastAsia="Sura" w:hAnsi="Sura"/>
                <w:color w:val="888888"/>
                <w:sz w:val="17"/>
                <w:szCs w:val="17"/>
                <w:rtl w:val="0"/>
              </w:rPr>
              <w:t xml:space="preserve">   —   Customer Journey: Evangelism</w:t>
            </w:r>
            <w:r w:rsidDel="00000000" w:rsidR="00000000" w:rsidRPr="00000000">
              <w:rPr>
                <w:rtl w:val="0"/>
              </w:rPr>
            </w:r>
          </w:p>
          <w:p w:rsidR="00000000" w:rsidDel="00000000" w:rsidP="00000000" w:rsidRDefault="00000000" w:rsidRPr="00000000" w14:paraId="00000041">
            <w:pPr>
              <w:rPr>
                <w:rFonts w:ascii="Sura" w:cs="Sura" w:eastAsia="Sura" w:hAnsi="Sura"/>
              </w:rPr>
            </w:pPr>
            <w:r w:rsidDel="00000000" w:rsidR="00000000" w:rsidRPr="00000000">
              <w:rPr>
                <w:rFonts w:ascii="Sura" w:cs="Sura" w:eastAsia="Sura" w:hAnsi="Sura"/>
                <w:color w:val="333333"/>
                <w:sz w:val="19"/>
                <w:szCs w:val="19"/>
                <w:rtl w:val="0"/>
              </w:rPr>
              <w:t xml:space="preserve">The story ends with your buyer and their world transformed. Potential Achieved describes the new reality on the other side of the shift: what your customer has gained and what becomes possible for their business, their team, or their community when the journey is complete. This is the vision your brand is working toward, which is the change it aims to make in the world. When your customers reach this point, they feel part of something larger than the transaction that brought them to you.</w:t>
            </w:r>
            <w:r w:rsidDel="00000000" w:rsidR="00000000" w:rsidRPr="00000000">
              <w:rPr>
                <w:rtl w:val="0"/>
              </w:rPr>
            </w:r>
          </w:p>
        </w:tc>
      </w:tr>
    </w:tbl>
    <w:p w:rsidR="00000000" w:rsidDel="00000000" w:rsidP="00000000" w:rsidRDefault="00000000" w:rsidRPr="00000000" w14:paraId="00000042">
      <w:pPr>
        <w:spacing w:before="200" w:lineRule="auto"/>
        <w:rPr>
          <w:rFonts w:ascii="Sura" w:cs="Sura" w:eastAsia="Sura" w:hAnsi="Sura"/>
        </w:rPr>
      </w:pPr>
      <w:r w:rsidDel="00000000" w:rsidR="00000000" w:rsidRPr="00000000">
        <w:rPr>
          <w:rtl w:val="0"/>
        </w:rPr>
      </w:r>
    </w:p>
    <w:p w:rsidR="00000000" w:rsidDel="00000000" w:rsidP="00000000" w:rsidRDefault="00000000" w:rsidRPr="00000000" w14:paraId="00000043">
      <w:pPr>
        <w:spacing w:before="200" w:lineRule="auto"/>
        <w:rPr>
          <w:rFonts w:ascii="Sura" w:cs="Sura" w:eastAsia="Sura" w:hAnsi="Sura"/>
        </w:rPr>
      </w:pPr>
      <w:r w:rsidDel="00000000" w:rsidR="00000000" w:rsidRPr="00000000">
        <w:rPr>
          <w:rtl w:val="0"/>
        </w:rPr>
      </w:r>
    </w:p>
    <w:p w:rsidR="00000000" w:rsidDel="00000000" w:rsidP="00000000" w:rsidRDefault="00000000" w:rsidRPr="00000000" w14:paraId="00000044">
      <w:pPr>
        <w:pStyle w:val="Heading2"/>
        <w:pBdr>
          <w:bottom w:color="000000" w:space="0" w:sz="4" w:val="single"/>
        </w:pBdr>
        <w:spacing w:after="100" w:before="320" w:lineRule="auto"/>
        <w:rPr/>
      </w:pPr>
      <w:bookmarkStart w:colFirst="0" w:colLast="0" w:name="_heading=h.280g95125plw" w:id="4"/>
      <w:bookmarkEnd w:id="4"/>
      <w:sdt>
        <w:sdtPr>
          <w:id w:val="240760412"/>
          <w:tag w:val="goog_rdk_0"/>
        </w:sdtPr>
        <w:sdtContent>
          <w:commentRangeStart w:id="0"/>
        </w:sdtContent>
      </w:sdt>
      <w:r w:rsidDel="00000000" w:rsidR="00000000" w:rsidRPr="00000000">
        <w:rPr>
          <w:rtl w:val="0"/>
        </w:rPr>
        <w:t xml:space="preserve">THE [CLIENT] STORYKERNEL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5">
      <w:pPr>
        <w:spacing w:after="80" w:before="40" w:lineRule="auto"/>
        <w:rPr>
          <w:rFonts w:ascii="Sura" w:cs="Sura" w:eastAsia="Sura" w:hAnsi="Sura"/>
        </w:rPr>
      </w:pPr>
      <w:r w:rsidDel="00000000" w:rsidR="00000000" w:rsidRPr="00000000">
        <w:rPr>
          <w:rFonts w:ascii="Sura" w:cs="Sura" w:eastAsia="Sura" w:hAnsi="Sura"/>
          <w:color w:val="555555"/>
          <w:sz w:val="18"/>
          <w:szCs w:val="18"/>
          <w:rtl w:val="0"/>
        </w:rPr>
        <w:t xml:space="preserve">Rendered as: Full narrative prose rendered as a flowing text block. Each annotated passage responds to hover with a tooltip showing the arc section name. Client-facing. Read-only.</w:t>
      </w:r>
      <w:r w:rsidDel="00000000" w:rsidR="00000000" w:rsidRPr="00000000">
        <w:rPr>
          <w:rtl w:val="0"/>
        </w:rPr>
      </w:r>
    </w:p>
    <w:p w:rsidR="00000000" w:rsidDel="00000000" w:rsidP="00000000" w:rsidRDefault="00000000" w:rsidRPr="00000000" w14:paraId="00000046">
      <w:pPr>
        <w:spacing w:before="120" w:lineRule="auto"/>
        <w:rPr>
          <w:rFonts w:ascii="Sura" w:cs="Sura" w:eastAsia="Sura" w:hAnsi="Sura"/>
        </w:rPr>
      </w:pPr>
      <w:r w:rsidDel="00000000" w:rsidR="00000000" w:rsidRPr="00000000">
        <w:rPr>
          <w:rtl w:val="0"/>
        </w:rPr>
      </w:r>
    </w:p>
    <w:p w:rsidR="00000000" w:rsidDel="00000000" w:rsidP="00000000" w:rsidRDefault="00000000" w:rsidRPr="00000000" w14:paraId="00000047">
      <w:pPr>
        <w:spacing w:after="80" w:lineRule="auto"/>
        <w:rPr>
          <w:rFonts w:ascii="Sura" w:cs="Sura" w:eastAsia="Sura" w:hAnsi="Sura"/>
        </w:rPr>
      </w:pPr>
      <w:r w:rsidDel="00000000" w:rsidR="00000000" w:rsidRPr="00000000">
        <w:rPr>
          <w:rFonts w:ascii="Sura" w:cs="Sura" w:eastAsia="Sura" w:hAnsi="Sura"/>
          <w:b w:val="1"/>
          <w:bCs w:val="1"/>
          <w:sz w:val="22"/>
          <w:szCs w:val="22"/>
          <w:rtl w:val="0"/>
        </w:rPr>
        <w:t xml:space="preserve">Hover Tooltip Specification</w:t>
      </w:r>
      <w:r w:rsidDel="00000000" w:rsidR="00000000" w:rsidRPr="00000000">
        <w:rPr>
          <w:rtl w:val="0"/>
        </w:rPr>
      </w:r>
    </w:p>
    <w:p w:rsidR="00000000" w:rsidDel="00000000" w:rsidP="00000000" w:rsidRDefault="00000000" w:rsidRPr="00000000" w14:paraId="00000048">
      <w:pPr>
        <w:spacing w:after="80" w:before="60" w:lineRule="auto"/>
        <w:rPr>
          <w:rFonts w:ascii="Sura" w:cs="Sura" w:eastAsia="Sura" w:hAnsi="Sura"/>
        </w:rPr>
      </w:pPr>
      <w:r w:rsidDel="00000000" w:rsidR="00000000" w:rsidRPr="00000000">
        <w:rPr>
          <w:rFonts w:ascii="Sura" w:cs="Sura" w:eastAsia="Sura" w:hAnsi="Sura"/>
          <w:color w:val="1a5276"/>
          <w:sz w:val="18"/>
          <w:szCs w:val="18"/>
          <w:rtl w:val="0"/>
        </w:rPr>
        <w:t xml:space="preserve">[PLATFORM BUILD NOTE: Render the StoryKernel prose as a continuous flowing text block. Parse the annotation tags (described below) to identify which spans of text correspond to which arc sections. On hover over any annotated span, display a small tooltip showing only the arc section name (e.g. “Existential Threat”). Tooltip should appear above the hovered text, fade in on hover, and fade out on mouse leave. Unannotated text (transitions between sections) renders normally with no hover behavior. Do not display annotation tags in the rendered output—they are structural markup only.]</w:t>
      </w:r>
      <w:r w:rsidDel="00000000" w:rsidR="00000000" w:rsidRPr="00000000">
        <w:rPr>
          <w:rtl w:val="0"/>
        </w:rPr>
      </w:r>
    </w:p>
    <w:p w:rsidR="00000000" w:rsidDel="00000000" w:rsidP="00000000" w:rsidRDefault="00000000" w:rsidRPr="00000000" w14:paraId="00000049">
      <w:pPr>
        <w:spacing w:before="120" w:lineRule="auto"/>
        <w:rPr>
          <w:rFonts w:ascii="Sura" w:cs="Sura" w:eastAsia="Sura" w:hAnsi="Sura"/>
        </w:rPr>
      </w:pPr>
      <w:r w:rsidDel="00000000" w:rsidR="00000000" w:rsidRPr="00000000">
        <w:rPr>
          <w:rtl w:val="0"/>
        </w:rPr>
      </w:r>
    </w:p>
    <w:p w:rsidR="00000000" w:rsidDel="00000000" w:rsidP="00000000" w:rsidRDefault="00000000" w:rsidRPr="00000000" w14:paraId="0000004A">
      <w:pPr>
        <w:spacing w:after="100" w:lineRule="auto"/>
        <w:rPr>
          <w:rFonts w:ascii="Sura" w:cs="Sura" w:eastAsia="Sura" w:hAnsi="Sura"/>
        </w:rPr>
      </w:pPr>
      <w:r w:rsidDel="00000000" w:rsidR="00000000" w:rsidRPr="00000000">
        <w:rPr>
          <w:rFonts w:ascii="Sura" w:cs="Sura" w:eastAsia="Sura" w:hAnsi="Sura"/>
          <w:rtl w:val="0"/>
        </w:rPr>
        <w:t xml:space="preserve">The nine valid arc section names are:</w:t>
      </w:r>
    </w:p>
    <w:p w:rsidR="00000000" w:rsidDel="00000000" w:rsidP="00000000" w:rsidRDefault="00000000" w:rsidRPr="00000000" w14:paraId="0000004B">
      <w:pPr>
        <w:spacing w:before="60" w:lineRule="auto"/>
        <w:rPr>
          <w:rFonts w:ascii="Sura" w:cs="Sura" w:eastAsia="Sura" w:hAnsi="Sura"/>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rPr>
                <w:rFonts w:ascii="Sura" w:cs="Sura" w:eastAsia="Sura" w:hAnsi="Sura"/>
              </w:rPr>
            </w:pPr>
            <w:r w:rsidDel="00000000" w:rsidR="00000000" w:rsidRPr="00000000">
              <w:rPr>
                <w:rFonts w:ascii="Sura" w:cs="Sura" w:eastAsia="Sura" w:hAnsi="Sura"/>
                <w:b w:val="1"/>
                <w:bCs w:val="1"/>
                <w:rtl w:val="0"/>
              </w:rPr>
              <w:t xml:space="preserve">Arc Section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D">
            <w:pPr>
              <w:rPr>
                <w:rFonts w:ascii="Sura" w:cs="Sura" w:eastAsia="Sura" w:hAnsi="Sura"/>
              </w:rPr>
            </w:pPr>
            <w:r w:rsidDel="00000000" w:rsidR="00000000" w:rsidRPr="00000000">
              <w:rPr>
                <w:rFonts w:ascii="Sura" w:cs="Sura" w:eastAsia="Sura" w:hAnsi="Sura"/>
                <w:b w:val="1"/>
                <w:bCs w:val="1"/>
                <w:rtl w:val="0"/>
              </w:rPr>
              <w:t xml:space="preserve">Use this label exactly as written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E">
            <w:pPr>
              <w:rPr>
                <w:rFonts w:ascii="Sura" w:cs="Sura" w:eastAsia="Sura" w:hAnsi="Sura"/>
              </w:rPr>
            </w:pPr>
            <w:r w:rsidDel="00000000" w:rsidR="00000000" w:rsidRPr="00000000">
              <w:rPr>
                <w:rFonts w:ascii="Sura" w:cs="Sura" w:eastAsia="Sura" w:hAnsi="Sura"/>
                <w:sz w:val="19"/>
                <w:szCs w:val="19"/>
                <w:rtl w:val="0"/>
              </w:rPr>
              <w:t xml:space="preserve">Existential Threat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F">
            <w:pPr>
              <w:rPr>
                <w:rFonts w:ascii="Sura" w:cs="Sura" w:eastAsia="Sura" w:hAnsi="Sura"/>
              </w:rPr>
            </w:pPr>
            <w:r w:rsidDel="00000000" w:rsidR="00000000" w:rsidRPr="00000000">
              <w:rPr>
                <w:rFonts w:ascii="Sura" w:cs="Sura" w:eastAsia="Sura" w:hAnsi="Sura"/>
                <w:sz w:val="19"/>
                <w:szCs w:val="19"/>
                <w:rtl w:val="0"/>
              </w:rPr>
              <w:t xml:space="preserve">Use for passages establishing the large-scale market shift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0">
            <w:pPr>
              <w:rPr>
                <w:rFonts w:ascii="Sura" w:cs="Sura" w:eastAsia="Sura" w:hAnsi="Sura"/>
              </w:rPr>
            </w:pPr>
            <w:r w:rsidDel="00000000" w:rsidR="00000000" w:rsidRPr="00000000">
              <w:rPr>
                <w:rFonts w:ascii="Sura" w:cs="Sura" w:eastAsia="Sura" w:hAnsi="Sura"/>
                <w:sz w:val="19"/>
                <w:szCs w:val="19"/>
                <w:rtl w:val="0"/>
              </w:rPr>
              <w:t xml:space="preserve">Shared Threat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1">
            <w:pPr>
              <w:rPr>
                <w:rFonts w:ascii="Sura" w:cs="Sura" w:eastAsia="Sura" w:hAnsi="Sura"/>
              </w:rPr>
            </w:pPr>
            <w:r w:rsidDel="00000000" w:rsidR="00000000" w:rsidRPr="00000000">
              <w:rPr>
                <w:rFonts w:ascii="Sura" w:cs="Sura" w:eastAsia="Sura" w:hAnsi="Sura"/>
                <w:sz w:val="19"/>
                <w:szCs w:val="19"/>
                <w:rtl w:val="0"/>
              </w:rPr>
              <w:t xml:space="preserve">Use for passages connecting that shift to the buyer’s specific world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2">
            <w:pPr>
              <w:rPr>
                <w:rFonts w:ascii="Sura" w:cs="Sura" w:eastAsia="Sura" w:hAnsi="Sura"/>
              </w:rPr>
            </w:pPr>
            <w:r w:rsidDel="00000000" w:rsidR="00000000" w:rsidRPr="00000000">
              <w:rPr>
                <w:rFonts w:ascii="Sura" w:cs="Sura" w:eastAsia="Sura" w:hAnsi="Sura"/>
                <w:sz w:val="19"/>
                <w:szCs w:val="19"/>
                <w:rtl w:val="0"/>
              </w:rPr>
              <w:t xml:space="preserve">Our Hero &amp; Their Meaning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3">
            <w:pPr>
              <w:rPr>
                <w:rFonts w:ascii="Sura" w:cs="Sura" w:eastAsia="Sura" w:hAnsi="Sura"/>
              </w:rPr>
            </w:pPr>
            <w:r w:rsidDel="00000000" w:rsidR="00000000" w:rsidRPr="00000000">
              <w:rPr>
                <w:rFonts w:ascii="Sura" w:cs="Sura" w:eastAsia="Sura" w:hAnsi="Sura"/>
                <w:sz w:val="19"/>
                <w:szCs w:val="19"/>
                <w:rtl w:val="0"/>
              </w:rPr>
              <w:t xml:space="preserve">Use for passages describing who the buyer is and what drives them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4">
            <w:pPr>
              <w:rPr>
                <w:rFonts w:ascii="Sura" w:cs="Sura" w:eastAsia="Sura" w:hAnsi="Sura"/>
              </w:rPr>
            </w:pPr>
            <w:r w:rsidDel="00000000" w:rsidR="00000000" w:rsidRPr="00000000">
              <w:rPr>
                <w:rFonts w:ascii="Sura" w:cs="Sura" w:eastAsia="Sura" w:hAnsi="Sura"/>
                <w:sz w:val="19"/>
                <w:szCs w:val="19"/>
                <w:rtl w:val="0"/>
              </w:rPr>
              <w:t xml:space="preserve">The Mentor &amp; Their Allies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5">
            <w:pPr>
              <w:rPr>
                <w:rFonts w:ascii="Sura" w:cs="Sura" w:eastAsia="Sura" w:hAnsi="Sura"/>
              </w:rPr>
            </w:pPr>
            <w:r w:rsidDel="00000000" w:rsidR="00000000" w:rsidRPr="00000000">
              <w:rPr>
                <w:rFonts w:ascii="Sura" w:cs="Sura" w:eastAsia="Sura" w:hAnsi="Sura"/>
                <w:sz w:val="19"/>
                <w:szCs w:val="19"/>
                <w:rtl w:val="0"/>
              </w:rPr>
              <w:t xml:space="preserve">Use for passages establishing the brand’s credibility as guide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6">
            <w:pPr>
              <w:rPr>
                <w:rFonts w:ascii="Sura" w:cs="Sura" w:eastAsia="Sura" w:hAnsi="Sura"/>
              </w:rPr>
            </w:pPr>
            <w:r w:rsidDel="00000000" w:rsidR="00000000" w:rsidRPr="00000000">
              <w:rPr>
                <w:rFonts w:ascii="Sura" w:cs="Sura" w:eastAsia="Sura" w:hAnsi="Sura"/>
                <w:sz w:val="19"/>
                <w:szCs w:val="19"/>
                <w:rtl w:val="0"/>
              </w:rPr>
              <w:t xml:space="preserve">Call to Adventure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7">
            <w:pPr>
              <w:rPr>
                <w:rFonts w:ascii="Sura" w:cs="Sura" w:eastAsia="Sura" w:hAnsi="Sura"/>
              </w:rPr>
            </w:pPr>
            <w:r w:rsidDel="00000000" w:rsidR="00000000" w:rsidRPr="00000000">
              <w:rPr>
                <w:rFonts w:ascii="Sura" w:cs="Sura" w:eastAsia="Sura" w:hAnsi="Sura"/>
                <w:sz w:val="19"/>
                <w:szCs w:val="19"/>
                <w:rtl w:val="0"/>
              </w:rPr>
              <w:t xml:space="preserve">Use for passages articulating the brand’s purpose and invitation to 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8">
            <w:pPr>
              <w:rPr>
                <w:rFonts w:ascii="Sura" w:cs="Sura" w:eastAsia="Sura" w:hAnsi="Sura"/>
              </w:rPr>
            </w:pPr>
            <w:r w:rsidDel="00000000" w:rsidR="00000000" w:rsidRPr="00000000">
              <w:rPr>
                <w:rFonts w:ascii="Sura" w:cs="Sura" w:eastAsia="Sura" w:hAnsi="Sura"/>
                <w:sz w:val="19"/>
                <w:szCs w:val="19"/>
                <w:rtl w:val="0"/>
              </w:rPr>
              <w:t xml:space="preserve">The Talisman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9">
            <w:pPr>
              <w:rPr>
                <w:rFonts w:ascii="Sura" w:cs="Sura" w:eastAsia="Sura" w:hAnsi="Sura"/>
              </w:rPr>
            </w:pPr>
            <w:r w:rsidDel="00000000" w:rsidR="00000000" w:rsidRPr="00000000">
              <w:rPr>
                <w:rFonts w:ascii="Sura" w:cs="Sura" w:eastAsia="Sura" w:hAnsi="Sura"/>
                <w:sz w:val="19"/>
                <w:szCs w:val="19"/>
                <w:rtl w:val="0"/>
              </w:rPr>
              <w:t xml:space="preserve">Use for passages describing the product or service and what it makes possible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A">
            <w:pPr>
              <w:rPr>
                <w:rFonts w:ascii="Sura" w:cs="Sura" w:eastAsia="Sura" w:hAnsi="Sura"/>
              </w:rPr>
            </w:pPr>
            <w:r w:rsidDel="00000000" w:rsidR="00000000" w:rsidRPr="00000000">
              <w:rPr>
                <w:rFonts w:ascii="Sura" w:cs="Sura" w:eastAsia="Sura" w:hAnsi="Sura"/>
                <w:sz w:val="19"/>
                <w:szCs w:val="19"/>
                <w:rtl w:val="0"/>
              </w:rPr>
              <w:t xml:space="preserve">Obstacles to Overcome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B">
            <w:pPr>
              <w:rPr>
                <w:rFonts w:ascii="Sura" w:cs="Sura" w:eastAsia="Sura" w:hAnsi="Sura"/>
              </w:rPr>
            </w:pPr>
            <w:r w:rsidDel="00000000" w:rsidR="00000000" w:rsidRPr="00000000">
              <w:rPr>
                <w:rFonts w:ascii="Sura" w:cs="Sura" w:eastAsia="Sura" w:hAnsi="Sura"/>
                <w:sz w:val="19"/>
                <w:szCs w:val="19"/>
                <w:rtl w:val="0"/>
              </w:rPr>
              <w:t xml:space="preserve">Use for passages describing the challenges the buyer faces and the brand’s differentiators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C">
            <w:pPr>
              <w:rPr>
                <w:rFonts w:ascii="Sura" w:cs="Sura" w:eastAsia="Sura" w:hAnsi="Sura"/>
              </w:rPr>
            </w:pPr>
            <w:r w:rsidDel="00000000" w:rsidR="00000000" w:rsidRPr="00000000">
              <w:rPr>
                <w:rFonts w:ascii="Sura" w:cs="Sura" w:eastAsia="Sura" w:hAnsi="Sura"/>
                <w:sz w:val="19"/>
                <w:szCs w:val="19"/>
                <w:rtl w:val="0"/>
              </w:rPr>
              <w:t xml:space="preserve">Spoils of Victory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D">
            <w:pPr>
              <w:rPr>
                <w:rFonts w:ascii="Sura" w:cs="Sura" w:eastAsia="Sura" w:hAnsi="Sura"/>
              </w:rPr>
            </w:pPr>
            <w:r w:rsidDel="00000000" w:rsidR="00000000" w:rsidRPr="00000000">
              <w:rPr>
                <w:rFonts w:ascii="Sura" w:cs="Sura" w:eastAsia="Sura" w:hAnsi="Sura"/>
                <w:sz w:val="19"/>
                <w:szCs w:val="19"/>
                <w:rtl w:val="0"/>
              </w:rPr>
              <w:t xml:space="preserve">Use for passages describing the outcomes and ROI the buyer achieves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E">
            <w:pPr>
              <w:rPr>
                <w:rFonts w:ascii="Sura" w:cs="Sura" w:eastAsia="Sura" w:hAnsi="Sura"/>
              </w:rPr>
            </w:pPr>
            <w:r w:rsidDel="00000000" w:rsidR="00000000" w:rsidRPr="00000000">
              <w:rPr>
                <w:rFonts w:ascii="Sura" w:cs="Sura" w:eastAsia="Sura" w:hAnsi="Sura"/>
                <w:sz w:val="19"/>
                <w:szCs w:val="19"/>
                <w:rtl w:val="0"/>
              </w:rPr>
              <w:t xml:space="preserve">Potential Achieved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F">
            <w:pPr>
              <w:rPr>
                <w:rFonts w:ascii="Sura" w:cs="Sura" w:eastAsia="Sura" w:hAnsi="Sura"/>
              </w:rPr>
            </w:pPr>
            <w:r w:rsidDel="00000000" w:rsidR="00000000" w:rsidRPr="00000000">
              <w:rPr>
                <w:rFonts w:ascii="Sura" w:cs="Sura" w:eastAsia="Sura" w:hAnsi="Sura"/>
                <w:sz w:val="19"/>
                <w:szCs w:val="19"/>
                <w:rtl w:val="0"/>
              </w:rPr>
              <w:t xml:space="preserve">Use for passages describing the transformed world and the buyer’s new reality</w:t>
            </w:r>
            <w:r w:rsidDel="00000000" w:rsidR="00000000" w:rsidRPr="00000000">
              <w:rPr>
                <w:rtl w:val="0"/>
              </w:rPr>
            </w:r>
          </w:p>
        </w:tc>
      </w:tr>
    </w:tbl>
    <w:p w:rsidR="00000000" w:rsidDel="00000000" w:rsidP="00000000" w:rsidRDefault="00000000" w:rsidRPr="00000000" w14:paraId="00000060">
      <w:pPr>
        <w:spacing w:before="120" w:lineRule="auto"/>
        <w:rPr>
          <w:rFonts w:ascii="Sura" w:cs="Sura" w:eastAsia="Sura" w:hAnsi="Sura"/>
        </w:rPr>
      </w:pPr>
      <w:r w:rsidDel="00000000" w:rsidR="00000000" w:rsidRPr="00000000">
        <w:rPr>
          <w:rtl w:val="0"/>
        </w:rPr>
      </w:r>
    </w:p>
    <w:p w:rsidR="00000000" w:rsidDel="00000000" w:rsidP="00000000" w:rsidRDefault="00000000" w:rsidRPr="00000000" w14:paraId="00000061">
      <w:pPr>
        <w:spacing w:after="80" w:before="40" w:lineRule="auto"/>
        <w:rPr>
          <w:rFonts w:ascii="Sura" w:cs="Sura" w:eastAsia="Sura" w:hAnsi="Sura"/>
        </w:rPr>
      </w:pPr>
      <w:r w:rsidDel="00000000" w:rsidR="00000000" w:rsidRPr="00000000">
        <w:rPr>
          <w:rFonts w:ascii="Sura" w:cs="Sura" w:eastAsia="Sura" w:hAnsi="Sura"/>
          <w:color w:val="555555"/>
          <w:sz w:val="18"/>
          <w:szCs w:val="18"/>
          <w:rtl w:val="0"/>
        </w:rPr>
        <w:t xml:space="preserve">Rendered as: Full annotated StoryKernel prose. Entered by Brand Storyteller below. Rendered on the live page as flowing text with hover tooltips on annotated spans.</w:t>
      </w:r>
      <w:r w:rsidDel="00000000" w:rsidR="00000000" w:rsidRPr="00000000">
        <w:rPr>
          <w:rtl w:val="0"/>
        </w:rPr>
      </w:r>
    </w:p>
    <w:p w:rsidR="00000000" w:rsidDel="00000000" w:rsidP="00000000" w:rsidRDefault="00000000" w:rsidRPr="00000000" w14:paraId="00000062">
      <w:pPr>
        <w:spacing w:before="100" w:lineRule="auto"/>
        <w:rPr>
          <w:rFonts w:ascii="Sura" w:cs="Sura" w:eastAsia="Sura" w:hAnsi="Sura"/>
        </w:rPr>
      </w:pPr>
      <w:r w:rsidDel="00000000" w:rsidR="00000000" w:rsidRPr="00000000">
        <w:rPr>
          <w:rtl w:val="0"/>
        </w:rPr>
      </w:r>
    </w:p>
    <w:p w:rsidR="00000000" w:rsidDel="00000000" w:rsidP="00000000" w:rsidRDefault="00000000" w:rsidRPr="00000000" w14:paraId="00000063">
      <w:pPr>
        <w:spacing w:after="60" w:before="60" w:lineRule="auto"/>
        <w:ind w:left="360" w:firstLine="0"/>
        <w:rPr>
          <w:rFonts w:ascii="Sura" w:cs="Sura" w:eastAsia="Sura" w:hAnsi="Sura"/>
          <w:color w:val="999999"/>
        </w:rPr>
      </w:pPr>
      <w:r w:rsidDel="00000000" w:rsidR="00000000" w:rsidRPr="00000000">
        <w:rPr>
          <w:rFonts w:ascii="Sura" w:cs="Sura" w:eastAsia="Sura" w:hAnsi="Sura"/>
          <w:color w:val="999999"/>
          <w:rtl w:val="0"/>
        </w:rPr>
        <w:t xml:space="preserve">[ANNOTATED STORYKERNEL—paste the full client StoryKernel here with arc annotation tags applied to every passage]</w:t>
      </w:r>
    </w:p>
    <w:p w:rsidR="00000000" w:rsidDel="00000000" w:rsidP="00000000" w:rsidRDefault="00000000" w:rsidRPr="00000000" w14:paraId="00000064">
      <w:pPr>
        <w:spacing w:after="60" w:before="60" w:lineRule="auto"/>
        <w:ind w:left="360" w:firstLine="0"/>
        <w:rPr>
          <w:rFonts w:ascii="Sura" w:cs="Sura" w:eastAsia="Sura" w:hAnsi="Sura"/>
          <w:color w:val="999999"/>
        </w:rPr>
      </w:pPr>
      <w:r w:rsidDel="00000000" w:rsidR="00000000" w:rsidRPr="00000000">
        <w:rPr>
          <w:rtl w:val="0"/>
        </w:rPr>
      </w:r>
    </w:p>
    <w:p w:rsidR="00000000" w:rsidDel="00000000" w:rsidP="00000000" w:rsidRDefault="00000000" w:rsidRPr="00000000" w14:paraId="00000065">
      <w:pPr>
        <w:spacing w:after="60" w:before="60" w:lineRule="auto"/>
        <w:rPr>
          <w:rFonts w:ascii="Sura" w:cs="Sura" w:eastAsia="Sura" w:hAnsi="Sura"/>
        </w:rPr>
      </w:pPr>
      <w:r w:rsidDel="00000000" w:rsidR="00000000" w:rsidRPr="00000000">
        <w:rPr>
          <w:rtl w:val="0"/>
        </w:rPr>
      </w:r>
    </w:p>
    <w:p w:rsidR="00000000" w:rsidDel="00000000" w:rsidP="00000000" w:rsidRDefault="00000000" w:rsidRPr="00000000" w14:paraId="00000066">
      <w:pPr>
        <w:spacing w:after="60" w:before="60" w:lineRule="auto"/>
        <w:rPr>
          <w:rFonts w:ascii="Sura" w:cs="Sura" w:eastAsia="Sura" w:hAnsi="Sura"/>
        </w:rPr>
      </w:pPr>
      <w:r w:rsidDel="00000000" w:rsidR="00000000" w:rsidRPr="00000000">
        <w:rPr>
          <w:rtl w:val="0"/>
        </w:rPr>
      </w:r>
    </w:p>
    <w:p w:rsidR="00000000" w:rsidDel="00000000" w:rsidP="00000000" w:rsidRDefault="00000000" w:rsidRPr="00000000" w14:paraId="00000067">
      <w:pPr>
        <w:pStyle w:val="Heading2"/>
        <w:spacing w:after="80" w:before="40" w:lineRule="auto"/>
        <w:rPr/>
      </w:pPr>
      <w:bookmarkStart w:colFirst="0" w:colLast="0" w:name="_heading=h.v10etnuh0mrq" w:id="5"/>
      <w:bookmarkEnd w:id="5"/>
      <w:sdt>
        <w:sdtPr>
          <w:id w:val="1553189651"/>
          <w:tag w:val="goog_rdk_1"/>
        </w:sdtPr>
        <w:sdtContent>
          <w:commentRangeStart w:id="1"/>
        </w:sdtContent>
      </w:sdt>
      <w:r w:rsidDel="00000000" w:rsidR="00000000" w:rsidRPr="00000000">
        <w:rPr>
          <w:rtl w:val="0"/>
        </w:rPr>
        <w:t xml:space="preserve">TELLING YOUR STORY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8">
      <w:pPr>
        <w:spacing w:after="60" w:before="60" w:lineRule="auto"/>
        <w:rPr>
          <w:rFonts w:ascii="Sura" w:cs="Sura" w:eastAsia="Sura" w:hAnsi="Sura"/>
        </w:rPr>
      </w:pPr>
      <w:r w:rsidDel="00000000" w:rsidR="00000000" w:rsidRPr="00000000">
        <w:rPr>
          <w:rFonts w:ascii="Sura" w:cs="Sura" w:eastAsia="Sura" w:hAnsi="Sura"/>
          <w:rtl w:val="0"/>
        </w:rPr>
        <w:t xml:space="preserve">Every story Atsign tells follows this nine-part arc. The StoryKernel is only effective when your entire team tells the same story, consistently and confidently.</w:t>
      </w:r>
    </w:p>
    <w:p w:rsidR="00000000" w:rsidDel="00000000" w:rsidP="00000000" w:rsidRDefault="00000000" w:rsidRPr="00000000" w14:paraId="00000069">
      <w:pPr>
        <w:spacing w:after="60" w:before="60" w:lineRule="auto"/>
        <w:rPr>
          <w:rFonts w:ascii="Sura" w:cs="Sura" w:eastAsia="Sura" w:hAnsi="Sura"/>
        </w:rPr>
      </w:pPr>
      <w:r w:rsidDel="00000000" w:rsidR="00000000" w:rsidRPr="00000000">
        <w:rPr>
          <w:rFonts w:ascii="Sura" w:cs="Sura" w:eastAsia="Sura" w:hAnsi="Sura"/>
          <w:rtl w:val="0"/>
        </w:rPr>
        <w:t xml:space="preserve">Everyone at Atsign should have the nine key messages memorized. The bullet points under each section of the arc capture the essential message for that stage of the journey. These are the through-lines your team carries into every interaction with buyers.</w:t>
      </w:r>
    </w:p>
    <w:p w:rsidR="00000000" w:rsidDel="00000000" w:rsidP="00000000" w:rsidRDefault="00000000" w:rsidRPr="00000000" w14:paraId="0000006A">
      <w:pPr>
        <w:spacing w:after="60" w:before="60" w:lineRule="auto"/>
        <w:rPr>
          <w:rFonts w:ascii="Sura" w:cs="Sura" w:eastAsia="Sura" w:hAnsi="Sura"/>
        </w:rPr>
      </w:pPr>
      <w:r w:rsidDel="00000000" w:rsidR="00000000" w:rsidRPr="00000000">
        <w:rPr>
          <w:rtl w:val="0"/>
        </w:rPr>
      </w:r>
    </w:p>
    <w:p w:rsidR="00000000" w:rsidDel="00000000" w:rsidP="00000000" w:rsidRDefault="00000000" w:rsidRPr="00000000" w14:paraId="0000006B">
      <w:pPr>
        <w:spacing w:after="60" w:before="60" w:lineRule="auto"/>
        <w:rPr>
          <w:rFonts w:ascii="Sura" w:cs="Sura" w:eastAsia="Sura" w:hAnsi="Sura"/>
        </w:rPr>
      </w:pPr>
      <w:r w:rsidDel="00000000" w:rsidR="00000000" w:rsidRPr="00000000">
        <w:rPr>
          <w:rFonts w:ascii="Sura" w:cs="Sura" w:eastAsia="Sura" w:hAnsi="Sura"/>
          <w:rtl w:val="0"/>
        </w:rPr>
        <w:t xml:space="preserve">To build a story, think of a customer story. For each part of the nine-part arc, consider how it’s uniquely relevant to that story. These questions can help guide you:</w:t>
      </w:r>
    </w:p>
    <w:p w:rsidR="00000000" w:rsidDel="00000000" w:rsidP="00000000" w:rsidRDefault="00000000" w:rsidRPr="00000000" w14:paraId="0000006C">
      <w:pPr>
        <w:spacing w:after="60" w:before="60" w:lineRule="auto"/>
        <w:rPr>
          <w:rFonts w:ascii="Sura" w:cs="Sura" w:eastAsia="Sura" w:hAnsi="Sura"/>
        </w:rPr>
      </w:pPr>
      <w:r w:rsidDel="00000000" w:rsidR="00000000" w:rsidRPr="00000000">
        <w:rPr>
          <w:rtl w:val="0"/>
        </w:rPr>
      </w:r>
    </w:p>
    <w:p w:rsidR="00000000" w:rsidDel="00000000" w:rsidP="00000000" w:rsidRDefault="00000000" w:rsidRPr="00000000" w14:paraId="0000006D">
      <w:pPr>
        <w:numPr>
          <w:ilvl w:val="0"/>
          <w:numId w:val="2"/>
        </w:numPr>
        <w:spacing w:before="60" w:lineRule="auto"/>
        <w:ind w:left="720" w:hanging="360"/>
        <w:rPr>
          <w:rFonts w:ascii="Sura" w:cs="Sura" w:eastAsia="Sura" w:hAnsi="Sura"/>
        </w:rPr>
      </w:pPr>
      <w:r w:rsidDel="00000000" w:rsidR="00000000" w:rsidRPr="00000000">
        <w:rPr>
          <w:rFonts w:ascii="Sura" w:cs="Sura" w:eastAsia="Sura" w:hAnsi="Sura"/>
          <w:b w:val="1"/>
          <w:bCs w:val="1"/>
          <w:rtl w:val="0"/>
        </w:rPr>
        <w:t xml:space="preserve">Existential Threat</w:t>
      </w:r>
      <w:r w:rsidDel="00000000" w:rsidR="00000000" w:rsidRPr="00000000">
        <w:rPr>
          <w:rFonts w:ascii="Sura" w:cs="Sura" w:eastAsia="Sura" w:hAnsi="Sura"/>
          <w:rtl w:val="0"/>
        </w:rPr>
        <w:t xml:space="preserve">: How did the Existential Threat (INSERT EXISTENTIAL THREAT) make the status quo unsustainable? </w:t>
      </w:r>
    </w:p>
    <w:p w:rsidR="00000000" w:rsidDel="00000000" w:rsidP="00000000" w:rsidRDefault="00000000" w:rsidRPr="00000000" w14:paraId="0000006E">
      <w:pPr>
        <w:numPr>
          <w:ilvl w:val="0"/>
          <w:numId w:val="2"/>
        </w:numPr>
        <w:ind w:left="720" w:hanging="360"/>
        <w:rPr>
          <w:rFonts w:ascii="Sura" w:cs="Sura" w:eastAsia="Sura" w:hAnsi="Sura"/>
        </w:rPr>
      </w:pPr>
      <w:r w:rsidDel="00000000" w:rsidR="00000000" w:rsidRPr="00000000">
        <w:rPr>
          <w:rFonts w:ascii="Sura" w:cs="Sura" w:eastAsia="Sura" w:hAnsi="Sura"/>
          <w:b w:val="1"/>
          <w:bCs w:val="1"/>
          <w:rtl w:val="0"/>
        </w:rPr>
        <w:t xml:space="preserve">Shared Threat: </w:t>
      </w:r>
      <w:r w:rsidDel="00000000" w:rsidR="00000000" w:rsidRPr="00000000">
        <w:rPr>
          <w:rFonts w:ascii="Sura" w:cs="Sura" w:eastAsia="Sura" w:hAnsi="Sura"/>
          <w:rtl w:val="0"/>
        </w:rPr>
        <w:t xml:space="preserve">How do those threats impact your prospect’s company?</w:t>
      </w:r>
    </w:p>
    <w:p w:rsidR="00000000" w:rsidDel="00000000" w:rsidP="00000000" w:rsidRDefault="00000000" w:rsidRPr="00000000" w14:paraId="0000006F">
      <w:pPr>
        <w:numPr>
          <w:ilvl w:val="0"/>
          <w:numId w:val="2"/>
        </w:numPr>
        <w:ind w:left="720" w:hanging="360"/>
        <w:rPr>
          <w:rFonts w:ascii="Sura" w:cs="Sura" w:eastAsia="Sura" w:hAnsi="Sura"/>
        </w:rPr>
      </w:pPr>
      <w:r w:rsidDel="00000000" w:rsidR="00000000" w:rsidRPr="00000000">
        <w:rPr>
          <w:rFonts w:ascii="Sura" w:cs="Sura" w:eastAsia="Sura" w:hAnsi="Sura"/>
          <w:b w:val="1"/>
          <w:bCs w:val="1"/>
          <w:rtl w:val="0"/>
        </w:rPr>
        <w:t xml:space="preserve">Our Hero &amp; Their Meaning: </w:t>
      </w:r>
      <w:r w:rsidDel="00000000" w:rsidR="00000000" w:rsidRPr="00000000">
        <w:rPr>
          <w:rFonts w:ascii="Sura" w:cs="Sura" w:eastAsia="Sura" w:hAnsi="Sura"/>
          <w:rtl w:val="0"/>
        </w:rPr>
        <w:t xml:space="preserve">How do those threats uniquely impact your hero? What are they concerned or frustrated about? What are their aspirations?</w:t>
      </w:r>
    </w:p>
    <w:p w:rsidR="00000000" w:rsidDel="00000000" w:rsidP="00000000" w:rsidRDefault="00000000" w:rsidRPr="00000000" w14:paraId="00000070">
      <w:pPr>
        <w:numPr>
          <w:ilvl w:val="0"/>
          <w:numId w:val="2"/>
        </w:numPr>
        <w:ind w:left="720" w:hanging="360"/>
        <w:rPr>
          <w:rFonts w:ascii="Sura" w:cs="Sura" w:eastAsia="Sura" w:hAnsi="Sura"/>
        </w:rPr>
      </w:pPr>
      <w:r w:rsidDel="00000000" w:rsidR="00000000" w:rsidRPr="00000000">
        <w:rPr>
          <w:rFonts w:ascii="Sura" w:cs="Sura" w:eastAsia="Sura" w:hAnsi="Sura"/>
          <w:b w:val="1"/>
          <w:bCs w:val="1"/>
          <w:rtl w:val="0"/>
        </w:rPr>
        <w:t xml:space="preserve">The Mentor &amp; Their Allies: </w:t>
      </w:r>
      <w:r w:rsidDel="00000000" w:rsidR="00000000" w:rsidRPr="00000000">
        <w:rPr>
          <w:rFonts w:ascii="Sura" w:cs="Sura" w:eastAsia="Sura" w:hAnsi="Sura"/>
          <w:rtl w:val="0"/>
        </w:rPr>
        <w:t xml:space="preserve">What made [CLIENT] uniquely credible to help them overcome these threats? </w:t>
      </w:r>
    </w:p>
    <w:p w:rsidR="00000000" w:rsidDel="00000000" w:rsidP="00000000" w:rsidRDefault="00000000" w:rsidRPr="00000000" w14:paraId="00000071">
      <w:pPr>
        <w:numPr>
          <w:ilvl w:val="0"/>
          <w:numId w:val="2"/>
        </w:numPr>
        <w:ind w:left="720" w:hanging="360"/>
        <w:rPr>
          <w:rFonts w:ascii="Sura" w:cs="Sura" w:eastAsia="Sura" w:hAnsi="Sura"/>
        </w:rPr>
      </w:pPr>
      <w:r w:rsidDel="00000000" w:rsidR="00000000" w:rsidRPr="00000000">
        <w:rPr>
          <w:rFonts w:ascii="Sura" w:cs="Sura" w:eastAsia="Sura" w:hAnsi="Sura"/>
          <w:b w:val="1"/>
          <w:bCs w:val="1"/>
          <w:rtl w:val="0"/>
        </w:rPr>
        <w:t xml:space="preserve">Call-to-Adventure:</w:t>
      </w:r>
      <w:r w:rsidDel="00000000" w:rsidR="00000000" w:rsidRPr="00000000">
        <w:rPr>
          <w:rFonts w:ascii="Sura" w:cs="Sura" w:eastAsia="Sura" w:hAnsi="Sura"/>
          <w:rtl w:val="0"/>
        </w:rPr>
        <w:t xml:space="preserve"> What about your purpose statement resonates with them? </w:t>
      </w:r>
    </w:p>
    <w:p w:rsidR="00000000" w:rsidDel="00000000" w:rsidP="00000000" w:rsidRDefault="00000000" w:rsidRPr="00000000" w14:paraId="00000072">
      <w:pPr>
        <w:numPr>
          <w:ilvl w:val="0"/>
          <w:numId w:val="2"/>
        </w:numPr>
        <w:spacing w:after="60" w:lineRule="auto"/>
        <w:ind w:left="720" w:hanging="360"/>
        <w:rPr>
          <w:rFonts w:ascii="Sura" w:cs="Sura" w:eastAsia="Sura" w:hAnsi="Sura"/>
        </w:rPr>
      </w:pPr>
      <w:r w:rsidDel="00000000" w:rsidR="00000000" w:rsidRPr="00000000">
        <w:rPr>
          <w:rFonts w:ascii="Sura" w:cs="Sura" w:eastAsia="Sura" w:hAnsi="Sura"/>
          <w:b w:val="1"/>
          <w:bCs w:val="1"/>
          <w:rtl w:val="0"/>
        </w:rPr>
        <w:t xml:space="preserve">The Talisman: </w:t>
      </w:r>
      <w:r w:rsidDel="00000000" w:rsidR="00000000" w:rsidRPr="00000000">
        <w:rPr>
          <w:rFonts w:ascii="Sura" w:cs="Sura" w:eastAsia="Sura" w:hAnsi="Sura"/>
          <w:rtl w:val="0"/>
        </w:rPr>
        <w:t xml:space="preserve">What about your products gives your customers [MAGICAL ASPECT]? </w:t>
      </w:r>
    </w:p>
    <w:p w:rsidR="00000000" w:rsidDel="00000000" w:rsidP="00000000" w:rsidRDefault="00000000" w:rsidRPr="00000000" w14:paraId="00000073">
      <w:pPr>
        <w:numPr>
          <w:ilvl w:val="0"/>
          <w:numId w:val="2"/>
        </w:numPr>
        <w:spacing w:after="60" w:before="60" w:lineRule="auto"/>
        <w:ind w:left="720" w:hanging="360"/>
        <w:rPr>
          <w:rFonts w:ascii="Sura" w:cs="Sura" w:eastAsia="Sura" w:hAnsi="Sura"/>
          <w:b w:val="1"/>
          <w:bCs w:val="1"/>
        </w:rPr>
      </w:pPr>
      <w:r w:rsidDel="00000000" w:rsidR="00000000" w:rsidRPr="00000000">
        <w:rPr>
          <w:rFonts w:ascii="Sura" w:cs="Sura" w:eastAsia="Sura" w:hAnsi="Sura"/>
          <w:b w:val="1"/>
          <w:bCs w:val="1"/>
          <w:rtl w:val="0"/>
        </w:rPr>
        <w:t xml:space="preserve">Obstacles to Overcome: </w:t>
      </w:r>
      <w:r w:rsidDel="00000000" w:rsidR="00000000" w:rsidRPr="00000000">
        <w:rPr>
          <w:rFonts w:ascii="Sura" w:cs="Sura" w:eastAsia="Sura" w:hAnsi="Sura"/>
          <w:rtl w:val="0"/>
        </w:rPr>
        <w:t xml:space="preserve">How did they use your Talisman to overcome the threats and [WHAT THEY DO WITH THE TALISMAN]? How did [DIFFERENTIATORS] make a difference for them?</w:t>
      </w:r>
      <w:r w:rsidDel="00000000" w:rsidR="00000000" w:rsidRPr="00000000">
        <w:rPr>
          <w:rtl w:val="0"/>
        </w:rPr>
      </w:r>
    </w:p>
    <w:p w:rsidR="00000000" w:rsidDel="00000000" w:rsidP="00000000" w:rsidRDefault="00000000" w:rsidRPr="00000000" w14:paraId="00000074">
      <w:pPr>
        <w:numPr>
          <w:ilvl w:val="0"/>
          <w:numId w:val="2"/>
        </w:numPr>
        <w:spacing w:after="60" w:before="60" w:lineRule="auto"/>
        <w:ind w:left="720" w:hanging="360"/>
        <w:rPr>
          <w:rFonts w:ascii="Sura" w:cs="Sura" w:eastAsia="Sura" w:hAnsi="Sura"/>
          <w:b w:val="1"/>
          <w:bCs w:val="1"/>
        </w:rPr>
      </w:pPr>
      <w:r w:rsidDel="00000000" w:rsidR="00000000" w:rsidRPr="00000000">
        <w:rPr>
          <w:rFonts w:ascii="Sura" w:cs="Sura" w:eastAsia="Sura" w:hAnsi="Sura"/>
          <w:b w:val="1"/>
          <w:bCs w:val="1"/>
          <w:rtl w:val="0"/>
        </w:rPr>
        <w:t xml:space="preserve">Spoils of Victory: </w:t>
      </w:r>
      <w:r w:rsidDel="00000000" w:rsidR="00000000" w:rsidRPr="00000000">
        <w:rPr>
          <w:rFonts w:ascii="Sura" w:cs="Sura" w:eastAsia="Sura" w:hAnsi="Sura"/>
          <w:rtl w:val="0"/>
        </w:rPr>
        <w:t xml:space="preserve">What was the tangible ROI they gained from working with you?</w:t>
      </w:r>
      <w:r w:rsidDel="00000000" w:rsidR="00000000" w:rsidRPr="00000000">
        <w:rPr>
          <w:rtl w:val="0"/>
        </w:rPr>
      </w:r>
    </w:p>
    <w:p w:rsidR="00000000" w:rsidDel="00000000" w:rsidP="00000000" w:rsidRDefault="00000000" w:rsidRPr="00000000" w14:paraId="00000075">
      <w:pPr>
        <w:numPr>
          <w:ilvl w:val="0"/>
          <w:numId w:val="2"/>
        </w:numPr>
        <w:spacing w:after="60" w:before="60" w:lineRule="auto"/>
        <w:ind w:left="720" w:hanging="360"/>
        <w:rPr>
          <w:rFonts w:ascii="Sura" w:cs="Sura" w:eastAsia="Sura" w:hAnsi="Sura"/>
          <w:b w:val="1"/>
          <w:bCs w:val="1"/>
        </w:rPr>
      </w:pPr>
      <w:r w:rsidDel="00000000" w:rsidR="00000000" w:rsidRPr="00000000">
        <w:rPr>
          <w:rFonts w:ascii="Sura" w:cs="Sura" w:eastAsia="Sura" w:hAnsi="Sura"/>
          <w:b w:val="1"/>
          <w:bCs w:val="1"/>
          <w:rtl w:val="0"/>
        </w:rPr>
        <w:t xml:space="preserve">Potential Achieved: </w:t>
      </w:r>
      <w:r w:rsidDel="00000000" w:rsidR="00000000" w:rsidRPr="00000000">
        <w:rPr>
          <w:rFonts w:ascii="Sura" w:cs="Sura" w:eastAsia="Sura" w:hAnsi="Sura"/>
          <w:rtl w:val="0"/>
        </w:rPr>
        <w:t xml:space="preserve">When [POTENTIAL ACHIEVED], what is the impact on your prospect and their company? </w:t>
      </w:r>
      <w:r w:rsidDel="00000000" w:rsidR="00000000" w:rsidRPr="00000000">
        <w:rPr>
          <w:rtl w:val="0"/>
        </w:rPr>
      </w:r>
    </w:p>
    <w:p w:rsidR="00000000" w:rsidDel="00000000" w:rsidP="00000000" w:rsidRDefault="00000000" w:rsidRPr="00000000" w14:paraId="00000076">
      <w:pPr>
        <w:spacing w:after="60" w:before="60" w:lineRule="auto"/>
        <w:rPr>
          <w:rFonts w:ascii="Sura" w:cs="Sura" w:eastAsia="Sura" w:hAnsi="Sura"/>
        </w:rPr>
      </w:pPr>
      <w:r w:rsidDel="00000000" w:rsidR="00000000" w:rsidRPr="00000000">
        <w:rPr>
          <w:rtl w:val="0"/>
        </w:rPr>
      </w:r>
    </w:p>
    <w:p w:rsidR="00000000" w:rsidDel="00000000" w:rsidP="00000000" w:rsidRDefault="00000000" w:rsidRPr="00000000" w14:paraId="00000077">
      <w:pPr>
        <w:spacing w:after="60" w:before="60" w:lineRule="auto"/>
        <w:rPr>
          <w:rFonts w:ascii="Sura" w:cs="Sura" w:eastAsia="Sura" w:hAnsi="Sura"/>
        </w:rPr>
      </w:pPr>
      <w:r w:rsidDel="00000000" w:rsidR="00000000" w:rsidRPr="00000000">
        <w:rPr>
          <w:rtl w:val="0"/>
        </w:rPr>
      </w:r>
    </w:p>
    <w:p w:rsidR="00000000" w:rsidDel="00000000" w:rsidP="00000000" w:rsidRDefault="00000000" w:rsidRPr="00000000" w14:paraId="00000078">
      <w:pPr>
        <w:spacing w:after="60" w:before="60" w:lineRule="auto"/>
        <w:rPr>
          <w:rFonts w:ascii="Sura" w:cs="Sura" w:eastAsia="Sura" w:hAnsi="Sura"/>
        </w:rPr>
      </w:pPr>
      <w:r w:rsidDel="00000000" w:rsidR="00000000" w:rsidRPr="00000000">
        <w:rPr>
          <w:rtl w:val="0"/>
        </w:rPr>
      </w:r>
    </w:p>
    <w:p w:rsidR="00000000" w:rsidDel="00000000" w:rsidP="00000000" w:rsidRDefault="00000000" w:rsidRPr="00000000" w14:paraId="00000079">
      <w:pPr>
        <w:pStyle w:val="Heading2"/>
        <w:pBdr>
          <w:bottom w:color="000000" w:space="0" w:sz="4" w:val="single"/>
        </w:pBdr>
        <w:spacing w:after="100" w:before="320" w:lineRule="auto"/>
        <w:rPr/>
      </w:pPr>
      <w:bookmarkStart w:colFirst="0" w:colLast="0" w:name="_heading=h.pyiimg3kknuh" w:id="6"/>
      <w:bookmarkEnd w:id="6"/>
      <w:r w:rsidDel="00000000" w:rsidR="00000000" w:rsidRPr="00000000">
        <w:rPr>
          <w:rtl w:val="0"/>
        </w:rPr>
        <w:t xml:space="preserve">STORYENGINE PROMPTS</w:t>
      </w:r>
    </w:p>
    <w:p w:rsidR="00000000" w:rsidDel="00000000" w:rsidP="00000000" w:rsidRDefault="00000000" w:rsidRPr="00000000" w14:paraId="0000007A">
      <w:pPr>
        <w:spacing w:after="60" w:before="60" w:lineRule="auto"/>
        <w:rPr>
          <w:rFonts w:ascii="Sura" w:cs="Sura" w:eastAsia="Sura" w:hAnsi="Sura"/>
        </w:rPr>
      </w:pPr>
      <w:r w:rsidDel="00000000" w:rsidR="00000000" w:rsidRPr="00000000">
        <w:rPr>
          <w:rtl w:val="0"/>
        </w:rPr>
      </w:r>
    </w:p>
    <w:p w:rsidR="00000000" w:rsidDel="00000000" w:rsidP="00000000" w:rsidRDefault="00000000" w:rsidRPr="00000000" w14:paraId="0000007B">
      <w:pPr>
        <w:spacing w:after="60" w:before="60" w:lineRule="auto"/>
        <w:rPr>
          <w:rFonts w:ascii="Sura" w:cs="Sura" w:eastAsia="Sura" w:hAnsi="Sura"/>
        </w:rPr>
      </w:pPr>
      <w:r w:rsidDel="00000000" w:rsidR="00000000" w:rsidRPr="00000000">
        <w:rPr>
          <w:rFonts w:ascii="Sura" w:cs="Sura" w:eastAsia="Sura" w:hAnsi="Sura"/>
          <w:rtl w:val="0"/>
        </w:rPr>
        <w:t xml:space="preserve">You can use your StoryEngine to help you craft that story and more:</w:t>
      </w:r>
    </w:p>
    <w:p w:rsidR="00000000" w:rsidDel="00000000" w:rsidP="00000000" w:rsidRDefault="00000000" w:rsidRPr="00000000" w14:paraId="0000007C">
      <w:pPr>
        <w:spacing w:after="60" w:before="60" w:lineRule="auto"/>
        <w:rPr>
          <w:rFonts w:ascii="Sura" w:cs="Sura" w:eastAsia="Sura" w:hAnsi="Sura"/>
        </w:rPr>
      </w:pPr>
      <w:r w:rsidDel="00000000" w:rsidR="00000000" w:rsidRPr="00000000">
        <w:rPr>
          <w:rtl w:val="0"/>
        </w:rPr>
      </w:r>
    </w:p>
    <w:p w:rsidR="00000000" w:rsidDel="00000000" w:rsidP="00000000" w:rsidRDefault="00000000" w:rsidRPr="00000000" w14:paraId="0000007D">
      <w:pPr>
        <w:numPr>
          <w:ilvl w:val="0"/>
          <w:numId w:val="1"/>
        </w:numPr>
        <w:spacing w:before="60" w:lineRule="auto"/>
        <w:ind w:left="720" w:hanging="360"/>
        <w:rPr>
          <w:rFonts w:ascii="Sura" w:cs="Sura" w:eastAsia="Sura" w:hAnsi="Sura"/>
        </w:rPr>
      </w:pPr>
      <w:r w:rsidDel="00000000" w:rsidR="00000000" w:rsidRPr="00000000">
        <w:rPr>
          <w:rFonts w:ascii="Sura" w:cs="Sura" w:eastAsia="Sura" w:hAnsi="Sura"/>
          <w:rtl w:val="0"/>
        </w:rPr>
        <w:t xml:space="preserve">Help me write a customer story that follows the nine-part arc based on a recent customer win.</w:t>
      </w:r>
    </w:p>
    <w:p w:rsidR="00000000" w:rsidDel="00000000" w:rsidP="00000000" w:rsidRDefault="00000000" w:rsidRPr="00000000" w14:paraId="0000007E">
      <w:pPr>
        <w:numPr>
          <w:ilvl w:val="0"/>
          <w:numId w:val="1"/>
        </w:numPr>
        <w:ind w:left="720" w:hanging="360"/>
        <w:rPr>
          <w:rFonts w:ascii="Sura" w:cs="Sura" w:eastAsia="Sura" w:hAnsi="Sura"/>
        </w:rPr>
      </w:pPr>
      <w:r w:rsidDel="00000000" w:rsidR="00000000" w:rsidRPr="00000000">
        <w:rPr>
          <w:rFonts w:ascii="Sura" w:cs="Sura" w:eastAsia="Sura" w:hAnsi="Sura"/>
          <w:rtl w:val="0"/>
        </w:rPr>
        <w:t xml:space="preserve">Turn my story into a LinkedIn post.</w:t>
      </w:r>
    </w:p>
    <w:p w:rsidR="00000000" w:rsidDel="00000000" w:rsidP="00000000" w:rsidRDefault="00000000" w:rsidRPr="00000000" w14:paraId="0000007F">
      <w:pPr>
        <w:numPr>
          <w:ilvl w:val="0"/>
          <w:numId w:val="1"/>
        </w:numPr>
        <w:spacing w:after="60" w:lineRule="auto"/>
        <w:ind w:left="720" w:hanging="360"/>
        <w:rPr>
          <w:rFonts w:ascii="Sura" w:cs="Sura" w:eastAsia="Sura" w:hAnsi="Sura"/>
        </w:rPr>
      </w:pPr>
      <w:r w:rsidDel="00000000" w:rsidR="00000000" w:rsidRPr="00000000">
        <w:rPr>
          <w:rFonts w:ascii="Sura" w:cs="Sura" w:eastAsia="Sura" w:hAnsi="Sura"/>
          <w:rtl w:val="0"/>
        </w:rPr>
        <w:t xml:space="preserve">How would I tailor a story to [PERSONA/PRODUCT].</w:t>
      </w:r>
    </w:p>
    <w:p w:rsidR="00000000" w:rsidDel="00000000" w:rsidP="00000000" w:rsidRDefault="00000000" w:rsidRPr="00000000" w14:paraId="00000080">
      <w:pPr>
        <w:spacing w:after="60" w:before="60" w:lineRule="auto"/>
        <w:rPr>
          <w:rFonts w:ascii="Sura" w:cs="Sura" w:eastAsia="Sura" w:hAnsi="Sura"/>
          <w:color w:val="999999"/>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icia Sigmon" w:id="1" w:date="2026-04-06T17:33:56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FROM REVIVE</w:t>
      </w:r>
    </w:p>
  </w:comment>
  <w:comment w:author="Alicia Sigmon" w:id="0" w:date="2026-04-06T17:32:01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review with @gguercio@storyisthestrategy.com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gguercio@storyisthestrategy.com_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1" w15:done="0"/>
  <w15:commentEx w15:paraId="0000008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ur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Sura-regular.ttf"/><Relationship Id="rId2" Type="http://schemas.openxmlformats.org/officeDocument/2006/relationships/font" Target="fonts/Su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SraWTrrizTmi6rKGL89Hil8d8A==">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