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8652771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8652772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8652773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8652774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8652775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8652776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8652777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8652778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8652779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8652780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8652781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8652782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8652783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8652784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8652785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8652786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8652787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8652788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8652789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8652790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8652791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8652792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8652793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8652794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8652795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8652796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8652797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8652798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8652799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8652800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8652801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8652802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8652803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8652804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8652805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8652806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8652807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8652808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8652809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8652810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4922C8" w:rsidP="004922C8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4922C8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2905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8652811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8652812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8652813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обираю. 1) магістраль</w:t>
      </w:r>
      <w:r w:rsidR="00544529">
        <w:rPr>
          <w:rFonts w:ascii="Times New Roman" w:hAnsi="Times New Roman" w:cs="Times New Roman"/>
          <w:sz w:val="28"/>
          <w:szCs w:val="28"/>
          <w:lang w:val="uk-UA"/>
        </w:rPr>
        <w:t>ну з відгалуженням (рис.1.2.1, г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834F13" w:rsidP="00D26033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068" type="#_x0000_t75" style="width:119.25pt;height:120.75pt" o:ole="" fillcolor="window">
            <v:imagedata r:id="rId94" o:title=""/>
          </v:shape>
          <o:OLEObject Type="Embed" ProgID="Equation.DSMT4" ShapeID="_x0000_i1068" DrawAspect="Content" ObjectID="_1678652814" r:id="rId95"/>
        </w:object>
      </w:r>
    </w:p>
    <w:p w:rsidR="00834F13" w:rsidRDefault="00E33530" w:rsidP="00D26033">
      <w:pPr>
        <w:jc w:val="both"/>
        <w:rPr>
          <w:lang w:val="uk-UA"/>
        </w:rPr>
      </w:pPr>
      <w:r w:rsidRPr="00447868">
        <w:rPr>
          <w:position w:val="-56"/>
          <w:lang w:val="uk-UA"/>
        </w:rPr>
        <w:object w:dxaOrig="9360" w:dyaOrig="1260">
          <v:shape id="_x0000_i1069" type="#_x0000_t75" style="width:468pt;height:63pt" o:ole="">
            <v:imagedata r:id="rId96" o:title=""/>
          </v:shape>
          <o:OLEObject Type="Embed" ProgID="Equation.DSMT4" ShapeID="_x0000_i1069" DrawAspect="Content" ObjectID="_1678652815" r:id="rId97"/>
        </w:object>
      </w:r>
    </w:p>
    <w:p w:rsidR="008E45E2" w:rsidRDefault="00E33530" w:rsidP="00D26033">
      <w:pPr>
        <w:jc w:val="both"/>
        <w:rPr>
          <w:lang w:val="uk-UA"/>
        </w:rPr>
      </w:pPr>
      <w:r w:rsidRPr="00447868">
        <w:rPr>
          <w:position w:val="-56"/>
        </w:rPr>
        <w:object w:dxaOrig="9460" w:dyaOrig="1260">
          <v:shape id="_x0000_i1070" type="#_x0000_t75" style="width:423.75pt;height:56.25pt" o:ole="">
            <v:imagedata r:id="rId98" o:title=""/>
          </v:shape>
          <o:OLEObject Type="Embed" ProgID="Equation.DSMT4" ShapeID="_x0000_i1070" DrawAspect="Content" ObjectID="_1678652816" r:id="rId99"/>
        </w:object>
      </w:r>
    </w:p>
    <w:p w:rsidR="00447868" w:rsidRDefault="00447868" w:rsidP="00D26033">
      <w:pPr>
        <w:jc w:val="both"/>
        <w:rPr>
          <w:lang w:val="uk-UA"/>
        </w:rPr>
      </w:pP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1" type="#_x0000_t75" style="width:39pt;height:21pt" o:ole="" fillcolor="window">
            <v:imagedata r:id="rId100" o:title=""/>
          </v:shape>
          <o:OLEObject Type="Embed" ProgID="Equation.3" ShapeID="_x0000_i1071" DrawAspect="Content" ObjectID="_1678652817" r:id="rId10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072" type="#_x0000_t75" style="width:79.5pt;height:21pt" o:ole="" fillcolor="window">
            <v:imagedata r:id="rId102" o:title=""/>
          </v:shape>
          <o:OLEObject Type="Embed" ProgID="Equation.DSMT4" ShapeID="_x0000_i1072" DrawAspect="Content" ObjectID="_1678652818" r:id="rId103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="0034653B"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073" type="#_x0000_t75" style="width:51.75pt;height:21pt" o:ole="" fillcolor="window">
            <v:imagedata r:id="rId104" o:title=""/>
          </v:shape>
          <o:OLEObject Type="Embed" ProgID="Equation.DSMT4" ShapeID="_x0000_i1073" DrawAspect="Content" ObjectID="_1678652819" r:id="rId105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653B"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E17235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A5448">
        <w:rPr>
          <w:position w:val="-96"/>
          <w:lang w:val="uk-UA"/>
        </w:rPr>
        <w:object w:dxaOrig="5500" w:dyaOrig="2060">
          <v:shape id="_x0000_i1074" type="#_x0000_t75" style="width:275.25pt;height:102.75pt" o:ole="" fillcolor="window">
            <v:imagedata r:id="rId106" o:title=""/>
          </v:shape>
          <o:OLEObject Type="Embed" ProgID="Equation.DSMT4" ShapeID="_x0000_i1074" DrawAspect="Content" ObjectID="_1678652820" r:id="rId107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E33530" w:rsidRDefault="00E33530" w:rsidP="00E33530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075" type="#_x0000_t75" style="width:119.25pt;height:120.75pt" o:ole="" fillcolor="window">
            <v:imagedata r:id="rId94" o:title=""/>
          </v:shape>
          <o:OLEObject Type="Embed" ProgID="Equation.DSMT4" ShapeID="_x0000_i1075" DrawAspect="Content" ObjectID="_1678652821" r:id="rId108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  <w:lang w:val="uk-UA"/>
        </w:rPr>
        <w:object w:dxaOrig="9820" w:dyaOrig="1219">
          <v:shape id="_x0000_i1076" type="#_x0000_t75" style="width:491.25pt;height:60.75pt" o:ole="">
            <v:imagedata r:id="rId109" o:title=""/>
          </v:shape>
          <o:OLEObject Type="Embed" ProgID="Equation.DSMT4" ShapeID="_x0000_i1076" DrawAspect="Content" ObjectID="_1678652822" r:id="rId110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</w:rPr>
        <w:object w:dxaOrig="9580" w:dyaOrig="1219">
          <v:shape id="_x0000_i1077" type="#_x0000_t75" style="width:429pt;height:54.75pt" o:ole="">
            <v:imagedata r:id="rId111" o:title=""/>
          </v:shape>
          <o:OLEObject Type="Embed" ProgID="Equation.DSMT4" ShapeID="_x0000_i1077" DrawAspect="Content" ObjectID="_1678652823" r:id="rId112"/>
        </w:object>
      </w:r>
    </w:p>
    <w:p w:rsidR="008B5DC0" w:rsidRPr="0034653B" w:rsidRDefault="008B5DC0" w:rsidP="008B5D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8" type="#_x0000_t75" style="width:39pt;height:21pt" o:ole="" fillcolor="window">
            <v:imagedata r:id="rId100" o:title=""/>
          </v:shape>
          <o:OLEObject Type="Embed" ProgID="Equation.3" ShapeID="_x0000_i1078" DrawAspect="Content" ObjectID="_1678652824" r:id="rId11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8B5DC0" w:rsidRPr="0034653B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079" type="#_x0000_t75" style="width:79.5pt;height:21pt" o:ole="" fillcolor="window">
            <v:imagedata r:id="rId102" o:title=""/>
          </v:shape>
          <o:OLEObject Type="Embed" ProgID="Equation.DSMT4" ShapeID="_x0000_i1079" DrawAspect="Content" ObjectID="_1678652825" r:id="rId11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B5DC0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080" type="#_x0000_t75" style="width:51.75pt;height:21pt" o:ole="" fillcolor="window">
            <v:imagedata r:id="rId104" o:title=""/>
          </v:shape>
          <o:OLEObject Type="Embed" ProgID="Equation.DSMT4" ShapeID="_x0000_i1080" DrawAspect="Content" ObjectID="_1678652826" r:id="rId115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C47331" w:rsidRDefault="008B5DC0" w:rsidP="008B5DC0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1" type="#_x0000_t75" style="width:467.25pt;height:59.25pt" o:ole="" fillcolor="window">
            <v:imagedata r:id="rId116" o:title=""/>
          </v:shape>
          <o:OLEObject Type="Embed" ProgID="Equation.DSMT4" ShapeID="_x0000_i1081" DrawAspect="Content" ObjectID="_1678652827" r:id="rId117"/>
        </w:object>
      </w:r>
    </w:p>
    <w:p w:rsid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зовнішнього електропостачання</w:t>
      </w:r>
    </w:p>
    <w:p w:rsidR="008B5DC0" w:rsidRP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82" type="#_x0000_t75" style="width:39.75pt;height:18.75pt" o:ole="">
                  <v:imagedata r:id="rId118" o:title=""/>
                </v:shape>
                <o:OLEObject Type="Embed" ProgID="Equation.DSMT4" ShapeID="_x0000_i1082" DrawAspect="Content" ObjectID="_1678652828" r:id="rId119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83" type="#_x0000_t75" style="width:53.25pt;height:18.75pt" o:ole="">
                  <v:imagedata r:id="rId120" o:title=""/>
                </v:shape>
                <o:OLEObject Type="Embed" ProgID="Equation.DSMT4" ShapeID="_x0000_i1083" DrawAspect="Content" ObjectID="_1678652829" r:id="rId121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084" type="#_x0000_t75" style="width:39.75pt;height:21pt" o:ole="">
                  <v:imagedata r:id="rId122" o:title=""/>
                </v:shape>
                <o:OLEObject Type="Embed" ProgID="Equation.DSMT4" ShapeID="_x0000_i1084" DrawAspect="Content" ObjectID="_1678652830" r:id="rId123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085" type="#_x0000_t75" style="width:47.25pt;height:21pt" o:ole="">
                  <v:imagedata r:id="rId124" o:title=""/>
                </v:shape>
                <o:OLEObject Type="Embed" ProgID="Equation.DSMT4" ShapeID="_x0000_i1085" DrawAspect="Content" ObjectID="_1678652831" r:id="rId125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  <w:r w:rsidR="0007713E"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64.6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17235" w:rsidRDefault="00E17235" w:rsidP="00BD7BCE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7713E" w:rsidRPr="00BD5DDE" w:rsidRDefault="00E17235" w:rsidP="00BD7BCE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7BC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BD7BCE" w:rsidRPr="00E17235">
        <w:rPr>
          <w:rFonts w:ascii="Times New Roman" w:hAnsi="Times New Roman" w:cs="Times New Roman"/>
          <w:sz w:val="28"/>
          <w:szCs w:val="28"/>
        </w:rPr>
        <w:t xml:space="preserve">: </w:t>
      </w:r>
      <w:r w:rsidR="00BD7BCE">
        <w:rPr>
          <w:rFonts w:ascii="Times New Roman" w:hAnsi="Times New Roman" w:cs="Times New Roman"/>
          <w:sz w:val="28"/>
          <w:szCs w:val="28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схемі внутрішнього електропостачання одна номінальна напруга, то приймаємо її. У цьому випадку ВП </w:t>
      </w:r>
      <w:r w:rsidRPr="00BD5DDE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E17235">
        <w:rPr>
          <w:rFonts w:ascii="Times New Roman" w:hAnsi="Times New Roman" w:cs="Times New Roman"/>
          <w:sz w:val="28"/>
          <w:szCs w:val="28"/>
          <w:lang w:val="uk-UA"/>
        </w:rPr>
        <w:t xml:space="preserve"> знижувальною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підстанцією</w:t>
      </w:r>
    </w:p>
    <w:p w:rsidR="005E08DB" w:rsidRDefault="005E08DB" w:rsidP="005E08DB">
      <w:pPr>
        <w:pStyle w:val="a4"/>
        <w:ind w:left="-567" w:firstLine="1134"/>
      </w:pPr>
      <w:r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 w:rsidRPr="00BD5DDE">
        <w:t xml:space="preserve">. </w:t>
      </w:r>
      <w:r w:rsidR="00371047">
        <w:rPr>
          <w:lang w:val="ru-RU"/>
        </w:rPr>
        <w:t>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086" type="#_x0000_t75" style="width:80.25pt;height:36pt" o:ole="">
            <v:imagedata r:id="rId126" o:title=""/>
          </v:shape>
          <o:OLEObject Type="Embed" ProgID="Equation.DSMT4" ShapeID="_x0000_i1086" DrawAspect="Content" ObjectID="_1678652832" r:id="rId127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087" type="#_x0000_t75" style="width:63pt;height:41.25pt" o:ole="" fillcolor="window">
            <v:imagedata r:id="rId128" o:title=""/>
          </v:shape>
          <o:OLEObject Type="Embed" ProgID="Equation.3" ShapeID="_x0000_i1087" DrawAspect="Content" ObjectID="_1678652833" r:id="rId129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088" type="#_x0000_t75" style="width:27pt;height:21pt" o:ole="" fillcolor="window">
            <v:imagedata r:id="rId130" o:title=""/>
          </v:shape>
          <o:OLEObject Type="Embed" ProgID="Equation.3" ShapeID="_x0000_i1088" DrawAspect="Content" ObjectID="_1678652834" r:id="rId131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089" type="#_x0000_t75" style="width:112.5pt;height:45pt" o:ole="" fillcolor="window">
            <v:imagedata r:id="rId132" o:title=""/>
          </v:shape>
          <o:OLEObject Type="Embed" ProgID="Equation.3" ShapeID="_x0000_i1089" DrawAspect="Content" ObjectID="_1678652835" r:id="rId133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proofErr w:type="spellStart"/>
      <w:r>
        <w:rPr>
          <w:i/>
        </w:rPr>
        <w:t>S</w:t>
      </w:r>
      <w:r>
        <w:rPr>
          <w:vertAlign w:val="subscript"/>
        </w:rPr>
        <w:t>діл</w:t>
      </w:r>
      <w:proofErr w:type="spellEnd"/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090" type="#_x0000_t75" style="width:114.75pt;height:28.5pt" o:ole="" fillcolor="window">
            <v:imagedata r:id="rId134" o:title=""/>
          </v:shape>
          <o:OLEObject Type="Embed" ProgID="Equation.3" ShapeID="_x0000_i1090" DrawAspect="Content" ObjectID="_1678652836" r:id="rId135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 xml:space="preserve">кількість ЛЕП </w:t>
      </w:r>
      <w:proofErr w:type="spellStart"/>
      <w:r>
        <w:t>обо</w:t>
      </w:r>
      <w:proofErr w:type="spellEnd"/>
      <w:r>
        <w:t xml:space="preserve">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371047" w:rsidRDefault="00371047" w:rsidP="00371047">
      <w:pPr>
        <w:pStyle w:val="a4"/>
        <w:spacing w:line="360" w:lineRule="auto"/>
      </w:pPr>
      <w:r>
        <w:lastRenderedPageBreak/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675"/>
        <w:gridCol w:w="750"/>
        <w:gridCol w:w="1029"/>
        <w:gridCol w:w="1619"/>
        <w:gridCol w:w="899"/>
        <w:gridCol w:w="717"/>
        <w:gridCol w:w="336"/>
        <w:gridCol w:w="876"/>
        <w:gridCol w:w="600"/>
        <w:gridCol w:w="1217"/>
        <w:gridCol w:w="1217"/>
      </w:tblGrid>
      <w:tr w:rsidR="00250A7A" w:rsidRPr="00BD5DDE" w:rsidTr="00544529">
        <w:trPr>
          <w:trHeight w:val="654"/>
        </w:trPr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</w:t>
            </w:r>
          </w:p>
        </w:tc>
        <w:tc>
          <w:tcPr>
            <w:tcW w:w="7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-ант</w:t>
            </w:r>
          </w:p>
        </w:tc>
        <w:tc>
          <w:tcPr>
            <w:tcW w:w="10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+jQ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ном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ек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</w:tr>
      <w:tr w:rsidR="00250A7A" w:rsidRPr="00BD5DDE" w:rsidTr="00544529">
        <w:trPr>
          <w:trHeight w:val="654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50A7A" w:rsidRPr="00BD5DDE" w:rsidTr="00544529">
        <w:trPr>
          <w:trHeight w:val="461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25.19+2.166i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132.69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36.81+1.834i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193.46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1.81+0.166i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27+4i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71.62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35+2i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92.01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34.843+4.235i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184.23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32.157+3.765i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169.95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2.843+0.765i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67+8i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32+5i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165+3i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165.03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433.09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145+37i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149.65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392.73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20+22i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78.02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</w:tbl>
    <w:p w:rsidR="00BD5DDE" w:rsidRDefault="00BD5DDE" w:rsidP="00371047">
      <w:pPr>
        <w:pStyle w:val="a4"/>
        <w:spacing w:line="360" w:lineRule="auto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</w:p>
    <w:p w:rsidR="009526EA" w:rsidRDefault="009526EA" w:rsidP="009526EA">
      <w:pPr>
        <w:pStyle w:val="a4"/>
        <w:ind w:firstLine="0"/>
      </w:pPr>
      <w:r>
        <w:lastRenderedPageBreak/>
        <w:t>Таблиця 1.6 – Перевірка марок проводів за механічною міцністю</w:t>
      </w:r>
    </w:p>
    <w:p w:rsidR="009526EA" w:rsidRDefault="009526EA" w:rsidP="009526EA">
      <w:pPr>
        <w:pStyle w:val="a4"/>
        <w:ind w:firstLine="0"/>
      </w:pPr>
    </w:p>
    <w:tbl>
      <w:tblPr>
        <w:tblW w:w="8900" w:type="dxa"/>
        <w:tblInd w:w="-10" w:type="dxa"/>
        <w:tblLook w:val="04A0" w:firstRow="1" w:lastRow="0" w:firstColumn="1" w:lastColumn="0" w:noHBand="0" w:noVBand="1"/>
      </w:tblPr>
      <w:tblGrid>
        <w:gridCol w:w="2760"/>
        <w:gridCol w:w="1920"/>
        <w:gridCol w:w="960"/>
        <w:gridCol w:w="2300"/>
        <w:gridCol w:w="960"/>
      </w:tblGrid>
      <w:tr w:rsidR="009526EA" w:rsidRPr="009526EA" w:rsidTr="009526EA">
        <w:trPr>
          <w:trHeight w:val="683"/>
        </w:trPr>
        <w:tc>
          <w:tcPr>
            <w:tcW w:w="2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Марка проводу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Реальні</w:t>
            </w:r>
            <w:proofErr w:type="spellEnd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перетини</w:t>
            </w:r>
            <w:proofErr w:type="spellEnd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Відношення</w:t>
            </w:r>
            <w:proofErr w:type="spellEnd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26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 : C</w:t>
            </w:r>
          </w:p>
        </w:tc>
      </w:tr>
      <w:tr w:rsidR="009526EA" w:rsidRPr="009526EA" w:rsidTr="009526EA">
        <w:trPr>
          <w:trHeight w:val="645"/>
        </w:trPr>
        <w:tc>
          <w:tcPr>
            <w:tcW w:w="27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Алюміній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сталі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 ПУЕ 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АС-120/24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АС-150/34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АС-185/43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43.1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АС-240/56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9526EA" w:rsidRPr="009526EA" w:rsidTr="009526EA">
        <w:trPr>
          <w:trHeight w:val="33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АС-300/67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6EA" w:rsidRPr="009526EA" w:rsidRDefault="009526EA" w:rsidP="00952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2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</w:tbl>
    <w:p w:rsidR="009526EA" w:rsidRDefault="009526EA" w:rsidP="009526EA">
      <w:pPr>
        <w:pStyle w:val="a4"/>
        <w:ind w:firstLine="0"/>
      </w:pPr>
    </w:p>
    <w:p w:rsidR="009526EA" w:rsidRDefault="009526EA" w:rsidP="00371047">
      <w:pPr>
        <w:pStyle w:val="a4"/>
        <w:spacing w:line="360" w:lineRule="auto"/>
      </w:pPr>
    </w:p>
    <w:p w:rsidR="00EF716A" w:rsidRDefault="00EF716A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F33E4F" w:rsidRDefault="00F33E4F" w:rsidP="00F33E4F">
      <w:pPr>
        <w:pStyle w:val="a4"/>
        <w:ind w:firstLine="0"/>
      </w:pPr>
    </w:p>
    <w:p w:rsidR="00F33E4F" w:rsidRDefault="00F33E4F" w:rsidP="00F33E4F">
      <w:pPr>
        <w:pStyle w:val="a4"/>
        <w:ind w:firstLine="0"/>
      </w:pPr>
    </w:p>
    <w:p w:rsidR="00F33E4F" w:rsidRDefault="00F33E4F" w:rsidP="00F33E4F">
      <w:pPr>
        <w:pStyle w:val="a4"/>
        <w:ind w:firstLine="0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9526EA" w:rsidRDefault="009526EA" w:rsidP="00F33E4F">
      <w:pPr>
        <w:pStyle w:val="a4"/>
        <w:ind w:firstLine="0"/>
        <w:jc w:val="center"/>
      </w:pPr>
    </w:p>
    <w:p w:rsidR="00F33E4F" w:rsidRDefault="00F33E4F" w:rsidP="00F33E4F">
      <w:pPr>
        <w:pStyle w:val="a4"/>
        <w:ind w:firstLine="0"/>
        <w:jc w:val="center"/>
      </w:pPr>
      <w:bookmarkStart w:id="1" w:name="_GoBack"/>
      <w:bookmarkEnd w:id="1"/>
      <w:r>
        <w:lastRenderedPageBreak/>
        <w:t>Таблиця 1.7 – Перевірка прийнятих марок проводів за нагрівом</w:t>
      </w:r>
    </w:p>
    <w:p w:rsidR="00F33E4F" w:rsidRDefault="00F33E4F" w:rsidP="00F33E4F">
      <w:pPr>
        <w:pStyle w:val="a4"/>
        <w:ind w:firstLine="0"/>
        <w:jc w:val="center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4820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1F7D8A"/>
    <w:rsid w:val="00250A7A"/>
    <w:rsid w:val="002511D4"/>
    <w:rsid w:val="00252B05"/>
    <w:rsid w:val="002629C0"/>
    <w:rsid w:val="00263A3F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63E0B"/>
    <w:rsid w:val="00371047"/>
    <w:rsid w:val="00397201"/>
    <w:rsid w:val="003A3ADF"/>
    <w:rsid w:val="003A5448"/>
    <w:rsid w:val="003C6783"/>
    <w:rsid w:val="0042320A"/>
    <w:rsid w:val="0044208B"/>
    <w:rsid w:val="004429E7"/>
    <w:rsid w:val="00447868"/>
    <w:rsid w:val="004922C8"/>
    <w:rsid w:val="0049424D"/>
    <w:rsid w:val="004C1662"/>
    <w:rsid w:val="004C4FA4"/>
    <w:rsid w:val="00517072"/>
    <w:rsid w:val="0052500F"/>
    <w:rsid w:val="00535AC9"/>
    <w:rsid w:val="00544529"/>
    <w:rsid w:val="005638C0"/>
    <w:rsid w:val="005655DE"/>
    <w:rsid w:val="00565D89"/>
    <w:rsid w:val="005A6643"/>
    <w:rsid w:val="005C7709"/>
    <w:rsid w:val="005E08DB"/>
    <w:rsid w:val="005E294D"/>
    <w:rsid w:val="005F147C"/>
    <w:rsid w:val="005F33F5"/>
    <w:rsid w:val="005F6A79"/>
    <w:rsid w:val="006142A6"/>
    <w:rsid w:val="00631639"/>
    <w:rsid w:val="006465E8"/>
    <w:rsid w:val="006545FE"/>
    <w:rsid w:val="006B6888"/>
    <w:rsid w:val="006E1D8A"/>
    <w:rsid w:val="00727320"/>
    <w:rsid w:val="0074185A"/>
    <w:rsid w:val="00742262"/>
    <w:rsid w:val="00742928"/>
    <w:rsid w:val="00773979"/>
    <w:rsid w:val="007C2870"/>
    <w:rsid w:val="00817637"/>
    <w:rsid w:val="00834F13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B5DC0"/>
    <w:rsid w:val="008C6C04"/>
    <w:rsid w:val="008E2714"/>
    <w:rsid w:val="008E45E2"/>
    <w:rsid w:val="008F5FB0"/>
    <w:rsid w:val="009526EA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42283"/>
    <w:rsid w:val="00B45E81"/>
    <w:rsid w:val="00B4788F"/>
    <w:rsid w:val="00B552FB"/>
    <w:rsid w:val="00B65A98"/>
    <w:rsid w:val="00B672F1"/>
    <w:rsid w:val="00B8019E"/>
    <w:rsid w:val="00BB0BB1"/>
    <w:rsid w:val="00BB1F78"/>
    <w:rsid w:val="00BD3699"/>
    <w:rsid w:val="00BD4461"/>
    <w:rsid w:val="00BD5DDE"/>
    <w:rsid w:val="00BD6998"/>
    <w:rsid w:val="00BD7BCE"/>
    <w:rsid w:val="00C105EC"/>
    <w:rsid w:val="00C30674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D04401"/>
    <w:rsid w:val="00D26033"/>
    <w:rsid w:val="00D267A7"/>
    <w:rsid w:val="00D516D6"/>
    <w:rsid w:val="00D95474"/>
    <w:rsid w:val="00DA4DCA"/>
    <w:rsid w:val="00DC7A61"/>
    <w:rsid w:val="00E17235"/>
    <w:rsid w:val="00E33530"/>
    <w:rsid w:val="00E431DF"/>
    <w:rsid w:val="00E557F1"/>
    <w:rsid w:val="00EA66C5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2837A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image" Target="media/image55.wmf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</TotalTime>
  <Pages>16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36</cp:revision>
  <dcterms:created xsi:type="dcterms:W3CDTF">2021-02-14T15:36:00Z</dcterms:created>
  <dcterms:modified xsi:type="dcterms:W3CDTF">2021-03-30T20:34:00Z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