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F3F35"/>
          <w:sz w:val="48"/>
        </w:rPr>
        <w:t>Интеграция Turkuaz с MKassa / МБанк</w:t>
      </w:r>
    </w:p>
    <w:p>
      <w:pPr>
        <w:spacing w:after="280"/>
      </w:pPr>
      <w:r>
        <w:rPr>
          <w:rFonts w:ascii="Calibri" w:hAnsi="Calibri"/>
          <w:color w:val="61706B"/>
          <w:sz w:val="24"/>
        </w:rPr>
        <w:t>Схема работы платежного шлюза, статус готовности и шаги для запуска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AF5"/>
            <w:tcBorders>
              <w:top w:val="single" w:sz="6" w:space="0" w:color="B8D1C8"/>
              <w:left w:val="single" w:sz="6" w:space="0" w:color="B8D1C8"/>
              <w:bottom w:val="single" w:sz="6" w:space="0" w:color="B8D1C8"/>
              <w:right w:val="single" w:sz="6" w:space="0" w:color="B8D1C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3F35"/>
                <w:sz w:val="24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7231F"/>
                <w:sz w:val="21"/>
              </w:rPr>
              <w:t>Мы сделали отдельный payment gateway микросервис. Его можно подключать к 1C, сайту, POS, ERP или будущему фронту через стабильный REST API. MKassa подключена как первый платежный провайдер; архитектура позволяет добавить другие банки отдельными адаптерами.</w:t>
            </w:r>
          </w:p>
        </w:tc>
      </w:tr>
    </w:tbl>
    <w:p>
      <w:pPr>
        <w:spacing w:after="40"/>
      </w:pPr>
    </w:p>
    <w:p>
      <w:pPr>
        <w:pStyle w:val="Heading1"/>
      </w:pPr>
      <w:r>
        <w:t>1. Что построено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Backend API на FastAPI для создания QR, проверки статусов, отмены доступных операций и приема callback от MKassa.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React Admin на отдельном порту 6750 для просмотра транзакций, webhook-событий, обращений интеграций и тестового QR demo.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Хранилище транзакций, callback-событий и audit access events: SQLite для локального режима, PostgreSQL для боевого запуска.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Пул интеграционных ключей: можно выдать разные ключи для 1C, сайта, POS и понимать, кто обращается к сервису.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Provider-архитектура: MKassa не является центром проекта, а подключена как один из платежных провайдеров.</w:t>
      </w:r>
    </w:p>
    <w:p>
      <w:pPr>
        <w:pStyle w:val="Heading1"/>
      </w:pPr>
      <w:r>
        <w:t>2. Общая схема</w:t>
      </w:r>
    </w:p>
    <w:p>
      <w:pPr>
        <w:spacing w:after="120" w:line="264" w:lineRule="auto"/>
      </w:pPr>
      <w:r>
        <w:rPr>
          <w:rFonts w:ascii="Calibri" w:hAnsi="Calibri"/>
          <w:b w:val="0"/>
          <w:color w:val="17231F"/>
          <w:sz w:val="22"/>
        </w:rPr>
        <w:t>Внешние системы обращаются только к нашему API. Они не знают MKassa API key и не зависят от внутренних endpoint’ов банка.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Поток создания QR</w:t>
      </w:r>
    </w:p>
    <w:p>
      <w:pPr>
        <w:spacing w:after="120" w:line="264" w:lineRule="auto"/>
      </w:pPr>
      <w:r>
        <w:rPr>
          <w:rFonts w:ascii="Calibri" w:hAnsi="Calibri"/>
          <w:b w:val="0"/>
          <w:color w:val="17231F"/>
          <w:sz w:val="22"/>
        </w:rPr>
        <w:t>Создание QR начинается во внешней системе: 1C, сайт, POS, ERP или QR demo в админке. В запрос передаются сумма, торговая точка, кассир и metadata. Код фактуры из Tiger передается в metadata.invoice_number.</w:t>
      </w:r>
    </w:p>
    <w:p>
      <w:r>
        <w:drawing>
          <wp:inline xmlns:a="http://schemas.openxmlformats.org/drawingml/2006/main" xmlns:pic="http://schemas.openxmlformats.org/drawingml/2006/picture">
            <wp:extent cx="5943600" cy="4028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Поле</w:t>
            </w:r>
          </w:p>
        </w:tc>
        <w:tc>
          <w:tcPr>
            <w:tcW w:type="dxa" w:w="6192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Назначение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amount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Сумма платежа в тыйынах.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branch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Идентификатор торговой точки MKassa.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cashier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Идентификатор кассира MKassa.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is_long_living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Увеличенное время ожидания оплаты для динамического QR, если включено.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metadata.invoice_number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Код фактуры из Tiger для последующей сверки.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metadata.source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Источник операции, например tiger / 1c / site / pos.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metadata.payer_code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ИНН или иной код плательщика, если доступен.</w:t>
            </w:r>
          </w:p>
        </w:tc>
      </w:tr>
      <w:tr>
        <w:tc>
          <w:tcPr>
            <w:tcW w:type="dxa" w:w="28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metadata.payer_full_name</w:t>
            </w:r>
          </w:p>
        </w:tc>
        <w:tc>
          <w:tcPr>
            <w:tcW w:type="dxa" w:w="61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ФИО или название плательщика, если доступно.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color w:val="17231F"/>
          <w:sz w:val="22"/>
        </w:rPr>
        <w:t>Ограничение MKassa по metadata: максимум 5 ключей, значение каждого ключа до 150 символов. Поэтому в боевом сценарии нужно выбрать только действительно нужные поля.</w:t>
      </w:r>
    </w:p>
    <w:p>
      <w:pPr>
        <w:pStyle w:val="Heading1"/>
      </w:pPr>
      <w:r>
        <w:t>4. Обновление статуса оплаты</w:t>
      </w:r>
    </w:p>
    <w:p>
      <w:pPr>
        <w:spacing w:after="120" w:line="264" w:lineRule="auto"/>
      </w:pPr>
      <w:r>
        <w:rPr>
          <w:rFonts w:ascii="Calibri" w:hAnsi="Calibri"/>
          <w:b w:val="0"/>
          <w:color w:val="17231F"/>
          <w:sz w:val="22"/>
        </w:rPr>
        <w:t>Основной механизм обновления статуса — callback от MKassa. После оплаты MKassa отправляет POST на наш endpoint, сервис сохраняет событие и обновляет локальную транзакцию.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back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Callback URL для MKassa: https://&lt;ДОМЕН-БУДЕТ-ПРЕДОСТАВЛЕН-ПОЗЖЕ&gt;/api/v1/webhooks/mkassa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Endpoint должен быть доступен по HTTPS с действующим SSL-сертификатом на порту 443.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Сервис отвечает HTTP 200 OK после приема callback.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Кнопка “Обновить статус” в админке нужна как ручная проверка через API MKassa, если callback задержался или тестируется сценарий.</w:t>
      </w:r>
    </w:p>
    <w:p>
      <w:pPr>
        <w:pStyle w:val="Heading1"/>
      </w:pPr>
      <w:r>
        <w:t>5. Безопасность и ключи</w:t>
      </w:r>
    </w:p>
    <w:p>
      <w:r>
        <w:drawing>
          <wp:inline xmlns:a="http://schemas.openxmlformats.org/drawingml/2006/main" xmlns:pic="http://schemas.openxmlformats.org/drawingml/2006/picture">
            <wp:extent cx="5943600" cy="3500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Ключ</w:t>
            </w:r>
          </w:p>
        </w:tc>
        <w:tc>
          <w:tcPr>
            <w:tcW w:type="dxa" w:w="3312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Где живет</w:t>
            </w:r>
          </w:p>
        </w:tc>
        <w:tc>
          <w:tcPr>
            <w:tcW w:type="dxa" w:w="3168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Кому передается</w:t>
            </w:r>
          </w:p>
        </w:tc>
      </w:tr>
      <w:tr>
        <w:tc>
          <w:tcPr>
            <w:tcW w:type="dxa" w:w="25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X-Integration-Key</w:t>
            </w:r>
          </w:p>
        </w:tc>
        <w:tc>
          <w:tcPr>
            <w:tcW w:type="dxa" w:w="331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У внешних систем и backend</w:t>
            </w:r>
          </w:p>
        </w:tc>
        <w:tc>
          <w:tcPr>
            <w:tcW w:type="dxa" w:w="316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Разработчикам 1C, сайта, POS, ERP. Передается в HTTP header.</w:t>
            </w:r>
          </w:p>
        </w:tc>
      </w:tr>
      <w:tr>
        <w:tc>
          <w:tcPr>
            <w:tcW w:type="dxa" w:w="25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X-Admin-Key</w:t>
            </w:r>
          </w:p>
        </w:tc>
        <w:tc>
          <w:tcPr>
            <w:tcW w:type="dxa" w:w="331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React Admin сервис и backend</w:t>
            </w:r>
          </w:p>
        </w:tc>
        <w:tc>
          <w:tcPr>
            <w:tcW w:type="dxa" w:w="316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Не передается интеграторам; нужен только для админских экранов.</w:t>
            </w:r>
          </w:p>
        </w:tc>
      </w:tr>
      <w:tr>
        <w:tc>
          <w:tcPr>
            <w:tcW w:type="dxa" w:w="259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MKASSA_API_KEY</w:t>
            </w:r>
          </w:p>
        </w:tc>
        <w:tc>
          <w:tcPr>
            <w:tcW w:type="dxa" w:w="3312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Только backend</w:t>
            </w:r>
          </w:p>
        </w:tc>
        <w:tc>
          <w:tcPr>
            <w:tcW w:type="dxa" w:w="316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Никому снаружи не передается.</w:t>
            </w:r>
          </w:p>
        </w:tc>
      </w:tr>
    </w:tbl>
    <w:p>
      <w:pPr>
        <w:spacing w:after="40"/>
      </w:pPr>
    </w:p>
    <w:p>
      <w:pPr>
        <w:pStyle w:val="Heading1"/>
      </w:pPr>
      <w:r>
        <w:t>6. Операции в админке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Транзакции: список платежей, фильтры, детали выбранной операции.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QR Demo: полный тестовый flow создания QR с amount, branch, cashier и metadata.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Обновить статус: ручной запрос к MKassa и обновление локальной базы.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Отменить операцию: доступно только в деталях транзакции и только когда операция может быть отменена по текущему статусу.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Webhooks: журнал входящих callback-событий от MKassa.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Доступы: audit событий по integration_name, чтобы понимать, какая система обращалась к сервису.</w:t>
      </w:r>
    </w:p>
    <w:p>
      <w:pPr>
        <w:pStyle w:val="Heading1"/>
      </w:pPr>
      <w:r>
        <w:t>7. Что нужно для боевого запуска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Подготовить домен и HTTPS-сертификат. Callback должен быть доступен на порту 443.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Передать MKassa финальный callback URL: https://&lt;ДОМЕН-БУДЕТ-ПРЕДОСТАВЛЕН-ПОЗЖЕ&gt;/api/v1/webhooks/mkassa.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Заполнить production environment: DATABASE_URL для PostgreSQL, MKASSA_API_KEY, INTEGRATION_KEYS, PAYMENT_ADMIN_API_KEY.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Получить и зафиксировать реальные branch и cashier от MKassa.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Согласовать финальный набор metadata, учитывая лимит 5 ключей.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Провести end-to-end тест: создать QR, оплатить, получить callback, увидеть статус в админке и в API.</w:t>
      </w:r>
    </w:p>
    <w:p>
      <w:pPr>
        <w:pStyle w:val="Heading1"/>
      </w:pPr>
      <w:r>
        <w:t>8. Статус готовности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Блок</w:t>
            </w:r>
          </w:p>
        </w:tc>
        <w:tc>
          <w:tcPr>
            <w:tcW w:type="dxa" w:w="2088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Статус</w:t>
            </w:r>
          </w:p>
        </w:tc>
        <w:tc>
          <w:tcPr>
            <w:tcW w:type="dxa" w:w="4680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Комментарий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Backend API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Готово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Создание QR, статусы, отмена, списки, локальное хранение.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MKassa provider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Готово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MKassa подключена как отдельный provider-адаптер.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Callback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Готово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Endpoint сделан по инструкции MKassa: POST JSON, ответ 200 OK, без secret.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React Admin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Готово для демо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Работает от backend API, показывает реальные данные, порт 6750.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База данных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Готово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SQLite локально, PostgreSQL для production через DATABASE_URL.</w:t>
            </w:r>
          </w:p>
        </w:tc>
      </w:tr>
      <w:tr>
        <w:tc>
          <w:tcPr>
            <w:tcW w:type="dxa" w:w="2304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Боевой запуск</w:t>
            </w:r>
          </w:p>
        </w:tc>
        <w:tc>
          <w:tcPr>
            <w:tcW w:type="dxa" w:w="208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Ожидает инфраструктуру</w:t>
            </w:r>
          </w:p>
        </w:tc>
        <w:tc>
          <w:tcPr>
            <w:tcW w:type="dxa" w:w="468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Нужны домен, HTTPS, production env и финальный e2e тест.</w:t>
            </w:r>
          </w:p>
        </w:tc>
      </w:tr>
    </w:tbl>
    <w:p>
      <w:pPr>
        <w:spacing w:after="40"/>
      </w:pPr>
    </w:p>
    <w:p>
      <w:pPr>
        <w:pStyle w:val="Heading1"/>
      </w:pPr>
      <w:r>
        <w:t>9. Endpoint’ы для интеграций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296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Метод</w:t>
            </w:r>
          </w:p>
        </w:tc>
        <w:tc>
          <w:tcPr>
            <w:tcW w:type="dxa" w:w="3600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URL</w:t>
            </w:r>
          </w:p>
        </w:tc>
        <w:tc>
          <w:tcPr>
            <w:tcW w:type="dxa" w:w="4176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3F35"/>
                <w:sz w:val="21"/>
              </w:rPr>
              <w:t>Назначение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POST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/api/v1/qr/dynamic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Создать динамический QR.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POST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/api/v1/qr/static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Создать статический QR.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GET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/api/v1/qr/render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Отрисовать PNG QR по token/ссылке.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GET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/api/v1/transactions/{transaction_id}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Получить статус транзакции.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PUT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/api/v1/transactions/{transaction_id}/cancel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Отменить доступную неоплаченную динамическую транзакцию.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POST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/api/v1/webhooks/mkassa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Принять callback от MKassa.</w:t>
            </w:r>
          </w:p>
        </w:tc>
      </w:tr>
      <w:tr>
        <w:tc>
          <w:tcPr>
            <w:tcW w:type="dxa" w:w="129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GET</w:t>
            </w:r>
          </w:p>
        </w:tc>
        <w:tc>
          <w:tcPr>
            <w:tcW w:type="dxa" w:w="3600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/docs</w:t>
            </w:r>
          </w:p>
        </w:tc>
        <w:tc>
          <w:tcPr>
            <w:tcW w:type="dxa" w:w="4176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1F"/>
                <w:sz w:val="21"/>
              </w:rPr>
              <w:t>Swagger для разработчиков.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AF5"/>
            <w:tcBorders>
              <w:top w:val="single" w:sz="6" w:space="0" w:color="B8D1C8"/>
              <w:left w:val="single" w:sz="6" w:space="0" w:color="B8D1C8"/>
              <w:bottom w:val="single" w:sz="6" w:space="0" w:color="B8D1C8"/>
              <w:right w:val="single" w:sz="6" w:space="0" w:color="B8D1C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3F35"/>
                <w:sz w:val="24"/>
              </w:rPr>
              <w:t>Вывод</w:t>
            </w:r>
          </w:p>
          <w:p>
            <w:pPr>
              <w:spacing w:after="0"/>
            </w:pPr>
            <w:r>
              <w:rPr>
                <w:rFonts w:ascii="Calibri" w:hAnsi="Calibri"/>
                <w:color w:val="17231F"/>
                <w:sz w:val="21"/>
              </w:rPr>
              <w:t>С нашей стороны базовая интеграционная архитектура готова: микросервис изолирован от CRM, внешние системы подключаются через наши ключи и стабильные endpoint’ы, MKassa работает как первый провайдер. Для production остается инфраструктура, реальные идентификаторы торговых точек/кассиров и финальный тест оплаты.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1706B"/>
        <w:sz w:val="18"/>
      </w:rPr>
      <w:t>Документ для внутреннего обсуждения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06B"/>
        <w:sz w:val="18"/>
      </w:rPr>
      <w:t>Turkuaz Payment Gateway / MKassa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