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Quarterly Field Report</w:t>
      </w:r>
    </w:p>
    <w:p>
      <w:pPr>
        <w:pStyle w:val="BodyText"/>
        <w:bidi w:val="0"/>
        <w:rPr/>
      </w:pPr>
      <w:r>
        <w:rPr/>
        <w:t>The measurement campaign ran for eleven consecutive weeks across three coastal stations, and every instrument was calibrated twice against the reference standard before the first reading was recorded. Technicians logged ambient temperature, relative humidity, and barometric pressure at hourly intervals, which allowed the analysis team to reconstruct the local conditions surrounding each anomalous sample without relying on external weather archives of uncertain provenance or resolution today.</w:t>
      </w:r>
    </w:p>
    <w:p>
      <w:pPr>
        <w:pStyle w:val="BodyText"/>
        <w:bidi w:val="0"/>
        <w:rPr/>
      </w:pPr>
      <w:r>
        <w:rPr/>
        <w:t>Data cleaning removed forty-one records that carried a hardware fault flag, along with nine duplicated timestamps produced by a logger that restarted after a brief power interruption on the second Tuesday of the campaign. The remaining series proved unusually stable, with drift below the manufacturer specification at every station, so no post-hoc correction was applied to the raw values before aggregation and subsequent statistical review by the group.</w:t>
      </w:r>
    </w:p>
    <w:p>
      <w:pPr>
        <w:pStyle w:val="BodyText"/>
        <w:bidi w:val="0"/>
        <w:rPr/>
      </w:pPr>
      <w:r>
        <w:rPr/>
        <w:t>Results indicate a modest but consistent seasonal signal that matches the pattern reported by the previous two campaigns, though the amplitude at the northern station remains roughly a third smaller than the model predicts. We recommend extending the deployment through the following winter, adding a fourth station near the estuary, and repeating the calibration procedure at monthly rather than quarterly intervals to narrow the residual uncertainty.</w:t>
      </w:r>
    </w:p>
    <w:tbl>
      <w:tblPr>
        <w:tblW w:w="2384" w:type="dxa"/>
        <w:jc w:val="left"/>
        <w:tblInd w:w="28" w:type="dxa"/>
        <w:tblLayout w:type="fixed"/>
        <w:tblCellMar>
          <w:top w:w="28" w:type="dxa"/>
          <w:left w:w="28" w:type="dxa"/>
          <w:bottom w:w="28" w:type="dxa"/>
          <w:right w:w="28" w:type="dxa"/>
        </w:tblCellMar>
      </w:tblPr>
      <w:tblGrid>
        <w:gridCol w:w="1420"/>
        <w:gridCol w:w="964"/>
      </w:tblGrid>
      <w:tr>
        <w:trPr/>
        <w:tc>
          <w:tcPr>
            <w:tcW w:w="1420" w:type="dxa"/>
            <w:tcBorders>
              <w:top w:val="double" w:sz="2" w:space="0" w:color="808080"/>
              <w:left w:val="double" w:sz="2" w:space="0" w:color="808080"/>
              <w:bottom w:val="double" w:sz="2" w:space="0" w:color="808080"/>
              <w:right w:val="double" w:sz="2" w:space="0" w:color="808080"/>
            </w:tcBorders>
            <w:vAlign w:val="center"/>
          </w:tcPr>
          <w:p>
            <w:pPr>
              <w:pStyle w:val="TableContents"/>
              <w:bidi w:val="0"/>
              <w:spacing w:before="0" w:after="283"/>
              <w:rPr/>
            </w:pPr>
            <w:r>
              <w:rPr/>
              <w:t>Station</w:t>
            </w:r>
          </w:p>
        </w:tc>
        <w:tc>
          <w:tcPr>
            <w:tcW w:w="964" w:type="dxa"/>
            <w:tcBorders>
              <w:top w:val="double" w:sz="2" w:space="0" w:color="808080"/>
              <w:left w:val="double" w:sz="2" w:space="0" w:color="808080"/>
              <w:bottom w:val="double" w:sz="2" w:space="0" w:color="808080"/>
              <w:right w:val="double" w:sz="2" w:space="0" w:color="808080"/>
            </w:tcBorders>
            <w:vAlign w:val="center"/>
          </w:tcPr>
          <w:p>
            <w:pPr>
              <w:pStyle w:val="TableContents"/>
              <w:bidi w:val="0"/>
              <w:spacing w:before="0" w:after="283"/>
              <w:rPr/>
            </w:pPr>
            <w:r>
              <w:rPr/>
              <w:t>Samples</w:t>
            </w:r>
          </w:p>
        </w:tc>
      </w:tr>
      <w:tr>
        <w:trPr/>
        <w:tc>
          <w:tcPr>
            <w:tcW w:w="1420" w:type="dxa"/>
            <w:tcBorders>
              <w:left w:val="double" w:sz="2" w:space="0" w:color="808080"/>
              <w:bottom w:val="double" w:sz="2" w:space="0" w:color="808080"/>
              <w:right w:val="double" w:sz="2" w:space="0" w:color="808080"/>
            </w:tcBorders>
            <w:vAlign w:val="center"/>
          </w:tcPr>
          <w:p>
            <w:pPr>
              <w:pStyle w:val="TableContents"/>
              <w:bidi w:val="0"/>
              <w:spacing w:before="0" w:after="283"/>
              <w:rPr/>
            </w:pPr>
            <w:r>
              <w:rPr/>
              <w:t>Northern pier</w:t>
            </w:r>
          </w:p>
        </w:tc>
        <w:tc>
          <w:tcPr>
            <w:tcW w:w="964" w:type="dxa"/>
            <w:tcBorders>
              <w:left w:val="double" w:sz="2" w:space="0" w:color="808080"/>
              <w:bottom w:val="double" w:sz="2" w:space="0" w:color="808080"/>
              <w:right w:val="double" w:sz="2" w:space="0" w:color="808080"/>
            </w:tcBorders>
            <w:vAlign w:val="center"/>
          </w:tcPr>
          <w:p>
            <w:pPr>
              <w:pStyle w:val="TableContents"/>
              <w:bidi w:val="0"/>
              <w:spacing w:before="0" w:after="283"/>
              <w:rPr/>
            </w:pPr>
            <w:r>
              <w:rPr/>
              <w:t>1284</w:t>
            </w:r>
          </w:p>
        </w:tc>
      </w:tr>
    </w:tbl>
    <w:p>
      <w:pPr>
        <w:pStyle w:val="BodyText"/>
        <w:bidi w:val="0"/>
        <w:spacing w:before="0" w:after="283"/>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nux Libertine G" w:cs="Noto Sans"/>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LibreOffice/26.8.0.3$MacOSX_AARCH64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Quarterly Field Report</dc:title>
</cp:coreProperties>
</file>

<file path=docProps/custom.xml><?xml version="1.0" encoding="utf-8"?>
<Properties xmlns="http://schemas.openxmlformats.org/officeDocument/2006/custom-properties" xmlns:vt="http://schemas.openxmlformats.org/officeDocument/2006/docPropsVTypes"/>
</file>