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Times New Roman" w:hAnsi="Times New Roman" w:cs="Times New Roman"/>
          <w:b w:val="0"/>
          <w:i w:val="0"/>
          <w:sz w:val="20"/>
        </w:rPr>
        <w:t>ФГУП «Госкорпорация по организации воздушного движения</w:t>
        <w:br/>
        <w:t>в Российской Федерации»</w:t>
        <w:br/>
        <w:t>(ФГУП «Госкорпорация по ОрВД»)</w:t>
      </w:r>
    </w:p>
    <w:p>
      <w:pPr>
        <w:spacing w:before="40" w:after="40"/>
        <w:jc w:val="left"/>
      </w:pPr>
      <w:r>
        <w:rPr>
          <w:rFonts w:ascii="Times New Roman" w:hAnsi="Times New Roman" w:cs="Times New Roman"/>
          <w:b w:val="0"/>
          <w:i w:val="0"/>
          <w:sz w:val="24"/>
        </w:rPr>
        <w:t>Исх. № ______  от «___» ____________ 2026 г.</w:t>
      </w:r>
    </w:p>
    <w:p/>
    <w:p>
      <w:pPr>
        <w:spacing w:before="0" w:after="120"/>
        <w:jc w:val="right"/>
      </w:pPr>
      <w:r>
        <w:rPr>
          <w:rFonts w:ascii="Times New Roman" w:hAnsi="Times New Roman" w:cs="Times New Roman"/>
          <w:b w:val="0"/>
          <w:i w:val="0"/>
          <w:sz w:val="24"/>
        </w:rPr>
        <w:t>Директору филиала</w:t>
        <w:br/>
        <w:t>«Аэронавигация Северо-Запада»</w:t>
        <w:br/>
        <w:t>ФГУП «Госкорпорация по ОрВД»</w:t>
        <w:br/>
        <w:t>Самойлову Юрию Адольфовичу</w:t>
      </w:r>
    </w:p>
    <w:p/>
    <w:p>
      <w:pPr>
        <w:spacing w:before="0" w:after="160"/>
        <w:jc w:val="center"/>
      </w:pPr>
      <w:r>
        <w:rPr>
          <w:rFonts w:ascii="Times New Roman" w:hAnsi="Times New Roman" w:cs="Times New Roman"/>
          <w:b/>
          <w:i w:val="0"/>
          <w:sz w:val="24"/>
        </w:rPr>
        <w:t>О ходе исполнения распоряжения</w:t>
        <w:br/>
        <w:t>№ 207-р от 07.06.2024</w:t>
      </w:r>
    </w:p>
    <w:p/>
    <w:p>
      <w:pPr>
        <w:spacing w:before="0" w:after="120"/>
        <w:jc w:val="left"/>
      </w:pPr>
      <w:r>
        <w:rPr>
          <w:rFonts w:ascii="Times New Roman" w:hAnsi="Times New Roman" w:cs="Times New Roman"/>
          <w:b w:val="0"/>
          <w:i w:val="0"/>
          <w:sz w:val="24"/>
        </w:rPr>
        <w:t>Уважаемый Юрий Адольфович,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В соответствии с распоряжением ФГУП «Госкорпорация по ОрВД» от 07.06.2024 № 207-р «О переводе автоматизированных рабочих мест работников генеральной дирекции и филиалов ФГУП «Госкорпорация по ОрВД» на российское программное обеспечение» (далее — Распоряжение) на Вас возложена персональная ответственность за организацию исполнения указанного документа в филиале «Аэронавигация Северо-Запада» (пп. 2, 3, 5 Распоряжения).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Распоряжением установлено безусловное требование: исключить использование программного обеспечения нероссийского производства на рабочих местах работников с 01.01.2025, обеспечив полный переход на российское ПО — операционную систему Ред ОС, офисный пакет МойОфис, систему централизованного управления Ред АДМ — в сроки согласно утверждённому плану-графику.</w:t>
      </w:r>
    </w:p>
    <w:p>
      <w:pPr>
        <w:spacing w:before="0" w:after="16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По итогам анализа актуальных сведений о состоянии автоматизированных рабочих мест филиала (по состоянию на май 2026 года) установлено следующее: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5669"/>
            <w:vAlign w:val="center"/>
            <w:shd w:val="clear" w:color="auto" w:fill="D9D9D9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0"/>
              </w:rPr>
              <w:t>Категория</w:t>
            </w:r>
          </w:p>
        </w:tc>
        <w:tc>
          <w:tcPr>
            <w:tcW w:type="dxa" w:w="1984"/>
            <w:vAlign w:val="center"/>
            <w:shd w:val="clear" w:color="auto" w:fill="D9D9D9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0"/>
              </w:rPr>
              <w:t>Кол-во АРМ</w:t>
            </w:r>
          </w:p>
        </w:tc>
        <w:tc>
          <w:tcPr>
            <w:tcW w:type="dxa" w:w="1701"/>
            <w:vAlign w:val="center"/>
            <w:shd w:val="clear" w:color="auto" w:fill="D9D9D9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0"/>
              </w:rPr>
              <w:t>Доля, %</w:t>
            </w:r>
          </w:p>
        </w:tc>
      </w:tr>
      <w:tr>
        <w:tc>
          <w:tcPr>
            <w:tcW w:type="dxa" w:w="5669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ОС Ред ОС (без Windows)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43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28,7 %</w:t>
            </w:r>
          </w:p>
        </w:tc>
      </w:tr>
      <w:tr>
        <w:tc>
          <w:tcPr>
            <w:tcW w:type="dxa" w:w="5669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Виртуальная машина с Windows (VM Windows)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94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62,7 %</w:t>
            </w:r>
          </w:p>
        </w:tc>
      </w:tr>
      <w:tr>
        <w:tc>
          <w:tcPr>
            <w:tcW w:type="dxa" w:w="5669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Windows (единственная ОС)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11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7,3 %</w:t>
            </w:r>
          </w:p>
        </w:tc>
      </w:tr>
      <w:tr>
        <w:tc>
          <w:tcPr>
            <w:tcW w:type="dxa" w:w="5669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Две ОС в загрузке (Windows + Ред ОС)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1,3 %</w:t>
            </w:r>
          </w:p>
        </w:tc>
      </w:tr>
      <w:tr>
        <w:tc>
          <w:tcPr>
            <w:tcW w:type="dxa" w:w="5669"/>
            <w:vAlign w:val="center"/>
            <w:shd w:val="clear" w:color="auto" w:fill="D9D9D9"/>
          </w:tcPr>
          <w:p>
            <w:pPr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0"/>
              </w:rPr>
              <w:t>ИТОГО АРМ</w:t>
            </w:r>
          </w:p>
        </w:tc>
        <w:tc>
          <w:tcPr>
            <w:tcW w:type="dxa" w:w="1984"/>
            <w:vAlign w:val="center"/>
            <w:shd w:val="clear" w:color="auto" w:fill="D9D9D9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0"/>
              </w:rPr>
              <w:t>150</w:t>
            </w:r>
          </w:p>
        </w:tc>
        <w:tc>
          <w:tcPr>
            <w:tcW w:type="dxa" w:w="1701"/>
            <w:vAlign w:val="center"/>
            <w:shd w:val="clear" w:color="auto" w:fill="D9D9D9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0"/>
              </w:rPr>
              <w:t>100,0 %</w:t>
            </w:r>
          </w:p>
        </w:tc>
      </w:tr>
    </w:tbl>
    <w:p/>
    <w:p>
      <w:pPr>
        <w:spacing w:before="0" w:after="12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Таким образом, </w:t>
      </w:r>
      <w:r>
        <w:rPr>
          <w:rFonts w:ascii="Times New Roman" w:hAnsi="Times New Roman" w:cs="Times New Roman"/>
          <w:b/>
          <w:i w:val="0"/>
          <w:sz w:val="24"/>
        </w:rPr>
        <w:t>107 из 150 автоматизированных рабочих мест (71,3 %)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не отвечают требованиям Распоряжения, а установленный срок перехода — 01.01.2025 — истёк более пяти месяцев назад.</w:t>
      </w:r>
    </w:p>
    <w:p>
      <w:pPr>
        <w:spacing w:before="80" w:after="8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Обращаем особое внимание на следующее.</w:t>
      </w:r>
    </w:p>
    <w:p>
      <w:pPr>
        <w:spacing w:before="80" w:after="80"/>
        <w:ind w:left="709" w:hanging="709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1.</w:t>
        <w:tab/>
      </w:r>
      <w:r>
        <w:rPr>
          <w:rFonts w:ascii="Times New Roman" w:hAnsi="Times New Roman" w:cs="Times New Roman"/>
          <w:b/>
          <w:i w:val="0"/>
          <w:sz w:val="24"/>
        </w:rPr>
        <w:t>Использование виртуальных машин с Windows не является импортозамещением.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Установка среды виртуализации с иностранной операционной системой поверх отечественной ОС не исключает применение программного обеспечения нероссийского производства, прямо запрещённого п. 1 Распоряжения. Данная конфигурация лишь маскирует фактическое продолжение использования Windows и не может рассматриваться как выполнение требований по импортозамещению.</w:t>
      </w:r>
    </w:p>
    <w:p>
      <w:pPr>
        <w:spacing w:before="80" w:after="80"/>
        <w:ind w:left="709" w:hanging="709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2.</w:t>
        <w:tab/>
      </w:r>
      <w:r>
        <w:rPr>
          <w:rFonts w:ascii="Times New Roman" w:hAnsi="Times New Roman" w:cs="Times New Roman"/>
          <w:b/>
          <w:i w:val="0"/>
          <w:sz w:val="24"/>
        </w:rPr>
        <w:t>Конфигурация «двойной загрузки» (Dual Boot) также не соответствует установленным требованиям.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Возможность выбора иностранной операционной системы при загрузке рабочей станции означает её фактическое использование на рабочем месте и прямо противоречит духу и букве Распоряжения.</w:t>
      </w:r>
    </w:p>
    <w:p>
      <w:pPr>
        <w:spacing w:before="80" w:after="80"/>
        <w:ind w:left="709" w:hanging="709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3.</w:t>
        <w:tab/>
      </w:r>
      <w:r>
        <w:rPr>
          <w:rFonts w:ascii="Times New Roman" w:hAnsi="Times New Roman" w:cs="Times New Roman"/>
          <w:b/>
          <w:i w:val="0"/>
          <w:sz w:val="24"/>
        </w:rPr>
        <w:t>На ряде рабочих мест в качестве единственной операционной системы установлена Windows без каких-либо элементов российского ПО,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что является наиболее грубым нарушением установленных требований.</w:t>
      </w:r>
    </w:p>
    <w:p/>
    <w:p>
      <w:pPr>
        <w:spacing w:before="0" w:after="12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Дополнительно сообщаем, что в </w:t>
      </w:r>
      <w:r>
        <w:rPr>
          <w:rFonts w:ascii="Times New Roman" w:hAnsi="Times New Roman" w:cs="Times New Roman"/>
          <w:b/>
          <w:i w:val="0"/>
          <w:sz w:val="24"/>
        </w:rPr>
        <w:t>III квартале 2026 года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запланировано проведение проверки филиала «Аэронавигация Северо-Запада» Федеральной службой по техническому и экспортному контролю (ФСТЭК России). В ходе проверки соответствие состава программного обеспечения на автоматизированных рабочих местах требованиям нормативных документов будет являться одним из ключевых предметов контроля. Выявленные нарушения могут повлечь административную ответственность должностных лиц и выдачу предписаний с обязательными сроками устранения.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Вместе с тем проведённый анализ прикладного программного обеспечения, используемого в производственных и административных процессах филиала, показывает, что </w:t>
      </w:r>
      <w:r>
        <w:rPr>
          <w:rFonts w:ascii="Times New Roman" w:hAnsi="Times New Roman" w:cs="Times New Roman"/>
          <w:b/>
          <w:i w:val="0"/>
          <w:sz w:val="24"/>
        </w:rPr>
        <w:t>переход работников на ОС Ред ОС не повлечёт приостановки бизнес-процессов: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имеющийся в филиале задел по развёртыванию Ред ОС (43 рабочих места уже функционируют исключительно на данной платформе), а также доступность совместимых отечественных решений для задач документооборота, работы с электронной почтой и типовых офисных функций позволяют осуществить миграцию в плановом режиме без ущерба для операционной деятельности.</w:t>
      </w:r>
    </w:p>
    <w:p/>
    <w:p>
      <w:pPr>
        <w:spacing w:before="0" w:after="8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С учётом изложенного прошу Вас:</w:t>
      </w:r>
    </w:p>
    <w:p>
      <w:pPr>
        <w:spacing w:before="80" w:after="80"/>
        <w:ind w:left="709" w:hanging="709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1.</w:t>
        <w:tab/>
      </w:r>
      <w:r>
        <w:rPr>
          <w:rFonts w:ascii="Times New Roman" w:hAnsi="Times New Roman" w:cs="Times New Roman"/>
          <w:b w:val="0"/>
          <w:i w:val="0"/>
          <w:sz w:val="24"/>
        </w:rPr>
        <w:t>В срок до «___» ____________ 2026 г. представить в службу информационных технологий генеральной дирекции актуализированный план-график завершения перехода всех 107 несоответствующих автоматизированных рабочих мест филиала на ОС Ред ОС, предусматривающий полное исполнение требований Распоряжения не позднее «___» ____________ 2026 г.</w:t>
      </w:r>
    </w:p>
    <w:p>
      <w:pPr>
        <w:spacing w:before="80" w:after="80"/>
        <w:ind w:left="709" w:hanging="709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2.</w:t>
        <w:tab/>
      </w:r>
      <w:r>
        <w:rPr>
          <w:rFonts w:ascii="Times New Roman" w:hAnsi="Times New Roman" w:cs="Times New Roman"/>
          <w:b w:val="0"/>
          <w:i w:val="0"/>
          <w:sz w:val="24"/>
        </w:rPr>
        <w:t>Обеспечить незамедлительное прекращение практики установки виртуальных машин с Windows и конфигураций двойной загрузки как способа формального отчёта о ходе импортозамещения.</w:t>
      </w:r>
    </w:p>
    <w:p>
      <w:pPr>
        <w:spacing w:before="80" w:after="80"/>
        <w:ind w:left="709" w:hanging="709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3.</w:t>
        <w:tab/>
      </w:r>
      <w:r>
        <w:rPr>
          <w:rFonts w:ascii="Times New Roman" w:hAnsi="Times New Roman" w:cs="Times New Roman"/>
          <w:b w:val="0"/>
          <w:i w:val="0"/>
          <w:sz w:val="24"/>
        </w:rPr>
        <w:t>Принять исчерпывающие меры для устранения выявленных нарушений до начала проверки ФСТЭК России.</w:t>
      </w:r>
    </w:p>
    <w:p/>
    <w:p>
      <w:pPr>
        <w:spacing w:before="0" w:after="12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Информируем, что настоящее письмо направляется во исполнение контрольных функций, возложенных на заместителя генерального директора Фадеева В.П. (п. 6 Распоряжения). При необходимости оказания методической и технической помощи в организации перехода просьба обращаться к руководителю службы информационных технологий Костину А.В.</w:t>
      </w:r>
    </w:p>
    <w:p/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77"/>
        <w:gridCol w:w="4677"/>
      </w:tblGrid>
      <w:tr>
        <w:tc>
          <w:tcPr>
            <w:tcW w:type="dxa" w:w="4677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Руководитель службы</w:t>
              <w:br/>
              <w:t>информационных технологий</w:t>
            </w:r>
          </w:p>
        </w:tc>
        <w:tc>
          <w:tcPr>
            <w:tcW w:type="dxa" w:w="4677"/>
          </w:tcPr>
          <w:p>
            <w:pPr>
              <w:jc w:val="right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_________________  /А.В. Костин/</w:t>
            </w:r>
          </w:p>
        </w:tc>
      </w:tr>
    </w:tbl>
    <w:p/>
    <w:p>
      <w:pPr>
        <w:spacing w:before="0" w:after="0"/>
        <w:jc w:val="left"/>
      </w:pPr>
      <w:r>
        <w:rPr>
          <w:rFonts w:ascii="Times New Roman" w:hAnsi="Times New Roman" w:cs="Times New Roman"/>
          <w:b w:val="0"/>
          <w:i w:val="0"/>
          <w:sz w:val="24"/>
        </w:rPr>
        <w:t>Исполнитель: _______________________</w:t>
      </w:r>
    </w:p>
    <w:p>
      <w:pPr>
        <w:spacing w:before="0" w:after="0"/>
        <w:jc w:val="left"/>
      </w:pPr>
      <w:r>
        <w:rPr>
          <w:rFonts w:ascii="Times New Roman" w:hAnsi="Times New Roman" w:cs="Times New Roman"/>
          <w:b w:val="0"/>
          <w:i w:val="0"/>
          <w:sz w:val="24"/>
        </w:rPr>
        <w:t>Тел.: ______________________________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