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OKNO-MSK</w:t>
      </w:r>
    </w:p>
    <w:p>
      <w:pPr>
        <w:jc w:val="center"/>
      </w:pPr>
      <w:r>
        <w:rPr>
          <w:b/>
          <w:sz w:val="34"/>
        </w:rPr>
        <w:t>Семантика, архитектура страниц и план действий</w:t>
        <w:br/>
        <w:t>под Yandex Search + bounded Search-vs-AI диагностику</w:t>
      </w:r>
    </w:p>
    <w:p>
      <w:pPr>
        <w:jc w:val="center"/>
      </w:pPr>
      <w:r>
        <w:rPr>
          <w:i/>
        </w:rPr>
        <w:t>Исправленный клиентский отчёт Step19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5112"/>
          </w:tcPr>
          <w:p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Сайт</w:t>
            </w:r>
          </w:p>
        </w:tc>
        <w:tc>
          <w:tcPr>
            <w:tcW w:type="dxa" w:w="5112"/>
          </w:tcPr>
          <w:p>
            <w:r>
              <w:t>https://okno-msk.ru/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Регион</w:t>
            </w:r>
          </w:p>
        </w:tc>
        <w:tc>
          <w:tcPr>
            <w:tcW w:type="dxa" w:w="5112"/>
          </w:tcPr>
          <w:p>
            <w:r>
              <w:t>Москва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Active semantic/page map</w:t>
            </w:r>
          </w:p>
        </w:tc>
        <w:tc>
          <w:tcPr>
            <w:tcW w:type="dxa" w:w="5112"/>
          </w:tcPr>
          <w:p>
            <w:r>
              <w:t>2332 фразы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Основные направления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Search-vs-AI cases</w:t>
            </w:r>
          </w:p>
        </w:tc>
        <w:tc>
          <w:tcPr>
            <w:tcW w:type="dxa" w:w="5112"/>
          </w:tcPr>
          <w:p>
            <w:r>
              <w:t>8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Page actions</w:t>
            </w:r>
          </w:p>
        </w:tc>
        <w:tc>
          <w:tcPr>
            <w:tcW w:type="dxa" w:w="5112"/>
          </w:tcPr>
          <w:p>
            <w:r>
              <w:t>34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Execution packages</w:t>
            </w:r>
          </w:p>
        </w:tc>
        <w:tc>
          <w:tcPr>
            <w:tcW w:type="dxa" w:w="5112"/>
          </w:tcPr>
          <w:p>
            <w:r>
              <w:t>112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Correction provider calls</w:t>
            </w:r>
          </w:p>
        </w:tc>
        <w:tc>
          <w:tcPr>
            <w:tcW w:type="dxa" w:w="5112"/>
          </w:tcPr>
          <w:p>
            <w:r>
              <w:t>0; cost 0 RUB</w:t>
            </w:r>
          </w:p>
        </w:tc>
      </w:tr>
    </w:tbl>
    <w:p>
      <w:r>
        <w:br w:type="page"/>
      </w:r>
    </w:p>
    <w:p>
      <w:pPr>
        <w:pStyle w:val="Heading1"/>
      </w:pPr>
      <w:r>
        <w:t>1. Краткий итог</w:t>
      </w:r>
    </w:p>
    <w:p>
      <w:r>
        <w:t>Главный вывод: сайту не нужен механический рост числа посадочных страниц. Сильнейший путь — сохранить доказанных владельцев задач, точнее развести роли близких существующих страниц, маршрутизировать узкие задачи на найденные specialist pages и закрыть ограниченное число доказанных content gaps.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5112"/>
          </w:tcPr>
          <w:p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Supported new-page actions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Supported destructive actions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P1_HIGH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P2_MEDIUM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P3_LATER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HOLD</w:t>
            </w:r>
          </w:p>
        </w:tc>
        <w:tc>
          <w:tcPr>
            <w:tcW w:type="dxa" w:w="5112"/>
          </w:tcPr>
          <w:p>
            <w:r>
              <w:t>1 accounting action / 20 exact packages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Final sprint/calendar schedule</w:t>
            </w:r>
          </w:p>
        </w:tc>
        <w:tc>
          <w:tcPr>
            <w:tcW w:type="dxa" w:w="5112"/>
          </w:tcPr>
          <w:p>
            <w:r>
              <w:t>NOT READY — calibration required</w:t>
            </w:r>
          </w:p>
        </w:tc>
      </w:tr>
    </w:tbl>
    <w:p>
      <w:pPr>
        <w:pStyle w:val="Heading2"/>
      </w:pPr>
      <w:r>
        <w:t>Что делать аналитически в первую очередь</w:t>
      </w:r>
    </w:p>
    <w:p>
      <w:pPr>
        <w:pStyle w:val="ListBullet"/>
      </w:pPr>
      <w:r>
        <w:t>Закрепить exact specialist owners перед downstream routing/links.</w:t>
      </w:r>
    </w:p>
    <w:p>
      <w:pPr>
        <w:pStyle w:val="ListBullet"/>
      </w:pPr>
      <w:r>
        <w:t>Развести materially overlapping pages без автоматического merge/delete/redirect.</w:t>
      </w:r>
    </w:p>
    <w:p>
      <w:pPr>
        <w:pStyle w:val="ListBullet"/>
      </w:pPr>
      <w:r>
        <w:t>Усилить существующие страницы по конкретным доказанным content needs.</w:t>
      </w:r>
    </w:p>
    <w:p>
      <w:pPr>
        <w:pStyle w:val="ListBullet"/>
      </w:pPr>
      <w:r>
        <w:t>Не снимать HOLD до закрытия named blocker.</w:t>
      </w:r>
    </w:p>
    <w:p>
      <w:pPr>
        <w:pStyle w:val="Heading2"/>
      </w:pPr>
      <w:r>
        <w:t>Что пакет не обещает</w:t>
      </w:r>
    </w:p>
    <w:p>
      <w:pPr>
        <w:pStyle w:val="ListBullet"/>
      </w:pPr>
      <w:r>
        <w:t>Гарантированный рост позиций/трафика/лидов/выручки.</w:t>
      </w:r>
    </w:p>
    <w:p>
      <w:pPr>
        <w:pStyle w:val="ListBullet"/>
      </w:pPr>
      <w:r>
        <w:t>Sitewide или longitudinal AI visibility по 8 snapshot cases.</w:t>
      </w:r>
    </w:p>
    <w:p>
      <w:pPr>
        <w:pStyle w:val="ListBullet"/>
      </w:pPr>
      <w:r>
        <w:t>Готовый календарь разработки без реальной оценки исполнителя.</w:t>
      </w:r>
    </w:p>
    <w:p>
      <w:pPr>
        <w:pStyle w:val="Heading1"/>
      </w:pPr>
      <w:r>
        <w:t>2. Бизнес-модель и архитектура страниц</w:t>
      </w:r>
    </w:p>
    <w:p>
      <w:r>
        <w:t>Карта сведена к 15 основным направлениям. Broad owners сохраняются для широких задач, exact specialists становятся primary только для доказанной узкой задачи.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Направление</w:t>
            </w:r>
          </w:p>
        </w:tc>
        <w:tc>
          <w:tcPr>
            <w:tcW w:type="dxa" w:w="2556"/>
          </w:tcPr>
          <w:p>
            <w:r>
              <w:t>Primary page</w:t>
            </w:r>
          </w:p>
        </w:tc>
        <w:tc>
          <w:tcPr>
            <w:tcW w:type="dxa" w:w="2556"/>
          </w:tcPr>
          <w:p>
            <w:r>
              <w:t>Ключевая граница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D19-01</w:t>
            </w:r>
          </w:p>
        </w:tc>
        <w:tc>
          <w:tcPr>
            <w:tcW w:type="dxa" w:w="2556"/>
          </w:tcPr>
          <w:p>
            <w:r>
              <w:t>Пластиковые окна / REHAU</w:t>
            </w:r>
          </w:p>
        </w:tc>
        <w:tc>
          <w:tcPr>
            <w:tcW w:type="dxa" w:w="2556"/>
          </w:tcPr>
          <w:p>
            <w:r>
              <w:t>https://okno-msk.ru/okna-rehau/</w:t>
            </w:r>
          </w:p>
        </w:tc>
        <w:tc>
          <w:tcPr>
            <w:tcW w:type="dxa" w:w="2556"/>
          </w:tcPr>
          <w:p>
            <w:r>
              <w:t>Коммерческий владелец отделён от расчёта цены и информационного выбора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D19-02</w:t>
            </w:r>
          </w:p>
        </w:tc>
        <w:tc>
          <w:tcPr>
            <w:tcW w:type="dxa" w:w="2556"/>
          </w:tcPr>
          <w:p>
            <w:r>
              <w:t>Выбор профиля и системы REHAU</w:t>
            </w:r>
          </w:p>
        </w:tc>
        <w:tc>
          <w:tcPr>
            <w:tcW w:type="dxa" w:w="2556"/>
          </w:tcPr>
          <w:p>
            <w:r>
              <w:t>https://okno-msk.ru/okna-rehau/</w:t>
            </w:r>
          </w:p>
        </w:tc>
        <w:tc>
          <w:tcPr>
            <w:tcW w:type="dxa" w:w="2556"/>
          </w:tcPr>
          <w:p>
            <w:r>
              <w:t>Две страницы сравнения REHAU требуют явного разведения ролей; автоматическое удаление/redirect не разрешены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D19-03</w:t>
            </w:r>
          </w:p>
        </w:tc>
        <w:tc>
          <w:tcPr>
            <w:tcW w:type="dxa" w:w="2556"/>
          </w:tcPr>
          <w:p>
            <w:r>
              <w:t>Двери ПВХ / REHAU</w:t>
            </w:r>
          </w:p>
        </w:tc>
        <w:tc>
          <w:tcPr>
            <w:tcW w:type="dxa" w:w="2556"/>
          </w:tcPr>
          <w:p>
            <w:r>
              <w:t>https://okno-msk.ru/dveri-rehau/</w:t>
            </w:r>
          </w:p>
        </w:tc>
        <w:tc>
          <w:tcPr>
            <w:tcW w:type="dxa" w:w="2556"/>
          </w:tcPr>
          <w:p>
            <w:r>
              <w:t>Дверная семья остаётся отдельной от generic window-installation service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D19-04</w:t>
            </w:r>
          </w:p>
        </w:tc>
        <w:tc>
          <w:tcPr>
            <w:tcW w:type="dxa" w:w="2556"/>
          </w:tcPr>
          <w:p>
            <w:r>
              <w:t>Балконы и лоджии — общее остекление</w:t>
            </w:r>
          </w:p>
        </w:tc>
        <w:tc>
          <w:tcPr>
            <w:tcW w:type="dxa" w:w="2556"/>
          </w:tcPr>
          <w:p>
            <w:r>
              <w:t>https://okno-msk.ru/balkony-i-lodzhii</w:t>
            </w:r>
          </w:p>
        </w:tc>
        <w:tc>
          <w:tcPr>
            <w:tcW w:type="dxa" w:w="2556"/>
          </w:tcPr>
          <w:p>
            <w:r>
              <w:t>Standalone finishing теперь имеет отдельного владельца; broad page остаётся владельцем bundled glazing+renovation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D19-05</w:t>
            </w:r>
          </w:p>
        </w:tc>
        <w:tc>
          <w:tcPr>
            <w:tcW w:type="dxa" w:w="2556"/>
          </w:tcPr>
          <w:p>
            <w:r>
              <w:t>Холодное / алюминиевое остекление балкона</w:t>
            </w:r>
          </w:p>
        </w:tc>
        <w:tc>
          <w:tcPr>
            <w:tcW w:type="dxa" w:w="2556"/>
          </w:tcPr>
          <w:p>
            <w:r>
              <w:t>https://okno-msk.ru/balkony-i-lodzhii/holodnoe-osteklenie</w:t>
            </w:r>
          </w:p>
        </w:tc>
        <w:tc>
          <w:tcPr>
            <w:tcW w:type="dxa" w:w="2556"/>
          </w:tcPr>
          <w:p>
            <w:r>
              <w:t>Явно холодный запрос остаётся у cold-glazing owner; material/system pages поддерживают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D19-06</w:t>
            </w:r>
          </w:p>
        </w:tc>
        <w:tc>
          <w:tcPr>
            <w:tcW w:type="dxa" w:w="2556"/>
          </w:tcPr>
          <w:p>
            <w:r>
              <w:t>Раздвижные окна на балкон</w:t>
            </w:r>
          </w:p>
        </w:tc>
        <w:tc>
          <w:tcPr>
            <w:tcW w:type="dxa" w:w="2556"/>
          </w:tcPr>
          <w:p>
            <w:r>
              <w:t>https://okno-msk.ru/balkony-i-lodzhii/razdvizhnye-okna-na-balkon</w:t>
            </w:r>
          </w:p>
        </w:tc>
        <w:tc>
          <w:tcPr>
            <w:tcW w:type="dxa" w:w="2556"/>
          </w:tcPr>
          <w:p>
            <w:r>
              <w:t>Раздвижной-only intent отделён от explicit cold intent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D19-07</w:t>
            </w:r>
          </w:p>
        </w:tc>
        <w:tc>
          <w:tcPr>
            <w:tcW w:type="dxa" w:w="2556"/>
          </w:tcPr>
          <w:p>
            <w:r>
              <w:t>Панорамное остекление балкона</w:t>
            </w:r>
          </w:p>
        </w:tc>
        <w:tc>
          <w:tcPr>
            <w:tcW w:type="dxa" w:w="2556"/>
          </w:tcPr>
          <w:p>
            <w:r>
              <w:t>https://okno-msk.ru/balkony-i-lodzhii/panoramnoe-osteklenie-balkona/</w:t>
            </w:r>
          </w:p>
        </w:tc>
        <w:tc>
          <w:tcPr>
            <w:tcW w:type="dxa" w:w="2556"/>
          </w:tcPr>
          <w:p>
            <w:r>
              <w:t>Обычный Search и AI-проверка сохраняют balcony-specific responsibility; AI не требует смены архитектуры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D19-08</w:t>
            </w:r>
          </w:p>
        </w:tc>
        <w:tc>
          <w:tcPr>
            <w:tcW w:type="dxa" w:w="2556"/>
          </w:tcPr>
          <w:p>
            <w:r>
              <w:t>Алюминиевые окна</w:t>
            </w:r>
          </w:p>
        </w:tc>
        <w:tc>
          <w:tcPr>
            <w:tcW w:type="dxa" w:w="2556"/>
          </w:tcPr>
          <w:p>
            <w:r>
              <w:t>https://okno-msk.ru/alyuminievye-okna/</w:t>
            </w:r>
          </w:p>
        </w:tc>
        <w:tc>
          <w:tcPr>
            <w:tcW w:type="dxa" w:w="2556"/>
          </w:tcPr>
          <w:p>
            <w:r>
              <w:t>Material-led commercial task остаётся у aluminium family; use-case страницы могут быть первичными для объекта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D19-09</w:t>
            </w:r>
          </w:p>
        </w:tc>
        <w:tc>
          <w:tcPr>
            <w:tcW w:type="dxa" w:w="2556"/>
          </w:tcPr>
          <w:p>
            <w:r>
              <w:t>Веранды / террасы / беседки</w:t>
            </w:r>
          </w:p>
        </w:tc>
        <w:tc>
          <w:tcPr>
            <w:tcW w:type="dxa" w:w="2556"/>
          </w:tcPr>
          <w:p>
            <w:r>
              <w:t>https://okno-msk.ru/verandy</w:t>
            </w:r>
          </w:p>
        </w:tc>
        <w:tc>
          <w:tcPr>
            <w:tcW w:type="dxa" w:w="2556"/>
          </w:tcPr>
          <w:p>
            <w:r>
              <w:t>Use-case responsibility важнее общей material category для общего veranda/terrace запроса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D19-10</w:t>
            </w:r>
          </w:p>
        </w:tc>
        <w:tc>
          <w:tcPr>
            <w:tcW w:type="dxa" w:w="2556"/>
          </w:tcPr>
          <w:p>
            <w:r>
              <w:t>Раздвижное остекление веранды/террасы</w:t>
            </w:r>
          </w:p>
        </w:tc>
        <w:tc>
          <w:tcPr>
            <w:tcW w:type="dxa" w:w="2556"/>
          </w:tcPr>
          <w:p>
            <w:r>
              <w:t>https://okno-msk.ru/verandy/razdvizhnye-okna-na-verandu</w:t>
            </w:r>
          </w:p>
        </w:tc>
        <w:tc>
          <w:tcPr>
            <w:tcW w:type="dxa" w:w="2556"/>
          </w:tcPr>
          <w:p>
            <w:r>
              <w:t>Exact sliding intent отделён от general non-sliding outdoor glazing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D19-11</w:t>
            </w:r>
          </w:p>
        </w:tc>
        <w:tc>
          <w:tcPr>
            <w:tcW w:type="dxa" w:w="2556"/>
          </w:tcPr>
          <w:p>
            <w:r>
              <w:t>Французские окна</w:t>
            </w:r>
          </w:p>
        </w:tc>
        <w:tc>
          <w:tcPr>
            <w:tcW w:type="dxa" w:w="2556"/>
          </w:tcPr>
          <w:p>
            <w:r>
              <w:t>https://okno-msk.ru/okna-rehau/francuzskie-okna</w:t>
            </w:r>
          </w:p>
        </w:tc>
        <w:tc>
          <w:tcPr>
            <w:tcW w:type="dxa" w:w="2556"/>
          </w:tcPr>
          <w:p>
            <w:r>
              <w:t>French-specific task сохраняет отдельного владельца; AI поддерживает explanatory depth, а не новый URL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D19-12</w:t>
            </w:r>
          </w:p>
        </w:tc>
        <w:tc>
          <w:tcPr>
            <w:tcW w:type="dxa" w:w="2556"/>
          </w:tcPr>
          <w:p>
            <w:r>
              <w:t>Окна для частного дома</w:t>
            </w:r>
          </w:p>
        </w:tc>
        <w:tc>
          <w:tcPr>
            <w:tcW w:type="dxa" w:w="2556"/>
          </w:tcPr>
          <w:p>
            <w:r>
              <w:t>https://okno-msk.ru/okna-rehau/po-tipu-doma/okna-v-chastnyj-dom/</w:t>
            </w:r>
          </w:p>
        </w:tc>
        <w:tc>
          <w:tcPr>
            <w:tcW w:type="dxa" w:w="2556"/>
          </w:tcPr>
          <w:p>
            <w:r>
              <w:t>Wooden-house и panoramic-house имеют specialist pages; cottage/country-house page зарегистрирована как same-task competitor и требует differentiation, не destructive merge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D19-13</w:t>
            </w:r>
          </w:p>
        </w:tc>
        <w:tc>
          <w:tcPr>
            <w:tcW w:type="dxa" w:w="2556"/>
          </w:tcPr>
          <w:p>
            <w:r>
              <w:t>Профессиональный монтаж окон</w:t>
            </w:r>
          </w:p>
        </w:tc>
        <w:tc>
          <w:tcPr>
            <w:tcW w:type="dxa" w:w="2556"/>
          </w:tcPr>
          <w:p>
            <w:r>
              <w:t>https://okno-msk.ru/uslugi/ustanovka-okon/</w:t>
            </w:r>
          </w:p>
        </w:tc>
        <w:tc>
          <w:tcPr>
            <w:tcW w:type="dxa" w:w="2556"/>
          </w:tcPr>
          <w:p>
            <w:r>
              <w:t>Professional service owner сохраняется; broad DIY step-by-step content не считается обязательным gap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D19-14</w:t>
            </w:r>
          </w:p>
        </w:tc>
        <w:tc>
          <w:tcPr>
            <w:tcW w:type="dxa" w:w="2556"/>
          </w:tcPr>
          <w:p>
            <w:r>
              <w:t>Ремонт окон / безопасная самопомощь</w:t>
            </w:r>
          </w:p>
        </w:tc>
        <w:tc>
          <w:tcPr>
            <w:tcW w:type="dxa" w:w="2556"/>
          </w:tcPr>
          <w:p>
            <w:r>
              <w:t>https://okno-msk.ru/uslugi/remont-okon/</w:t>
            </w:r>
          </w:p>
        </w:tc>
        <w:tc>
          <w:tcPr>
            <w:tcW w:type="dxa" w:w="2556"/>
          </w:tcPr>
          <w:p>
            <w:r>
              <w:t>Broad ambiguous DIY query не должен автоматически расширять narrow troubleshooting article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D19-15</w:t>
            </w:r>
          </w:p>
        </w:tc>
        <w:tc>
          <w:tcPr>
            <w:tcW w:type="dxa" w:w="2556"/>
          </w:tcPr>
          <w:p>
            <w:r>
              <w:t>Выбор / сравнение лучших окон</w:t>
            </w:r>
          </w:p>
        </w:tc>
        <w:tc>
          <w:tcPr>
            <w:tcW w:type="dxa" w:w="2556"/>
          </w:tcPr>
          <w:p>
            <w:r>
              <w:t>https://okno-msk.ru/stati/kakie-okna-samye-luchshie/</w:t>
            </w:r>
          </w:p>
        </w:tc>
        <w:tc>
          <w:tcPr>
            <w:tcW w:type="dxa" w:w="2556"/>
          </w:tcPr>
          <w:p>
            <w:r>
              <w:t>Best-windows page отделена от broad choice guide; внутреннюю иерархию нельзя перестраивать по одному AI snapshot</w:t>
            </w:r>
          </w:p>
        </w:tc>
      </w:tr>
    </w:tbl>
    <w:p>
      <w:pPr>
        <w:pStyle w:val="Heading1"/>
      </w:pPr>
      <w:r>
        <w:t>3. Карта действий по страницам</w:t>
      </w:r>
    </w:p>
    <w:p>
      <w:r>
        <w:t>P1 означает сильнейшую аналитическую важность, а не первый sprint. До production scheduling нужно заполнить owner/effort/capacity в workbook.</w:t>
      </w:r>
    </w:p>
    <w:p>
      <w:r>
        <w:rPr>
          <w:b/>
        </w:rPr>
        <w:t xml:space="preserve">S18-A001 — </w:t>
      </w:r>
      <w:r>
        <w:t>Закрепить standalone-страницу отделки балконов за отдельной задачей; broad balcony page оставить для bundled glazing+renovation | Не делать: Не возвращать старый no-standalone state</w:t>
      </w:r>
    </w:p>
    <w:p>
      <w:r>
        <w:rPr>
          <w:b/>
        </w:rPr>
        <w:t xml:space="preserve">S18-A002 — </w:t>
      </w:r>
      <w:r>
        <w:t>Для sliding-only balcony intent использовать dedicated sliding-balcony page; explicit cold intent оставить cold owner | Не делать: Не заменять cold owner общим sliding owner</w:t>
      </w:r>
    </w:p>
    <w:p>
      <w:r>
        <w:rPr>
          <w:b/>
        </w:rPr>
        <w:t xml:space="preserve">S18-A003 — </w:t>
      </w:r>
      <w:r>
        <w:t>Развести роли broad panoramic owner и найденной same-task commercial page; broad owner пока сохранить | Не делать: Не merge/delete/redirect без более сильного evidence</w:t>
      </w:r>
    </w:p>
    <w:p>
      <w:r>
        <w:rPr>
          <w:b/>
        </w:rPr>
        <w:t xml:space="preserve">S18-A004 — </w:t>
      </w:r>
      <w:r>
        <w:t>Развести general private-house owner и cottage/country-house same-task page | Не делать: Не делать destructive consolidation</w:t>
      </w:r>
    </w:p>
    <w:p>
      <w:r>
        <w:rPr>
          <w:b/>
        </w:rPr>
        <w:t xml:space="preserve">S18-A005 — </w:t>
      </w:r>
      <w:r>
        <w:t>Для PVC windows in wooden house использовать exact specialist; broad private-house page оставить support | Не делать: Не возвращать broad fallback как primary для узкой задачи</w:t>
      </w:r>
    </w:p>
    <w:p>
      <w:r>
        <w:rPr>
          <w:b/>
        </w:rPr>
        <w:t xml:space="preserve">S18-A006 — </w:t>
      </w:r>
      <w:r>
        <w:t>Commercial glass-unit selection вести на exact product hub; informational glass-unit need оставить отдельно | Не делать: Не смешивать commercial и informational owner</w:t>
      </w:r>
    </w:p>
    <w:p>
      <w:r>
        <w:rPr>
          <w:b/>
        </w:rPr>
        <w:t xml:space="preserve">S18-A007 — </w:t>
      </w:r>
      <w:r>
        <w:t>Развести product-integrated REHAU comparison и same-task article; product-integrated primary сохранить | Не делать: Не выполнять автоматический canonical/merge/delete</w:t>
      </w:r>
    </w:p>
    <w:p>
      <w:r>
        <w:rPr>
          <w:b/>
        </w:rPr>
        <w:t xml:space="preserve">S18-A008 — </w:t>
      </w:r>
      <w:r>
        <w:t>Explicit sliding veranda intent вести на exact specialist; /verandy оставить general non-sliding owner | Не делать: Не заменять general veranda owner для нераздвижных задач</w:t>
      </w:r>
    </w:p>
    <w:p>
      <w:r>
        <w:rPr>
          <w:b/>
        </w:rPr>
        <w:t xml:space="preserve">S18-A009 — </w:t>
      </w:r>
      <w:r>
        <w:t>Усилить French-window page по подтверждённым configuration/replacement needs и concise French-vs-panoramic selection | Не делать: AI snapshot не доказывает отсутствие всех тем и не создаёт новый URL</w:t>
      </w:r>
    </w:p>
    <w:p>
      <w:r>
        <w:rPr>
          <w:b/>
        </w:rPr>
        <w:t xml:space="preserve">S18-A010 — </w:t>
      </w:r>
      <w:r>
        <w:t>Добавить standard/non-standard opening dimensions, sizing principles и пояснение, почему individual measurement важнее generic standards | Не делать: Не обещать traffic/conversion effect</w:t>
      </w:r>
    </w:p>
    <w:p>
      <w:r>
        <w:rPr>
          <w:b/>
        </w:rPr>
        <w:t xml:space="preserve">S18-A011 — </w:t>
      </w:r>
      <w:r>
        <w:t>Расширить guide по фурнитуре: конструкция/части, более широкий brand comparison и Accado/Vorne/Futurus | Не делать: Не выдумывать business priority/availability брендов</w:t>
      </w:r>
    </w:p>
    <w:p>
      <w:r>
        <w:rPr>
          <w:b/>
        </w:rPr>
        <w:t xml:space="preserve">S18-A012 — </w:t>
      </w:r>
      <w:r>
        <w:t>Добавить door-specific professional installation scope/process и price/price-estimation guidance | Не делать: Не считать standalone installation внутренним приоритетом клиента без подтверждения</w:t>
      </w:r>
    </w:p>
    <w:p>
      <w:pPr>
        <w:pStyle w:val="Heading1"/>
      </w:pPr>
      <w:r>
        <w:t>4. Полный semantic/page workbook</w:t>
      </w:r>
    </w:p>
    <w:p>
      <w:r>
        <w:t>Физический XLSX содержит материализованные 2332 active phrase → task → page rows. Клиенту больше не нужно вручную соединять Step8/10/11. XLSX — DERIVED view; canonical authority остаётся upstream.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5112"/>
          </w:tcPr>
          <w:p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Master upstream keys</w:t>
            </w:r>
          </w:p>
        </w:tc>
        <w:tc>
          <w:tcPr>
            <w:tcW w:type="dxa" w:w="5112"/>
          </w:tcPr>
          <w:p>
            <w:r>
              <w:t>2840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Active materialized rows</w:t>
            </w:r>
          </w:p>
        </w:tc>
        <w:tc>
          <w:tcPr>
            <w:tcW w:type="dxa" w:w="5112"/>
          </w:tcPr>
          <w:p>
            <w:r>
              <w:t>2332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SEARCH_REQUIRED</w:t>
            </w:r>
          </w:p>
        </w:tc>
        <w:tc>
          <w:tcPr>
            <w:tcW w:type="dxa" w:w="5112"/>
          </w:tcPr>
          <w:p>
            <w:r>
              <w:t>19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Silent drops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</w:tbl>
    <w:p>
      <w:pPr>
        <w:jc w:val="center"/>
      </w:pPr>
      <w:r>
        <w:t>WORDSTAT OBSERVED COUNT != GUARANTEED EXACT QUERY FREQUENCY</w:t>
      </w:r>
    </w:p>
    <w:p>
      <w:pPr>
        <w:pStyle w:val="Heading1"/>
      </w:pPr>
      <w:r>
        <w:t>5. Search-vs-AI: 8 bounded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5112"/>
          </w:tcPr>
          <w:p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CHANGE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DE_RISK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NO_CHANGE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INSUFFICIENT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Architecture changes from AI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</w:tbl>
    <w:p>
      <w:r>
        <w:rPr>
          <w:b/>
        </w:rPr>
        <w:t xml:space="preserve">C15-004 — панорамные алюминиевые окна: </w:t>
      </w:r>
      <w:r>
        <w:t>DE_RISK__NO_ARCHITECTURE_CHANGE; CONTENT_EXPANSION_CANDIDATE. Сохранить текущего aluminium owner; проверить/усилить внутри него panoramic-specific suitability, warm/cold, large-format/project constraints и selection criteria</w:t>
      </w:r>
    </w:p>
    <w:p>
      <w:r>
        <w:rPr>
          <w:b/>
        </w:rPr>
        <w:t xml:space="preserve">C15-006 — алюминиевые окна для веранды: </w:t>
      </w:r>
      <w:r>
        <w:t>DE_RISK__NO_ARCHITECTURE_CHANGE; INSUFFICIENT. Сохранять /verandy как use-case owner; новый content action из этого кейса не делать</w:t>
      </w:r>
    </w:p>
    <w:p>
      <w:r>
        <w:rPr>
          <w:b/>
        </w:rPr>
        <w:t xml:space="preserve">C15-007 — панорамное остекление балкона: </w:t>
      </w:r>
      <w:r>
        <w:t>DE_RISK__NO_ARCHITECTURE_CHANGE; NO_MATERIAL_CONTENT_GAP_OBSERVED. Сохранить dedicated panoramic-balcony owner; optional glass-option enrichment не является приоритетным обязательным gap</w:t>
      </w:r>
    </w:p>
    <w:p>
      <w:r>
        <w:rPr>
          <w:b/>
        </w:rPr>
        <w:t xml:space="preserve">C15-010 — установка подоконника на пластиковые окна: </w:t>
      </w:r>
      <w:r>
        <w:t>NO_CHANGE; NO_MATERIAL_CONTENT_GAP_OBSERVED. Сохранять hybrid current owner: installation steps + professional fallback; отдельная архитектурная перестройка не нужна</w:t>
      </w:r>
    </w:p>
    <w:p>
      <w:r>
        <w:rPr>
          <w:b/>
        </w:rPr>
        <w:t xml:space="preserve">C15-013 — французские панорамные окна: </w:t>
      </w:r>
      <w:r>
        <w:t>DE_RISK__NO_ARCHITECTURE_CHANGE; CONTENT_EXPANSION_CANDIDATE. Сохранить French-specific owner; при текущем content check усилить definition, French-vs-panoramic, material/glazing/hardware selection depth</w:t>
      </w:r>
    </w:p>
    <w:p>
      <w:r>
        <w:rPr>
          <w:b/>
        </w:rPr>
        <w:t xml:space="preserve">C15-018 — замена окна на пластиковое цена москва: </w:t>
      </w:r>
      <w:r>
        <w:t>NO_CHANGE; INSUFFICIENT. Сохранять replacement-specific owner; не делать content parity/gap вывод по URL/title/snippet</w:t>
      </w:r>
    </w:p>
    <w:p>
      <w:r>
        <w:rPr>
          <w:b/>
        </w:rPr>
        <w:t xml:space="preserve">C15-019 — как открыть пластиковое окно: </w:t>
      </w:r>
      <w:r>
        <w:t>NO_CHANGE; NOT_APPLICABLE. Не расширять narrow two-position article под broad ambiguous query; для будущего content analysis нужны более узкие troubleshooting queries</w:t>
      </w:r>
    </w:p>
    <w:p>
      <w:r>
        <w:rPr>
          <w:b/>
        </w:rPr>
        <w:t xml:space="preserve">C15-020 — лучшие пластиковые окна: </w:t>
      </w:r>
      <w:r>
        <w:t>INSUFFICIENT__NO_ARCHITECTURE_CHANGE; CONTENT_EXPANSION_CANDIDATE. На existing best-windows article проверить freshness, explicit comparison criteria/methodology и profile/model distinctions; split/merge не делать по этому кейсу</w:t>
      </w:r>
    </w:p>
    <w:p>
      <w:pPr>
        <w:pStyle w:val="Heading1"/>
      </w:pPr>
      <w:r>
        <w:t>6. Execution calibration: 112 точных пакетов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5112"/>
          </w:tcPr>
          <w:p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Exact action</w:t>
            </w:r>
          </w:p>
        </w:tc>
        <w:tc>
          <w:tcPr>
            <w:tcW w:type="dxa" w:w="5112"/>
          </w:tcPr>
          <w:p>
            <w:r>
              <w:t>31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Internal links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Route to existing</w:t>
            </w:r>
          </w:p>
        </w:tc>
        <w:tc>
          <w:tcPr>
            <w:tcW w:type="dxa" w:w="5112"/>
          </w:tcPr>
          <w:p>
            <w:r>
              <w:t>46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HOLD/recheck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112</w:t>
            </w:r>
          </w:p>
        </w:tc>
      </w:tr>
    </w:tbl>
    <w:p>
      <w:r>
        <w:t>UNKNOWN не заменяется догадкой. Non-HOLD fields implementation_owner/effort/capacity/observation window остаются TO_CALIBRATE до реального ввода исполнителя/клиента. P1 != первый sprint.</w:t>
      </w:r>
    </w:p>
    <w:p>
      <w:pPr>
        <w:pStyle w:val="Heading1"/>
      </w:pPr>
      <w:r>
        <w:t>7. Как измерять внедрение</w:t>
      </w:r>
    </w:p>
    <w:p>
      <w:r>
        <w:t>Measurement sheet разводит implementation acceptance, baseline, future signals, observation window и decision rule. Числовые targets не выдумывались.</w:t>
      </w:r>
    </w:p>
    <w:p>
      <w:r>
        <w:rPr>
          <w:b/>
        </w:rPr>
        <w:t xml:space="preserve">M01_OWNER_ROLE_CORRECTION — </w:t>
      </w:r>
      <w:r>
        <w:t>Confirm exact owner/specialist responsibility was implemented without displacing valid supporting pages. KEEP if owner role is correctly implemented and later evidence supports/no-materially-contradicts it; REVISE on material role conflict.</w:t>
      </w:r>
    </w:p>
    <w:p>
      <w:r>
        <w:rPr>
          <w:b/>
        </w:rPr>
        <w:t xml:space="preserve">M02_OVERLAP_DIFFERENTIATION — </w:t>
      </w:r>
      <w:r>
        <w:t>Confirm overlapping retained pages have distinct roles and do not require unsupported destructive consolidation. KEEP differentiated roles if implementation is clear and no stronger evidence of harmful overlap appears; otherwise reopen the exact boundary.</w:t>
      </w:r>
    </w:p>
    <w:p>
      <w:r>
        <w:rPr>
          <w:b/>
        </w:rPr>
        <w:t xml:space="preserve">M03_CONTENT_ENHANCEMENT — </w:t>
      </w:r>
      <w:r>
        <w:t>Confirm named evidence-backed missing decision/content depth was added to the accepted owner. KEEP if content gap is correctly closed and later evidence is not materially adverse; REVISE content/role if evidence contradicts the intended task fit.</w:t>
      </w:r>
    </w:p>
    <w:p>
      <w:r>
        <w:rPr>
          <w:b/>
        </w:rPr>
        <w:t xml:space="preserve">M04_AI_BOUNDED_CONTENT_RECHECK — </w:t>
      </w:r>
      <w:r>
        <w:t>Handle bounded AI-supported content candidate without converting a snapshot into architecture or sitewide visibility claims. Close as NO_CHANGE if current page already has sufficient depth; otherwise implement bounded enhancement; never infer architecture/sitewide AI performance from one case.</w:t>
      </w:r>
    </w:p>
    <w:p>
      <w:r>
        <w:rPr>
          <w:b/>
        </w:rPr>
        <w:t xml:space="preserve">M05_INTERNAL_LINK_IMPLEMENT — </w:t>
      </w:r>
      <w:r>
        <w:t>Confirm exact approved contextual handoff exists and preserves current page roles. KEEP if exact link is live/useful/crawlable and page roles remain coherent; REVISE if role changed or link creates misleading handoff.</w:t>
      </w:r>
    </w:p>
    <w:p>
      <w:r>
        <w:rPr>
          <w:b/>
        </w:rPr>
        <w:t xml:space="preserve">M06_ROUTE_TO_EXISTING — </w:t>
      </w:r>
      <w:r>
        <w:t>Confirm subtask routes to the accepted existing owner/support asset instead of creating unnecessary URLs. KEEP if correct existing target serves the task; reopen only when current-site/business/Search evidence materially changes owner suitability.</w:t>
      </w:r>
    </w:p>
    <w:p>
      <w:r>
        <w:rPr>
          <w:b/>
        </w:rPr>
        <w:t xml:space="preserve">M07_HOLD — </w:t>
      </w:r>
      <w:r>
        <w:t>Keep blocked items from becoming implementation work before named uncertainty is resolved. Only re-enter prioritization after exact blocker is resolved; HOLD never means low value or rejection.</w:t>
      </w:r>
    </w:p>
    <w:p>
      <w:pPr>
        <w:pStyle w:val="Heading1"/>
      </w:pPr>
      <w:r>
        <w:t>8. Ограничения и использование</w:t>
      </w:r>
    </w:p>
    <w:p>
      <w:pPr>
        <w:pStyle w:val="ListBullet"/>
      </w:pPr>
      <w:r>
        <w:t>Base-public mode: private Webmaster/Metrika/Direct evidence не использовались.</w:t>
      </w:r>
    </w:p>
    <w:p>
      <w:pPr>
        <w:pStyle w:val="ListBullet"/>
      </w:pPr>
      <w:r>
        <w:t>8 AI cases — bounded diagnostic sample, не sitewide выборка.</w:t>
      </w:r>
    </w:p>
    <w:p>
      <w:pPr>
        <w:pStyle w:val="ListBullet"/>
      </w:pPr>
      <w:r>
        <w:t>HOLD — named blocker, не low value/rejection.</w:t>
      </w:r>
    </w:p>
    <w:p>
      <w:pPr>
        <w:pStyle w:val="ListBullet"/>
      </w:pPr>
      <w:r>
        <w:t>Нет ranking/traffic/lead/revenue guarantees.</w:t>
      </w:r>
    </w:p>
    <w:p>
      <w:r>
        <w:t>Практический порядок: отчёт → 05_Page_Actions → Execution_Calibration → заполнение owner/effort/capacity/dependencies → production sequence → Measurement. Step20 остаётся отдельным финальным QA.</w:t>
      </w:r>
    </w:p>
    <w:p>
      <w:pPr>
        <w:pStyle w:val="Heading1"/>
      </w:pPr>
      <w:r>
        <w:t>9. Методические ссылки correction</w:t>
      </w:r>
    </w:p>
    <w:p>
      <w:pPr>
        <w:pStyle w:val="ListBullet"/>
      </w:pPr>
      <w:r>
        <w:t>https://searchengineland.com/make-seo-reports-more-actionable-479746</w:t>
      </w:r>
    </w:p>
    <w:p>
      <w:pPr>
        <w:pStyle w:val="ListBullet"/>
      </w:pPr>
      <w:r>
        <w:t>https://ahrefs.com/blog/keyword-mapping/</w:t>
      </w:r>
    </w:p>
    <w:p>
      <w:pPr>
        <w:pStyle w:val="ListBullet"/>
      </w:pPr>
      <w:r>
        <w:t>https://ahrefs.com/blog/seo-topical-map/</w:t>
      </w:r>
    </w:p>
    <w:p>
      <w:pPr>
        <w:pStyle w:val="ListBullet"/>
      </w:pPr>
      <w:r>
        <w:t>https://www.semrush.com/blog/what-is-an-seo-report/</w:t>
      </w:r>
    </w:p>
    <w:p>
      <w:pPr>
        <w:pStyle w:val="ListBullet"/>
      </w:pPr>
      <w:r>
        <w:t>https://yandex.ru/support/webmaster/ru/service/popular-queries</w:t>
      </w:r>
    </w:p>
    <w:p>
      <w:pPr>
        <w:pStyle w:val="ListBullet"/>
      </w:pPr>
      <w:r>
        <w:t>https://yandex.ru/support/webmaster/ru/service/queries-export</w:t>
      </w:r>
    </w:p>
    <w:p>
      <w:pPr>
        <w:pStyle w:val="ListBullet"/>
      </w:pPr>
      <w:r>
        <w:t>https://yandex.ru/support/webmaster/ru/recommendations/site-structure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