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09733011"/>
        <w:docPartObj>
          <w:docPartGallery w:val="Cover Pages"/>
          <w:docPartUnique/>
        </w:docPartObj>
      </w:sdtPr>
      <w:sdtContent>
        <w:p w:rsidR="00E80F4A" w:rsidRDefault="00E80F4A"/>
        <w:p w:rsidR="00E80F4A" w:rsidRPr="00E80F4A" w:rsidRDefault="00E80F4A" w:rsidP="00E80F4A">
          <w:pPr>
            <w:rPr>
              <w:rFonts w:ascii="Times New Roman" w:eastAsia="Times New Roman" w:hAnsi="Times New Roman" w:cs="Times New Roman"/>
              <w:sz w:val="24"/>
              <w:szCs w:val="24"/>
              <w:lang w:eastAsia="en-CA"/>
            </w:rPr>
          </w:pPr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80F4A" w:rsidRDefault="00E80F4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Allergo Music Store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80F4A" w:rsidRDefault="00E80F4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Allergo Music Store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F4A" w:rsidRDefault="00E80F4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E80F4A" w:rsidRDefault="00E80F4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80F4A" w:rsidRDefault="00E80F4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Design Phase – Table Identification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80F4A" w:rsidRDefault="00E80F4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Makthum, KELLY, FLORA, chamila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80F4A" w:rsidRDefault="00E80F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Design Phase – Table Identification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80F4A" w:rsidRDefault="00E80F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Makthum, KELLY, FLORA, chamila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80F4A" w:rsidRDefault="00E80F4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80F4A" w:rsidRDefault="00E80F4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bookmarkStart w:id="0" w:name="_GoBack"/>
          <w:bookmarkEnd w:id="0"/>
          <w:r w:rsidRPr="00E80F4A">
            <w:rPr>
              <w:rFonts w:ascii="Times New Roman" w:eastAsia="Times New Roman" w:hAnsi="Times New Roman" w:cs="Times New Roman"/>
              <w:sz w:val="24"/>
              <w:szCs w:val="24"/>
              <w:lang w:eastAsia="en-CA"/>
            </w:rPr>
            <w:lastRenderedPageBreak/>
            <w:br/>
          </w:r>
        </w:p>
        <w:tbl>
          <w:tblPr>
            <w:tblW w:w="0" w:type="auto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9344"/>
          </w:tblGrid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Item 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 xml:space="preserve">UPC,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sellPrice, taxable )  -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 Strong 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Entity set – item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UPC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 - NA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NA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UPC -&gt; sellprice , taxabe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Stored(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UPC,name,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stock)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 xml:space="preserve">Represents – Relationship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Relationship entity  – stored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UPC , name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 - UPC references item table  , name references store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NA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UPC -&gt; name , stock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Store 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 xml:space="preserve">name,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address , city , phone , storeType)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 Store 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Entity Set  – store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store name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 - NA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 store should be either regular store or warehouse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Functional Dependency  </w:t>
                </w: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 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Name -&gt; address , city , phone , storetype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shd w:val="clear" w:color="auto" w:fill="FFFF00"/>
                    <w:lang w:eastAsia="en-CA"/>
                  </w:rPr>
                  <w:t>Question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shd w:val="clear" w:color="auto" w:fill="FFFF00"/>
                    <w:lang w:eastAsia="en-CA"/>
                  </w:rPr>
                  <w:t>Did we create new tables for regularstore and warehouse ?????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Book(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 xml:space="preserve">UPC,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title , publisher 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 Store 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Entity Set  –  Book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UPC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 - UPC references item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UPC -&gt; title , publisher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HasAuthor(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 xml:space="preserve">UPC , name) -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 name is not null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 Relationship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 – Entity Book and Relationship set : HasAuthor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UPC , name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 - UPC references item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 Each author must have authored one or more books and each book should have one or more authors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lastRenderedPageBreak/>
                  <w:t>UPC , name  -&gt; upc , name  ( trivial dependency )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lastRenderedPageBreak/>
                  <w:t>Author(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name)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 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 – Entity Author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–name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 -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 Each author must have authored one or more books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UPC , name  -&gt; upc , name  ( trivial dependency )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Score (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 xml:space="preserve">UPC ,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 title , publisher 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 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 xml:space="preserve">Set  – Entity score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UPC , name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 - UPC references item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 N/A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UPC - &gt; title , publisher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Hascomposer (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UPC , name)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 Relationship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 – Entity score  and Relationship set : composer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UPC , name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 - UPC references item table , name references composer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 Each score must have one or more composer and each composer mush have composed one or more music sheet .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Trivial dependency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Composer (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UPC , name)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 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 – Entity composer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–name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 - N 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 each composer mush have composed one or more music sheet .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Trivial dependency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CDorDVD(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 xml:space="preserve">UPC,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title , company , year , type , category 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 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Entity CDorDVD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UPC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- UPC references item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N/A .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Upc -&gt; title , company , year , type , category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Ad2 : Category -&gt; company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lastRenderedPageBreak/>
                  <w:t>BCNF DECOMPOSITION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CDorDVD 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Upc</w:t>
                </w: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,title,year , type , category ) and   Cat_company 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category</w:t>
                </w: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 xml:space="preserve"> , company)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lastRenderedPageBreak/>
                  <w:t>Hassong 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UPC , title 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 Relationship and 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Entity CDorDVD Relationship set : HasSong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UPC , title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- UPC references item table , title references song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Each cd or dvd has one or more songs and each must be present in atleast one cd or dvd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Trivial dependency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song 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Title)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 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Entity Song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–title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 N/A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N/A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Trivial dependency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Leadsinger(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UPC,name 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 Relationship and 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Entity CDorDVD Relationship set : Leading singer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UPC , name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- UPC references item table , name references singer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Each cd or dvd has one or more singer and each cd or dvd must have at leat one singer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Trivial dependency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Singer(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name 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Entity singer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–name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–N/A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–N/A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Trivial dependency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Shipment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i/>
                    <w:iCs/>
                    <w:color w:val="000000"/>
                    <w:sz w:val="23"/>
                    <w:szCs w:val="23"/>
                    <w:lang w:eastAsia="en-CA"/>
                  </w:rPr>
                  <w:t>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sid,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date 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 xml:space="preserve">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sup_name,store_name)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Entity shipment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Sid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 sup_name references supplier table and store_name references store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lastRenderedPageBreak/>
                  <w:t xml:space="preserve">Constraints – Each shipment must have a supplier name and each shipment must to shipped to only one store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Sid -&gt; </w:t>
                </w: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date , sup_name,store_name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AD1 : Sid -&gt; sup_name , store name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lastRenderedPageBreak/>
                  <w:t xml:space="preserve">Supplier( 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name,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status,address,city 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 xml:space="preserve">Set – Entity supplier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name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 N/A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N/A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Name - &gt; status, address , city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AD3 : City , name -&gt; status, address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Shipitem(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sid,upc,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quantity)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–relationship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shipitem  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sid,upc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 sid references shipment table and upc references item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each shipment must contain one or more items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Sid</w:t>
                </w: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 xml:space="preserve"> , UPC -&gt; quantity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Sid -&gt; upc ,quantity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Supplies 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name,UPC,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 supprice)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–relationship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supplies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name,UPC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 upc references item table and name references supplier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 xml:space="preserve">Constraints – each item must be supplied atleast by one supplier and supplier might supply zero or more items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Functional Dependency  </w:t>
                </w: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 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Name , UPC -&gt; supprice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Customer 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cid,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password , name , address , city , phone 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customer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cid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 N/A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 - N/A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cid -&gt; password , name , address , city , phone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Order(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receiptId,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card#,expire,delivereddate,cid,storename)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–relationship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custorder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lastRenderedPageBreak/>
                  <w:t>Primary Key – receiptid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 receipted references order table ,cid references purchase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Each custorder must be related to only one customer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Receiptid - &gt; </w:t>
                </w: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card#, expire , deliverydate , cid , storename , ordertype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lastRenderedPageBreak/>
                  <w:t>Purchase 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receipted,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date</w:t>
                </w: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purchase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receiptid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 N/A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N/A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Receiptid -&gt; date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cardPurchase(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receiptId,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 card# ,expire)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cardpurchase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receiptid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 receipted references purchase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N/A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Receiptid -&gt;  card# , expire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Instore 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receipted,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storeName,purchasetype)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–Entity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purchasestore , instore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receiptid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 receiptid references purchase table , name references store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each instore purchase must be related to only one regular store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Receiptid -&gt; storename , purchasetype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shd w:val="clear" w:color="auto" w:fill="FFFF00"/>
                    <w:lang w:eastAsia="en-CA"/>
                  </w:rPr>
                  <w:t>Question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shd w:val="clear" w:color="auto" w:fill="FFFF00"/>
                    <w:lang w:eastAsia="en-CA"/>
                  </w:rPr>
                  <w:t>Did we create new table for cash purchase entity ???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purchaseItem(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receiptId,UPC,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quantity</w:t>
                </w: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–relationship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purchaseitem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receiptid,UPC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 receiptid references purchase table and UPC references item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each purchase should have atleast one item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Receiptid , UPC -&gt; quantity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ReturnItem(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UPC,retId,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quantity)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–relationship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returnitem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retid , upc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lastRenderedPageBreak/>
                  <w:t>Foreign Key – retid references return table and upc references item table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Return should include one or more item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Upc , retid -&gt; quantity</w:t>
                </w:r>
              </w:p>
            </w:tc>
          </w:tr>
          <w:tr w:rsidR="00E80F4A" w:rsidRPr="00E80F4A" w:rsidTr="00E80F4A">
            <w:tc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105" w:type="dxa"/>
                  <w:left w:w="105" w:type="dxa"/>
                  <w:bottom w:w="105" w:type="dxa"/>
                  <w:right w:w="105" w:type="dxa"/>
                </w:tcMar>
                <w:hideMark/>
              </w:tcPr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lastRenderedPageBreak/>
                  <w:t>Return(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u w:val="single"/>
                    <w:lang w:eastAsia="en-CA"/>
                  </w:rPr>
                  <w:t>retid,</w:t>
                </w: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>date,purchaseid ,storename)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Represents –entity and relationship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Set – return , basedon , returnstore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Primary Key – retid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Foreign Key – receiptid,name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Constraints – each return should be based on only one purchase and each return should be made only at one store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b/>
                    <w:bCs/>
                    <w:color w:val="000000"/>
                    <w:sz w:val="23"/>
                    <w:szCs w:val="23"/>
                    <w:lang w:eastAsia="en-CA"/>
                  </w:rPr>
                  <w:t xml:space="preserve">Functional Dependency </w:t>
                </w:r>
              </w:p>
              <w:p w:rsidR="00E80F4A" w:rsidRPr="00E80F4A" w:rsidRDefault="00E80F4A" w:rsidP="00E80F4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CA"/>
                  </w:rPr>
                </w:pPr>
                <w:r w:rsidRPr="00E80F4A">
                  <w:rPr>
                    <w:rFonts w:ascii="Arial" w:eastAsia="Times New Roman" w:hAnsi="Arial" w:cs="Arial"/>
                    <w:color w:val="000000"/>
                    <w:sz w:val="23"/>
                    <w:szCs w:val="23"/>
                    <w:lang w:eastAsia="en-CA"/>
                  </w:rPr>
                  <w:t>Retid -&gt;date , purchaseid , store name</w:t>
                </w:r>
              </w:p>
            </w:tc>
          </w:tr>
        </w:tbl>
        <w:p w:rsidR="00E80F4A" w:rsidRDefault="00E80F4A"/>
      </w:sdtContent>
    </w:sdt>
    <w:p w:rsidR="00C65256" w:rsidRDefault="00C65256"/>
    <w:sectPr w:rsidR="00C65256" w:rsidSect="00E80F4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4A"/>
    <w:rsid w:val="00C65256"/>
    <w:rsid w:val="00E8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8B859-8E38-4203-9BA6-7705872B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0F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0F4A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E8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Allergo Music Store</dc:title>
  <dc:subject>Design Phase – Table Identification</dc:subject>
  <dc:creator>Makthum, KELLY, FLORA, chamila</dc:creator>
  <cp:keywords/>
  <dc:description/>
  <cp:lastModifiedBy>Makthum</cp:lastModifiedBy>
  <cp:revision>1</cp:revision>
  <dcterms:created xsi:type="dcterms:W3CDTF">2013-07-20T19:21:00Z</dcterms:created>
  <dcterms:modified xsi:type="dcterms:W3CDTF">2013-07-20T19:25:00Z</dcterms:modified>
</cp:coreProperties>
</file>