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modelli di Lanchester classici (Legge Lineare e del Quadrato) sono astratti, ma storici e analisti militari della difesa li hanno modificati e validati per simulare i conflitti reali.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modello generale più utilizzato per calibrare le simulazioni si basa sulle </w:t>
      </w:r>
      <w:r w:rsidDel="00000000" w:rsidR="00000000" w:rsidRPr="00000000">
        <w:rPr>
          <w:b w:val="1"/>
          <w:bCs w:val="1"/>
          <w:rtl w:val="0"/>
        </w:rPr>
        <w:t xml:space="preserve">equazioni di Bracken (Modello Generalizzato)</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$$\frac{dR}{dt} = -g R^q G^p \quad \text{e} \quad \frac{dG}{dt} = -r R^p G^q$$</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Variando gli esponenti $p$ ed $q$, il modello oscilla tra la legge lineare e quella del quadrato. I modelli specifici considerati validi per le tre ere storiche differiscono per questi parametri e per l'integrazione di fattori esterni: [1, 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Seconda Guerra Mondiale: Il Modello a Potenza Frazionaria (Legge 1.5)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Durante la Seconda Guerra Mondiale si è passati da guerre d'area a scontri mirati, ma con enormi attriti logistici. I modelli puramente quadratici falliscono su larga scala. I modelli considerati validi includono: [3]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 Modello di Bracken (Validazione Ardenne e Kursk):</w:t>
      </w:r>
      <w:r w:rsidDel="00000000" w:rsidR="00000000" w:rsidRPr="00000000">
        <w:rPr>
          <w:rtl w:val="0"/>
        </w:rPr>
        <w:t xml:space="preserve"> L'analista Jerome Bracken ha dimostrato che la Campagna delle Ardenne (1944) e la Battaglia di Kursk (1943) non seguono la legge del quadrato. I dati reali si posizionano perfettamente impostando gli esponenti </w:t>
      </w:r>
      <w:r w:rsidDel="00000000" w:rsidR="00000000" w:rsidRPr="00000000">
        <w:rPr>
          <w:b w:val="1"/>
          <w:bCs w:val="1"/>
          <w:rtl w:val="0"/>
        </w:rPr>
        <w:t xml:space="preserve">$p = 0.5$ e $q = 0.5$</w:t>
      </w:r>
      <w:r w:rsidDel="00000000" w:rsidR="00000000" w:rsidRPr="00000000">
        <w:rPr>
          <w:rtl w:val="0"/>
        </w:rPr>
        <w:t xml:space="preserve">, configurando una via di mezzo esatta. [4, 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Legge 1.5 (Battaglia d'Inghilterra):</w:t>
      </w:r>
      <w:r w:rsidDel="00000000" w:rsidR="00000000" w:rsidRPr="00000000">
        <w:rPr>
          <w:rtl w:val="0"/>
        </w:rPr>
        <w:t xml:space="preserve"> Per i duelli aerei del 1940, gli analisti usano un esponente di </w:t>
      </w:r>
      <w:r w:rsidDel="00000000" w:rsidR="00000000" w:rsidRPr="00000000">
        <w:rPr>
          <w:b w:val="1"/>
          <w:bCs w:val="1"/>
          <w:rtl w:val="0"/>
        </w:rPr>
        <w:t xml:space="preserve">1.5</w:t>
      </w:r>
      <w:r w:rsidDel="00000000" w:rsidR="00000000" w:rsidRPr="00000000">
        <w:rPr>
          <w:rtl w:val="0"/>
        </w:rPr>
        <w:t xml:space="preserve">. Le perdite della RAF seguivano l'equazione $\Delta B \sim G^{1.2}$, provando che la superiorità numerica della Luftwaffe contava molto, ma era mitigata dalla reattività della difesa radar britannica. [6, 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KDB (Kursk Database):</w:t>
      </w:r>
      <w:r w:rsidDel="00000000" w:rsidR="00000000" w:rsidRPr="00000000">
        <w:rPr>
          <w:rtl w:val="0"/>
        </w:rPr>
        <w:t xml:space="preserve"> Gli studi del </w:t>
      </w:r>
      <w:hyperlink r:id="rId6">
        <w:r w:rsidDel="00000000" w:rsidR="00000000" w:rsidRPr="00000000">
          <w:rPr>
            <w:color w:val="0000ee"/>
            <w:u w:val="single"/>
            <w:rtl w:val="0"/>
          </w:rPr>
          <w:t xml:space="preserve">Dupuy Institute</w:t>
        </w:r>
      </w:hyperlink>
      <w:r w:rsidDel="00000000" w:rsidR="00000000" w:rsidRPr="00000000">
        <w:rPr>
          <w:rtl w:val="0"/>
        </w:rPr>
        <w:t xml:space="preserve"> hanno validato le equazioni di Lanchester dimostrando che funzionano egregiamente solo se applicate </w:t>
      </w:r>
      <w:r w:rsidDel="00000000" w:rsidR="00000000" w:rsidRPr="00000000">
        <w:rPr>
          <w:b w:val="1"/>
          <w:bCs w:val="1"/>
          <w:rtl w:val="0"/>
        </w:rPr>
        <w:t xml:space="preserve">esclusivamente alle truppe attivamente ingaggiate</w:t>
      </w:r>
      <w:r w:rsidDel="00000000" w:rsidR="00000000" w:rsidRPr="00000000">
        <w:rPr>
          <w:rtl w:val="0"/>
        </w:rPr>
        <w:t xml:space="preserve"> al fronte ($contact\ forces$), escludendo le riserve logistiche. [8, 9]</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Guerra Fredda: I Modelli Eterogenei e a Fasi (Wargaming NATO)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Guerra Fredda richiedeva di simulare uno scontro colossale (e mai avvenuto) tra NATO e Patto di Varsavia in Europa. I modelli validati nei simulatori come il </w:t>
      </w:r>
      <w:r w:rsidDel="00000000" w:rsidR="00000000" w:rsidRPr="00000000">
        <w:rPr>
          <w:i w:val="1"/>
          <w:iCs w:val="1"/>
          <w:rtl w:val="0"/>
        </w:rPr>
        <w:t xml:space="preserve">TACWAR</w:t>
      </w:r>
      <w:r w:rsidDel="00000000" w:rsidR="00000000" w:rsidRPr="00000000">
        <w:rPr>
          <w:rtl w:val="0"/>
        </w:rPr>
        <w:t xml:space="preserve"> (Tactical Warfare) o il </w:t>
      </w:r>
      <w:r w:rsidDel="00000000" w:rsidR="00000000" w:rsidRPr="00000000">
        <w:rPr>
          <w:i w:val="1"/>
          <w:iCs w:val="1"/>
          <w:rtl w:val="0"/>
        </w:rPr>
        <w:t xml:space="preserve">JANUS</w:t>
      </w:r>
      <w:r w:rsidDel="00000000" w:rsidR="00000000" w:rsidRPr="00000000">
        <w:rPr>
          <w:rtl w:val="0"/>
        </w:rPr>
        <w:t xml:space="preserve"> dell'Esercito USA hanno introdotto la complessità multicomponente.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Modelli Lanchester Eterogenei (Vettoriali):</w:t>
      </w:r>
      <w:r w:rsidDel="00000000" w:rsidR="00000000" w:rsidRPr="00000000">
        <w:rPr>
          <w:rtl w:val="0"/>
        </w:rPr>
        <w:t xml:space="preserve"> Non si calcolano più solo "Fanti rossi contro fanti blu". Le forze sono vettori che includono carri armati, artiglieria, fanteria e supporto aereo. L'attrito di una singola unità è la somma dei tassi di efficacia di tutte le armi nemiche combinate. [10]</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Modelli Logaritmici (Modello di Peterson):</w:t>
      </w:r>
      <w:r w:rsidDel="00000000" w:rsidR="00000000" w:rsidRPr="00000000">
        <w:rPr>
          <w:rtl w:val="0"/>
        </w:rPr>
        <w:t xml:space="preserve"> Introdotto per calcolare il logoramento non da combattimento (malattie, diserzioni, sfinimento psicologico strutturale) tipico delle lunghe ore di prontezza operativa sotto minaccia NBC (Nucleare, Biologica, Chimica). [5]</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Modelli con Soglie di Ritirata (Modello di Helmbold):</w:t>
      </w:r>
      <w:r w:rsidDel="00000000" w:rsidR="00000000" w:rsidRPr="00000000">
        <w:rPr>
          <w:rtl w:val="0"/>
        </w:rPr>
        <w:t xml:space="preserve"> Modifica Lanchester introducendo il rapporto di forze e lo stato posturale (es. difesa fortificata vs attacco affrettato). Se una forza scende sotto una percentuale critica (es. 70% della forza iniziale), l'equazione di Lanchester si interrompe bruscamente e si passa alla ritirata tattica. [3]</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Conflitti Attuali: Il Modello SINDy e il Supporto Satellitare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guerra moderna (es. il conflitto in Ucraina) è caratterizzata da una trasparenza quasi totale del campo di battaglia e dall'asimmetria tecnologica. I modelli odierni integrano variabili flessibili generati da algoritmi matematici.</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Modello SINDy (Sparse Identification of Nonlinear Dynamics):</w:t>
      </w:r>
      <w:r w:rsidDel="00000000" w:rsidR="00000000" w:rsidRPr="00000000">
        <w:rPr>
          <w:rtl w:val="0"/>
        </w:rPr>
        <w:t xml:space="preserve"> Data la segretezza dei dati in Ucraina, i ricercatori utilizzano algoritmi di machine learning (SINDy) per analizzare i dati geopolitici pubblici sulle perdite di mezzi corazzati. Questo modello ha dimostrato che il conflitto ucraino non è lineare, ma si divide geometricamente in "sotto-fasi" separate di Lanchester, dove i tassi di attrito mutano radicalmente ogni volta che cambia la disponibilità di munizioni o la stagione (fango/rasputitsa).</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Modello Lanchester con Supporto Informativo Spaziale (Space-Based Information Support):</w:t>
      </w:r>
      <w:r w:rsidDel="00000000" w:rsidR="00000000" w:rsidRPr="00000000">
        <w:rPr>
          <w:rtl w:val="0"/>
        </w:rPr>
        <w:t xml:space="preserve"> Presentato nelle simulazioni di operazioni congiunte multilivello, questo modello modifica il coefficiente di efficacia del fuoco ($g$ ed $r$) moltiplicandolo per un </w:t>
      </w:r>
      <w:r w:rsidDel="00000000" w:rsidR="00000000" w:rsidRPr="00000000">
        <w:rPr>
          <w:b w:val="1"/>
          <w:bCs w:val="1"/>
          <w:rtl w:val="0"/>
        </w:rPr>
        <w:t xml:space="preserve">fattore di comando e controllo ($\mu$)</w:t>
      </w:r>
      <w:r w:rsidDel="00000000" w:rsidR="00000000" w:rsidRPr="00000000">
        <w:rPr>
          <w:rtl w:val="0"/>
        </w:rPr>
        <w:t xml:space="preserve">. Se una forza possiede la superiorità informativa (satelliti Starlink, droni ISR), il suo fuoco diventa puramente mirato (Legge del Quadrato), mentre costringe il nemico privato di comunicazioni al fuoco d'area cieco (Legge Lineare). [1, 11, 12, 13, 14]</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Riepilogo dei parametri di validazione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Era Conflitto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Modello Prevalente Valido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Valore Esponenti ($p, q$)</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Innovazione Chiave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Seconda Guerra Mondiale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Bracken / Potenza Frazionaria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 \approx 0.5$, $q \approx 0.5$ (Ardenne)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Solo truppe attivamente ingaggiate ($KDB$).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Guerra Fredda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Eterogeneo / Vettoriale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Variabili per armamento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Interazione combinata (Carri + Fanteria + Jet).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Guerra Attuale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SINDy Dinamico / Supporto Info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Dinamici (Variabili nel tempo)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Il fattore Droni/Satelliti altera il tipo di legge.</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Ti interesserebbe approfondire la struttura matematica di un </w:t>
      </w:r>
      <w:r w:rsidDel="00000000" w:rsidR="00000000" w:rsidRPr="00000000">
        <w:rPr>
          <w:b w:val="1"/>
          <w:bCs w:val="1"/>
          <w:rtl w:val="0"/>
        </w:rPr>
        <w:t xml:space="preserve">modello eterogeneo (vettoriale)</w:t>
      </w:r>
      <w:r w:rsidDel="00000000" w:rsidR="00000000" w:rsidRPr="00000000">
        <w:rPr>
          <w:rtl w:val="0"/>
        </w:rPr>
        <w:t xml:space="preserve"> per capire come si calcola l'efficacia incrociata di carri contro artiglieria, oppure preferisci un focus sull'algoritmo </w:t>
      </w:r>
      <w:r w:rsidDel="00000000" w:rsidR="00000000" w:rsidRPr="00000000">
        <w:rPr>
          <w:b w:val="1"/>
          <w:bCs w:val="1"/>
          <w:rtl w:val="0"/>
        </w:rPr>
        <w:t xml:space="preserve">SINDy</w:t>
      </w:r>
      <w:r w:rsidDel="00000000" w:rsidR="00000000" w:rsidRPr="00000000">
        <w:rPr>
          <w:rtl w:val="0"/>
        </w:rPr>
        <w:t xml:space="preserve"> applicato al conflitto russo-ucraino?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7">
        <w:r w:rsidDel="00000000" w:rsidR="00000000" w:rsidRPr="00000000">
          <w:rPr>
            <w:color w:val="0000ee"/>
            <w:u w:val="single"/>
            <w:rtl w:val="0"/>
          </w:rPr>
          <w:t xml:space="preserve">https://www.mdpi.com</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8">
        <w:r w:rsidDel="00000000" w:rsidR="00000000" w:rsidRPr="00000000">
          <w:rPr>
            <w:color w:val="0000ee"/>
            <w:u w:val="single"/>
            <w:rtl w:val="0"/>
          </w:rPr>
          <w:t xml:space="preserve">https://www.researchgate.net</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9">
        <w:r w:rsidDel="00000000" w:rsidR="00000000" w:rsidRPr="00000000">
          <w:rPr>
            <w:color w:val="0000ee"/>
            <w:u w:val="single"/>
            <w:rtl w:val="0"/>
          </w:rPr>
          <w:t xml:space="preserve">https://dupuyinstitute.org</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0">
        <w:r w:rsidDel="00000000" w:rsidR="00000000" w:rsidRPr="00000000">
          <w:rPr>
            <w:color w:val="0000ee"/>
            <w:u w:val="single"/>
            <w:rtl w:val="0"/>
          </w:rPr>
          <w:t xml:space="preserve">https://www.researchgate.net</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1">
        <w:r w:rsidDel="00000000" w:rsidR="00000000" w:rsidRPr="00000000">
          <w:rPr>
            <w:color w:val="0000ee"/>
            <w:u w:val="single"/>
            <w:rtl w:val="0"/>
          </w:rPr>
          <w:t xml:space="preserve">https://www.researchgate.net</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2">
        <w:r w:rsidDel="00000000" w:rsidR="00000000" w:rsidRPr="00000000">
          <w:rPr>
            <w:color w:val="0000ee"/>
            <w:u w:val="single"/>
            <w:rtl w:val="0"/>
          </w:rPr>
          <w:t xml:space="preserve">https://www.academia.edu</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3">
        <w:r w:rsidDel="00000000" w:rsidR="00000000" w:rsidRPr="00000000">
          <w:rPr>
            <w:color w:val="0000ee"/>
            <w:u w:val="single"/>
            <w:rtl w:val="0"/>
          </w:rPr>
          <w:t xml:space="preserve">https://en.wikipedia.org</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4">
        <w:r w:rsidDel="00000000" w:rsidR="00000000" w:rsidRPr="00000000">
          <w:rPr>
            <w:color w:val="0000ee"/>
            <w:u w:val="single"/>
            <w:rtl w:val="0"/>
          </w:rPr>
          <w:t xml:space="preserve">https://upload.wikimedia.org</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5">
        <w:r w:rsidDel="00000000" w:rsidR="00000000" w:rsidRPr="00000000">
          <w:rPr>
            <w:color w:val="0000ee"/>
            <w:u w:val="single"/>
            <w:rtl w:val="0"/>
          </w:rPr>
          <w:t xml:space="preserve">https://archive.org</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6">
        <w:r w:rsidDel="00000000" w:rsidR="00000000" w:rsidRPr="00000000">
          <w:rPr>
            <w:color w:val="0000ee"/>
            <w:u w:val="single"/>
            <w:rtl w:val="0"/>
          </w:rPr>
          <w:t xml:space="preserve">https://arxiv.org</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7">
        <w:r w:rsidDel="00000000" w:rsidR="00000000" w:rsidRPr="00000000">
          <w:rPr>
            <w:color w:val="0000ee"/>
            <w:u w:val="single"/>
            <w:rtl w:val="0"/>
          </w:rPr>
          <w:t xml:space="preserve">https://www.mdpi.com</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8">
        <w:r w:rsidDel="00000000" w:rsidR="00000000" w:rsidRPr="00000000">
          <w:rPr>
            <w:color w:val="0000ee"/>
            <w:u w:val="single"/>
            <w:rtl w:val="0"/>
          </w:rPr>
          <w:t xml:space="preserve">https://ideas.repec.org</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9">
        <w:r w:rsidDel="00000000" w:rsidR="00000000" w:rsidRPr="00000000">
          <w:rPr>
            <w:color w:val="0000ee"/>
            <w:u w:val="single"/>
            <w:rtl w:val="0"/>
          </w:rPr>
          <w:t xml:space="preserve">https://iopscience.iop.org</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20">
        <w:r w:rsidDel="00000000" w:rsidR="00000000" w:rsidRPr="00000000">
          <w:rPr>
            <w:color w:val="0000ee"/>
            <w:u w:val="single"/>
            <w:rtl w:val="0"/>
          </w:rPr>
          <w:t xml:space="preserve">https://github.com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iethiabg/Lanchester" TargetMode="External"/><Relationship Id="rId11" Type="http://schemas.openxmlformats.org/officeDocument/2006/relationships/hyperlink" Target="https://www.researchgate.net/publication/320383193_How_do_we_improve_Lanchester_combat_models_for_defence_decision-making" TargetMode="External"/><Relationship Id="rId10" Type="http://schemas.openxmlformats.org/officeDocument/2006/relationships/hyperlink" Target="https://www.researchgate.net/publication/229602266_Applying_Lanchester%27s_linear_law_to_model_the_Ardennes_Campaign" TargetMode="External"/><Relationship Id="rId13" Type="http://schemas.openxmlformats.org/officeDocument/2006/relationships/hyperlink" Target="https://en.wikipedia.org/wiki/Lanchester%27s_laws" TargetMode="External"/><Relationship Id="rId12" Type="http://schemas.openxmlformats.org/officeDocument/2006/relationships/hyperlink" Target="https://www.academia.edu/49011253/Lanchester_models_and_the_battle_of_Brit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upuyinstitute.org/2018/05/02/the-lanchester-equations-and-historical-warfare/" TargetMode="External"/><Relationship Id="rId15" Type="http://schemas.openxmlformats.org/officeDocument/2006/relationships/hyperlink" Target="https://archive.org/details/exploringvalidat109452540" TargetMode="External"/><Relationship Id="rId14" Type="http://schemas.openxmlformats.org/officeDocument/2006/relationships/hyperlink" Target="https://upload.wikimedia.org/wikipedia/commons/3/3f/Exploring_the_validation_of_lanchester_equations_for_the_Battle_of_Kursk_%28IA_exploringvalidat109452540%29.pdf" TargetMode="External"/><Relationship Id="rId17" Type="http://schemas.openxmlformats.org/officeDocument/2006/relationships/hyperlink" Target="https://www.mdpi.com/2227-7390/12/6/851" TargetMode="External"/><Relationship Id="rId16" Type="http://schemas.openxmlformats.org/officeDocument/2006/relationships/hyperlink" Target="https://arxiv.org/html/1903.06666v2" TargetMode="External"/><Relationship Id="rId5" Type="http://schemas.openxmlformats.org/officeDocument/2006/relationships/styles" Target="styles.xml"/><Relationship Id="rId19" Type="http://schemas.openxmlformats.org/officeDocument/2006/relationships/hyperlink" Target="https://iopscience.iop.org/article/10.1088/1742-6596/2384/1/012011/pdf" TargetMode="External"/><Relationship Id="rId6" Type="http://schemas.openxmlformats.org/officeDocument/2006/relationships/hyperlink" Target="https://dupuyinstitute.org/" TargetMode="External"/><Relationship Id="rId18" Type="http://schemas.openxmlformats.org/officeDocument/2006/relationships/hyperlink" Target="https://ideas.repec.org/a/gam/jmathe/v12y2024i6p851-d1356953.html" TargetMode="External"/><Relationship Id="rId7" Type="http://schemas.openxmlformats.org/officeDocument/2006/relationships/hyperlink" Target="https://www.mdpi.com/2227-7390/8/5/737" TargetMode="External"/><Relationship Id="rId8" Type="http://schemas.openxmlformats.org/officeDocument/2006/relationships/hyperlink" Target="https://www.researchgate.net/publication/2128695_Lanchester_combat_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