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2"/>
          <w:szCs w:val="32"/>
        </w:rPr>
        <w:t xml:space="preserve">Project Synopsis</w:t>
      </w:r>
    </w:p>
    <w:p>
      <w:pPr>
        <w:spacing w:after="40" w:before="0"/>
        <w:jc w:val="center"/>
      </w:pPr>
      <w:r>
        <w:rPr>
          <w:rFonts w:ascii="Arial" w:cs="Arial" w:eastAsia="Arial" w:hAnsi="Arial"/>
          <w:b/>
          <w:bCs/>
          <w:color w:val="2980B9"/>
          <w:sz w:val="26"/>
          <w:szCs w:val="26"/>
        </w:rPr>
        <w:t xml:space="preserve">Few-Shot Learning for Rare Medical Conditions</w:t>
      </w:r>
    </w:p>
    <w:p>
      <w:pPr>
        <w:pBdr>
          <w:bottom w:val="single" w:color="2980B9" w:sz="10" w:space="3"/>
        </w:pBdr>
        <w:spacing w:after="180" w:before="0"/>
        <w:jc w:val="center"/>
      </w:pPr>
      <w:r>
        <w:rPr>
          <w:rFonts w:ascii="Arial" w:cs="Arial" w:eastAsia="Arial" w:hAnsi="Arial"/>
          <w:i/>
          <w:iCs/>
          <w:color w:val="555555"/>
          <w:sz w:val="19"/>
          <w:szCs w:val="19"/>
        </w:rPr>
        <w:t xml:space="preserve">Dermoscopic Skin Lesion Classification using HAM10000 Dataset</w:t>
      </w:r>
    </w:p>
    <w:p>
      <w:pPr>
        <w:pStyle w:val="Heading1"/>
        <w:pBdr>
          <w:bottom w:val="single" w:color="2980B9" w:sz="8" w:space="2"/>
        </w:pBdr>
        <w:spacing w:after="80" w:before="200"/>
      </w:pPr>
      <w:r>
        <w:rPr>
          <w:rFonts w:ascii="Arial" w:cs="Arial" w:eastAsia="Arial" w:hAnsi="Arial"/>
          <w:b/>
          <w:bCs/>
          <w:color w:val="1F4E79"/>
          <w:sz w:val="26"/>
          <w:szCs w:val="26"/>
        </w:rPr>
        <w:t xml:space="preserve">Abstract</w:t>
      </w:r>
    </w:p>
    <w:p>
      <w:pPr>
        <w:spacing w:after="60" w:before="60"/>
      </w:pPr>
      <w:r>
        <w:rPr>
          <w:rFonts w:ascii="Arial" w:cs="Arial" w:eastAsia="Arial" w:hAnsi="Arial"/>
          <w:sz w:val="19"/>
          <w:szCs w:val="19"/>
        </w:rPr>
        <w:t xml:space="preserve">Rare skin disease diagnosis is critically hindered by data scarcity — conventional deep learning requires thousands of labeled samples per class, a structurally impossible standard for uncommon conditions. This project proposes a Few-Shot Learning (FSL) framework using the HAM10000 dermoscopic dataset to compare Prototypical and Siamese Networks under episodic training, measure performance degradation as samples decrease from 100 to 5 per class, and evaluate which augmentation strategy best preserves accuracy at the clinical data frontier.</w:t>
      </w:r>
    </w:p>
    <w:p>
      <w:pPr>
        <w:pStyle w:val="Heading1"/>
        <w:pBdr>
          <w:bottom w:val="single" w:color="2980B9" w:sz="8" w:space="2"/>
        </w:pBdr>
        <w:spacing w:after="80" w:before="200"/>
      </w:pPr>
      <w:r>
        <w:rPr>
          <w:rFonts w:ascii="Arial" w:cs="Arial" w:eastAsia="Arial" w:hAnsi="Arial"/>
          <w:b/>
          <w:bCs/>
          <w:color w:val="1F4E79"/>
          <w:sz w:val="26"/>
          <w:szCs w:val="26"/>
        </w:rPr>
        <w:t xml:space="preserve">Problem Statement</w:t>
      </w:r>
    </w:p>
    <w:p>
      <w:pPr>
        <w:spacing w:after="60" w:before="60"/>
      </w:pPr>
      <w:r>
        <w:rPr>
          <w:rFonts w:ascii="Arial" w:cs="Arial" w:eastAsia="Arial" w:hAnsi="Arial"/>
          <w:sz w:val="19"/>
          <w:szCs w:val="19"/>
        </w:rPr>
        <w:t xml:space="preserve">The HAM10000 dataset illustrates the challenge starkly: common conditions like Melanocytic Nevi have 6,700+ samples, while rare ones like Dermatofibroma have fewer than 115. Standard CNNs overfit majority classes and fail entirely on minority rare classes. Data scarcity, class imbalance, and poor generalization account for over 70% of challenges in few-shot medical imaging. No systematic student-level benchmark currently measures the performance collapse curve or compares augmentation strategies as a mitigation — this project fills that gap.</w:t>
      </w:r>
    </w:p>
    <w:p>
      <w:pPr>
        <w:pStyle w:val="Heading1"/>
        <w:pBdr>
          <w:bottom w:val="single" w:color="2980B9" w:sz="8" w:space="2"/>
        </w:pBdr>
        <w:spacing w:after="80" w:before="200"/>
      </w:pPr>
      <w:r>
        <w:rPr>
          <w:rFonts w:ascii="Arial" w:cs="Arial" w:eastAsia="Arial" w:hAnsi="Arial"/>
          <w:b/>
          <w:bCs/>
          <w:color w:val="1F4E79"/>
          <w:sz w:val="26"/>
          <w:szCs w:val="26"/>
        </w:rPr>
        <w:t xml:space="preserve">Objectives</w:t>
      </w:r>
    </w:p>
    <w:p>
      <w:pPr>
        <w:pStyle w:val="ListParagraph"/>
        <w:numPr>
          <w:ilvl w:val="0"/>
          <w:numId w:val="2"/>
        </w:numPr>
        <w:spacing w:after="40" w:before="40"/>
      </w:pPr>
      <w:r>
        <w:rPr>
          <w:rFonts w:ascii="Arial" w:cs="Arial" w:eastAsia="Arial" w:hAnsi="Arial"/>
          <w:b w:val="false"/>
          <w:bCs w:val="false"/>
          <w:sz w:val="19"/>
          <w:szCs w:val="19"/>
        </w:rPr>
        <w:t xml:space="preserve">Implement and compare Prototypical Networks and Siamese Networks on HAM10000 under episodic (N-way K-shot) training.</w:t>
      </w:r>
    </w:p>
    <w:p>
      <w:pPr>
        <w:pStyle w:val="ListParagraph"/>
        <w:numPr>
          <w:ilvl w:val="0"/>
          <w:numId w:val="2"/>
        </w:numPr>
        <w:spacing w:after="40" w:before="40"/>
      </w:pPr>
      <w:r>
        <w:rPr>
          <w:rFonts w:ascii="Arial" w:cs="Arial" w:eastAsia="Arial" w:hAnsi="Arial"/>
          <w:b w:val="false"/>
          <w:bCs w:val="false"/>
          <w:sz w:val="19"/>
          <w:szCs w:val="19"/>
        </w:rPr>
        <w:t xml:space="preserve">Plot the performance collapse curve: macro F1-score vs. shots decreasing from 100 → 50 → 20 → 10 → 5 per class.</w:t>
      </w:r>
    </w:p>
    <w:p>
      <w:pPr>
        <w:pStyle w:val="ListParagraph"/>
        <w:numPr>
          <w:ilvl w:val="0"/>
          <w:numId w:val="2"/>
        </w:numPr>
        <w:spacing w:after="40" w:before="40"/>
      </w:pPr>
      <w:r>
        <w:rPr>
          <w:rFonts w:ascii="Arial" w:cs="Arial" w:eastAsia="Arial" w:hAnsi="Arial"/>
          <w:b w:val="false"/>
          <w:bCs w:val="false"/>
          <w:sz w:val="19"/>
          <w:szCs w:val="19"/>
        </w:rPr>
        <w:t xml:space="preserve">Evaluate three augmentation strategies — Geometric Transforms, Mixup, and CutMix — to identify which best preserves accuracy under extreme scarcity.</w:t>
      </w:r>
    </w:p>
    <w:p>
      <w:pPr>
        <w:pStyle w:val="ListParagraph"/>
        <w:numPr>
          <w:ilvl w:val="0"/>
          <w:numId w:val="2"/>
        </w:numPr>
        <w:spacing w:after="40" w:before="40"/>
      </w:pPr>
      <w:r>
        <w:rPr>
          <w:rFonts w:ascii="Arial" w:cs="Arial" w:eastAsia="Arial" w:hAnsi="Arial"/>
          <w:b w:val="false"/>
          <w:bCs w:val="false"/>
          <w:sz w:val="19"/>
          <w:szCs w:val="19"/>
        </w:rPr>
        <w:t xml:space="preserve">Benchmark FSL models against a fine-tuned ResNet-50 baseline under identical data-limited conditions.</w:t>
      </w:r>
    </w:p>
    <w:p>
      <w:pPr>
        <w:pStyle w:val="ListParagraph"/>
        <w:numPr>
          <w:ilvl w:val="0"/>
          <w:numId w:val="2"/>
        </w:numPr>
        <w:spacing w:after="40" w:before="40"/>
      </w:pPr>
      <w:r>
        <w:rPr>
          <w:rFonts w:ascii="Arial" w:cs="Arial" w:eastAsia="Arial" w:hAnsi="Arial"/>
          <w:b w:val="false"/>
          <w:bCs w:val="false"/>
          <w:sz w:val="19"/>
          <w:szCs w:val="19"/>
        </w:rPr>
        <w:t xml:space="preserve">Generate Grad-CAM visualizations to confirm models attend to clinically relevant lesion regions.</w:t>
      </w:r>
    </w:p>
    <w:p>
      <w:pPr>
        <w:pStyle w:val="ListParagraph"/>
        <w:numPr>
          <w:ilvl w:val="0"/>
          <w:numId w:val="2"/>
        </w:numPr>
        <w:spacing w:after="40" w:before="40"/>
      </w:pPr>
      <w:r>
        <w:rPr>
          <w:rFonts w:ascii="Arial" w:cs="Arial" w:eastAsia="Arial" w:hAnsi="Arial"/>
          <w:b w:val="false"/>
          <w:bCs w:val="false"/>
          <w:sz w:val="19"/>
          <w:szCs w:val="19"/>
        </w:rPr>
        <w:t xml:space="preserve">Identify the critical shot threshold — minimum samples per class before F1 drops below 0.70.</w:t>
      </w:r>
    </w:p>
    <w:p>
      <w:pPr>
        <w:pStyle w:val="Heading1"/>
        <w:pBdr>
          <w:bottom w:val="single" w:color="2980B9" w:sz="8" w:space="2"/>
        </w:pBdr>
        <w:spacing w:after="80" w:before="200"/>
      </w:pPr>
      <w:r>
        <w:rPr>
          <w:rFonts w:ascii="Arial" w:cs="Arial" w:eastAsia="Arial" w:hAnsi="Arial"/>
          <w:b/>
          <w:bCs/>
          <w:color w:val="1F4E79"/>
          <w:sz w:val="26"/>
          <w:szCs w:val="26"/>
        </w:rPr>
        <w:t xml:space="preserve">Methodology</w:t>
      </w:r>
    </w:p>
    <w:p>
      <w:pPr>
        <w:pStyle w:val="Heading2"/>
        <w:spacing w:after="80" w:before="140"/>
      </w:pPr>
      <w:r>
        <w:rPr>
          <w:rFonts w:ascii="Arial" w:cs="Arial" w:eastAsia="Arial" w:hAnsi="Arial"/>
          <w:b/>
          <w:bCs/>
          <w:color w:val="1F4E79"/>
          <w:sz w:val="22"/>
          <w:szCs w:val="22"/>
        </w:rPr>
        <w:t xml:space="preserve">Phase 1 — Dataset Preparation</w:t>
      </w:r>
    </w:p>
    <w:p>
      <w:pPr>
        <w:spacing w:after="60" w:before="60"/>
      </w:pPr>
      <w:r>
        <w:rPr>
          <w:rFonts w:ascii="Arial" w:cs="Arial" w:eastAsia="Arial" w:hAnsi="Arial"/>
          <w:sz w:val="19"/>
          <w:szCs w:val="19"/>
        </w:rPr>
        <w:t xml:space="preserve">HAM10000 (10,015 images, 7 classes) is downloaded from the ISIC archive. Three minority classes (Dermatofibroma, Vascular Lesions, Actinic Keratosis) are designated as rare. Images are resized to 224×224px and split into base classes for meta-training and novel rare classes for meta-testing.</w:t>
      </w:r>
    </w:p>
    <w:p>
      <w:pPr>
        <w:pStyle w:val="Heading2"/>
        <w:spacing w:after="80" w:before="140"/>
      </w:pPr>
      <w:r>
        <w:rPr>
          <w:rFonts w:ascii="Arial" w:cs="Arial" w:eastAsia="Arial" w:hAnsi="Arial"/>
          <w:b/>
          <w:bCs/>
          <w:color w:val="1F4E79"/>
          <w:sz w:val="22"/>
          <w:szCs w:val="22"/>
        </w:rPr>
        <w:t xml:space="preserve">Phase 2 — Baseline (ResNet-50)</w:t>
      </w:r>
    </w:p>
    <w:p>
      <w:pPr>
        <w:spacing w:after="60" w:before="60"/>
      </w:pPr>
      <w:r>
        <w:rPr>
          <w:rFonts w:ascii="Arial" w:cs="Arial" w:eastAsia="Arial" w:hAnsi="Arial"/>
          <w:sz w:val="19"/>
          <w:szCs w:val="19"/>
        </w:rPr>
        <w:t xml:space="preserve">A pretrained ResNet-50 is fine-tuned on progressively smaller subsets (100, 50, 20, 10, 5 samples per rare class) to establish the performance collapse curve under standard transfer learning.</w:t>
      </w:r>
    </w:p>
    <w:p>
      <w:pPr>
        <w:pStyle w:val="Heading2"/>
        <w:spacing w:after="80" w:before="140"/>
      </w:pPr>
      <w:r>
        <w:rPr>
          <w:rFonts w:ascii="Arial" w:cs="Arial" w:eastAsia="Arial" w:hAnsi="Arial"/>
          <w:b/>
          <w:bCs/>
          <w:color w:val="1F4E79"/>
          <w:sz w:val="22"/>
          <w:szCs w:val="22"/>
        </w:rPr>
        <w:t xml:space="preserve">Phase 3 — FSL Episodic Training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3520"/>
        <w:gridCol w:w="352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Model</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Mechanism</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Training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Prototypical Net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Mean embedding per class → nearest prototype (Euclidean)</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5-way 1-shot &amp; 5-way 5-shot episodes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Siamese Net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Twin CNN learns similarity between image pairs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5-way 1-shot &amp; 5-way 5-shot episodes</w:t>
            </w:r>
          </w:p>
        </w:tc>
      </w:tr>
    </w:tbl>
    <w:p>
      <w:pPr>
        <w:spacing w:after="60" w:before="100"/>
      </w:pPr>
      <w:r>
        <w:rPr>
          <w:rFonts w:ascii="Arial" w:cs="Arial" w:eastAsia="Arial" w:hAnsi="Arial"/>
          <w:sz w:val="19"/>
          <w:szCs w:val="19"/>
        </w:rPr>
        <w:t xml:space="preserve">Both models use a 4-layer CNN backbone (trained from scratch) and a pretrained ResNet-18 for comparison.</w:t>
      </w:r>
    </w:p>
    <w:p>
      <w:pPr>
        <w:pStyle w:val="Heading2"/>
        <w:spacing w:after="80" w:before="140"/>
      </w:pPr>
      <w:r>
        <w:rPr>
          <w:rFonts w:ascii="Arial" w:cs="Arial" w:eastAsia="Arial" w:hAnsi="Arial"/>
          <w:b/>
          <w:bCs/>
          <w:color w:val="1F4E79"/>
          <w:sz w:val="22"/>
          <w:szCs w:val="22"/>
        </w:rPr>
        <w:t xml:space="preserve">Phase 4 — Augmentation 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Strategy</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Geometric</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Random flips, ±30° rotation, 80% random crop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Mixup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Linear interpolation of two images &amp; labels with λ ~ Beta(0.4, 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CutMix</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Rectangular patch from one image pasted on another; labels mixed proportionally</w:t>
            </w:r>
          </w:p>
        </w:tc>
      </w:tr>
    </w:tbl>
    <w:p>
      <w:pPr>
        <w:pStyle w:val="Heading2"/>
        <w:spacing w:after="80" w:before="140"/>
      </w:pPr>
      <w:r>
        <w:rPr>
          <w:rFonts w:ascii="Arial" w:cs="Arial" w:eastAsia="Arial" w:hAnsi="Arial"/>
          <w:b/>
          <w:bCs/>
          <w:color w:val="1F4E79"/>
          <w:sz w:val="22"/>
          <w:szCs w:val="22"/>
        </w:rPr>
        <w:t xml:space="preserve">Phase 5 — Evaluation &amp; Explainability</w:t>
      </w:r>
    </w:p>
    <w:p>
      <w:pPr>
        <w:spacing w:after="60" w:before="60"/>
      </w:pPr>
      <w:r>
        <w:rPr>
          <w:rFonts w:ascii="Arial" w:cs="Arial" w:eastAsia="Arial" w:hAnsi="Arial"/>
          <w:sz w:val="19"/>
          <w:szCs w:val="19"/>
        </w:rPr>
        <w:t xml:space="preserve">Metrics: per-class accuracy, macro F1-score, precision-recall curves, confusion matrix. Grad-CAM heatmaps generated on query images to verify clinically meaningful model attention.</w:t>
      </w:r>
    </w:p>
    <w:p>
      <w:pPr>
        <w:pStyle w:val="Heading1"/>
        <w:pBdr>
          <w:bottom w:val="single" w:color="2980B9" w:sz="8" w:space="2"/>
        </w:pBdr>
        <w:spacing w:after="80" w:before="200"/>
      </w:pPr>
      <w:r>
        <w:rPr>
          <w:rFonts w:ascii="Arial" w:cs="Arial" w:eastAsia="Arial" w:hAnsi="Arial"/>
          <w:b/>
          <w:bCs/>
          <w:color w:val="1F4E79"/>
          <w:sz w:val="26"/>
          <w:szCs w:val="26"/>
        </w:rPr>
        <w:t xml:space="preserve">Requirements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320"/>
        <w:gridCol w:w="332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Component</w:t>
            </w:r>
          </w:p>
        </w:tc>
        <w:tc>
          <w:tcPr>
            <w:tcW w:type="dxa" w:w="3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Minimum</w:t>
            </w:r>
          </w:p>
        </w:tc>
        <w:tc>
          <w:tcPr>
            <w:tcW w:type="dxa" w:w="3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Recommended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Processor</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Intel Core i5 (8th gen)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Intel Core i7 / AMD Ryzen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RAM</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8 GB</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16 GB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GPU</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None (CPU-only feasible)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NVIDIA GTX 1650 / Colab T4</w:t>
            </w:r>
          </w:p>
        </w:tc>
      </w:tr>
    </w:tbl>
    <w:p>
      <w:pPr>
        <w:spacing w:after="60" w:before="80"/>
      </w:pPr>
      <w:r>
        <w:rPr>
          <w:rFonts w:ascii="Arial" w:cs="Arial" w:eastAsia="Arial" w:hAnsi="Arial"/>
          <w:sz w:val="19"/>
          <w:szCs w:val="19"/>
        </w:rPr>
        <w:t xml:space="preserve">Software: Python 3.9+, PyTorch 2.0+, torchvision, NumPy, Pandas, OpenCV, Matplotlib, scikit-learn, pytorch-grad-cam, Jupyter / Google Colab.</w:t>
      </w:r>
    </w:p>
    <w:p>
      <w:pPr>
        <w:spacing w:after="60" w:before="0"/>
      </w:pPr>
      <w:r>
        <w:rPr>
          <w:rFonts w:ascii="Arial" w:cs="Arial" w:eastAsia="Arial" w:hAnsi="Arial"/>
          <w:sz w:val="19"/>
          <w:szCs w:val="19"/>
        </w:rPr>
        <w:t xml:space="preserve">Dataset: HAM10000 (~2.5 GB), freely available at https://www.isic-archive.com under CC-BY-NC license.</w:t>
      </w:r>
    </w:p>
    <w:p>
      <w:pPr>
        <w:pStyle w:val="Heading1"/>
        <w:pBdr>
          <w:bottom w:val="single" w:color="2980B9" w:sz="8" w:space="2"/>
        </w:pBdr>
        <w:spacing w:after="80" w:before="200"/>
      </w:pPr>
      <w:r>
        <w:rPr>
          <w:rFonts w:ascii="Arial" w:cs="Arial" w:eastAsia="Arial" w:hAnsi="Arial"/>
          <w:b/>
          <w:bCs/>
          <w:color w:val="1F4E79"/>
          <w:sz w:val="26"/>
          <w:szCs w:val="26"/>
        </w:rPr>
        <w:t xml:space="preserve">Expected Outcomes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6160"/>
      </w:tblGrid>
      <w:tr>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Deliverable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Description</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Performance Collapse Curves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F1-score vs. shots graph; FSL models expected to hold F1 &gt; 0.65 at 5-shot vs. ResNet-50 dropping below 0.50</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Augmentation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Ranked comparison of Geometric / Mixup / CutMix at 5-shot with quantified improvement over no augmentation</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Model Benchmark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Prototypical vs. Siamese: per-class accuracy, macro F1, inference time across all shot levels</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Critical Shot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Minimum samples per class before each model's F1 falls below 0.70 (practical clinical labeling guide)</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Grad-CAM Visualizations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Heatmaps confirming lesion-focused attention vs. background artifacts in conventional models</w:t>
            </w:r>
          </w:p>
        </w:tc>
      </w:tr>
      <w:tr>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Extensible Codebase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Modular GitHub codebase; new rare disease classes addable with as few as 5 labeled samples</w:t>
            </w:r>
          </w:p>
        </w:tc>
      </w:tr>
    </w:tbl>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Few-Shot Learning for Rare Medical Conditions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4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2026-04-17T10:23:25.709Z</dcterms:created>
  <dcterms:modified xsi:type="dcterms:W3CDTF">2026-04-17T10:23:25.710Z</dcterms:modified>
</cp:coreProperties>
</file>

<file path=docProps/custom.xml><?xml version="1.0" encoding="utf-8"?>
<Properties xmlns="http://schemas.openxmlformats.org/officeDocument/2006/custom-properties" xmlns:vt="http://schemas.openxmlformats.org/officeDocument/2006/docPropsVTypes"/>
</file>