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D32B6" w14:textId="77777777" w:rsidR="00673193" w:rsidRPr="00673193" w:rsidRDefault="00673193" w:rsidP="00673193">
      <w:pPr>
        <w:spacing w:before="540" w:after="180"/>
        <w:textAlignment w:val="baseline"/>
        <w:outlineLvl w:val="2"/>
        <w:rPr>
          <w:rFonts w:ascii="Georgia" w:eastAsia="Times New Roman" w:hAnsi="Georgia" w:cs="Times New Roman"/>
          <w:b/>
          <w:bCs/>
          <w:color w:val="0A5167"/>
          <w:sz w:val="33"/>
          <w:szCs w:val="33"/>
        </w:rPr>
      </w:pPr>
      <w:r w:rsidRPr="00673193">
        <w:rPr>
          <w:rFonts w:ascii="Georgia" w:eastAsia="Times New Roman" w:hAnsi="Georgia" w:cs="Times New Roman"/>
          <w:b/>
          <w:bCs/>
          <w:color w:val="0A5167"/>
          <w:sz w:val="33"/>
          <w:szCs w:val="33"/>
        </w:rPr>
        <w:t>c. Personal Autonomy</w:t>
      </w:r>
    </w:p>
    <w:p w14:paraId="42AF74F7" w14:textId="77777777" w:rsidR="00673193" w:rsidRPr="00673193" w:rsidRDefault="00673193" w:rsidP="00673193">
      <w:pPr>
        <w:spacing w:after="360"/>
        <w:jc w:val="both"/>
        <w:textAlignment w:val="baseline"/>
        <w:rPr>
          <w:rFonts w:ascii="Georgia" w:eastAsia="Times New Roman" w:hAnsi="Georgia" w:cs="Times New Roman"/>
          <w:color w:val="000000"/>
        </w:rPr>
      </w:pPr>
      <w:r w:rsidRPr="00673193">
        <w:rPr>
          <w:rFonts w:ascii="Georgia" w:eastAsia="Times New Roman" w:hAnsi="Georgia" w:cs="Times New Roman"/>
          <w:color w:val="000000"/>
        </w:rPr>
        <w:t xml:space="preserve">Without question, </w:t>
      </w:r>
      <w:proofErr w:type="gramStart"/>
      <w:r w:rsidRPr="00673193">
        <w:rPr>
          <w:rFonts w:ascii="Georgia" w:eastAsia="Times New Roman" w:hAnsi="Georgia" w:cs="Times New Roman"/>
          <w:color w:val="000000"/>
        </w:rPr>
        <w:t>the majority of</w:t>
      </w:r>
      <w:proofErr w:type="gramEnd"/>
      <w:r w:rsidRPr="00673193">
        <w:rPr>
          <w:rFonts w:ascii="Georgia" w:eastAsia="Times New Roman" w:hAnsi="Georgia" w:cs="Times New Roman"/>
          <w:color w:val="000000"/>
        </w:rPr>
        <w:t xml:space="preserve"> contemporary work on autonomy has centered on analyses of the nature and normativity of personal autonomy. Personal autonomy (also referred to as ‘individual autonomy’) refers to a psychological property, the possession of which enables agents to reflect critically on their natures, </w:t>
      </w:r>
      <w:proofErr w:type="gramStart"/>
      <w:r w:rsidRPr="00673193">
        <w:rPr>
          <w:rFonts w:ascii="Georgia" w:eastAsia="Times New Roman" w:hAnsi="Georgia" w:cs="Times New Roman"/>
          <w:color w:val="000000"/>
        </w:rPr>
        <w:t>preferences</w:t>
      </w:r>
      <w:proofErr w:type="gramEnd"/>
      <w:r w:rsidRPr="00673193">
        <w:rPr>
          <w:rFonts w:ascii="Georgia" w:eastAsia="Times New Roman" w:hAnsi="Georgia" w:cs="Times New Roman"/>
          <w:color w:val="000000"/>
        </w:rPr>
        <w:t xml:space="preserve"> and ends, to locate their most authentic commitments, and to live consistently in accordance with these in the face of various forms of internal and external interference. Personally autonomous agents are said to possess heightened capacities for self-control, introspection, independence of judgment, and critical reflection; and to this extent personal autonomy is often put forth as an ideal of character or a virtue, the opposite of which is blind conformity, or not ‘being one’s own person.’</w:t>
      </w:r>
    </w:p>
    <w:p w14:paraId="60270384" w14:textId="77777777" w:rsidR="00673193" w:rsidRPr="00673193" w:rsidRDefault="00673193" w:rsidP="00673193">
      <w:pPr>
        <w:spacing w:after="360"/>
        <w:jc w:val="both"/>
        <w:textAlignment w:val="baseline"/>
        <w:rPr>
          <w:rFonts w:ascii="Georgia" w:eastAsia="Times New Roman" w:hAnsi="Georgia" w:cs="Times New Roman"/>
          <w:color w:val="000000"/>
        </w:rPr>
      </w:pPr>
      <w:r w:rsidRPr="00673193">
        <w:rPr>
          <w:rFonts w:ascii="Georgia" w:eastAsia="Times New Roman" w:hAnsi="Georgia" w:cs="Times New Roman"/>
          <w:color w:val="000000"/>
        </w:rPr>
        <w:t>As mentioned above, personal autonomy has an essential relation to authenticity: the personally autonomous agent is the agent who is effective in determining her life in accordance with her authentic self. Personal autonomy is thus constituted, on the one hand, by a cluster of related capacities (often termed ‘authenticity conditions’), centered on identifying one’s authentic nature or preferences and, on the other hand, by a cluster of capacities (often termed ‘competency conditions’) that are centered on being able effectively to live in accordance with these throughout one’s life in the face of various recalcitrant foreign influences. These capacities may be possessed singly or in unison, and often require a considerable amount of life experience to assume robust forms.</w:t>
      </w:r>
    </w:p>
    <w:p w14:paraId="53BECC59" w14:textId="77777777" w:rsidR="00673193" w:rsidRPr="00673193" w:rsidRDefault="00673193" w:rsidP="00673193">
      <w:pPr>
        <w:jc w:val="both"/>
        <w:textAlignment w:val="baseline"/>
        <w:rPr>
          <w:rFonts w:ascii="Georgia" w:eastAsia="Times New Roman" w:hAnsi="Georgia" w:cs="Times New Roman"/>
          <w:color w:val="000000"/>
        </w:rPr>
      </w:pPr>
      <w:r w:rsidRPr="00673193">
        <w:rPr>
          <w:rFonts w:ascii="Georgia" w:eastAsia="Times New Roman" w:hAnsi="Georgia" w:cs="Times New Roman"/>
          <w:color w:val="000000"/>
        </w:rPr>
        <w:t xml:space="preserve">One of the most intractable problems surrounding personal autonomy concerns the analysis of the authentic self (the ‘self’ in ‘self-determination’, as it were).  Some philosophers have claimed that no such self exists; and indeed, some philosophers claim that no self exists at all (for an overview of these problems, see Friedman 2003 and Mackenzie &amp; </w:t>
      </w:r>
      <w:proofErr w:type="spellStart"/>
      <w:r w:rsidRPr="00673193">
        <w:rPr>
          <w:rFonts w:ascii="Georgia" w:eastAsia="Times New Roman" w:hAnsi="Georgia" w:cs="Times New Roman"/>
          <w:color w:val="000000"/>
        </w:rPr>
        <w:t>Stoljar</w:t>
      </w:r>
      <w:proofErr w:type="spellEnd"/>
      <w:r w:rsidRPr="00673193">
        <w:rPr>
          <w:rFonts w:ascii="Georgia" w:eastAsia="Times New Roman" w:hAnsi="Georgia" w:cs="Times New Roman"/>
          <w:color w:val="000000"/>
        </w:rPr>
        <w:t xml:space="preserve"> 2000).  Most philosophers accept the possibility of the authentic self at least as a working hypothesis, however, and concentrate attention on the question of how authenticity is secured by an agent. The most popular and influential account is based on the work of Harry Frankfurt and Gerald Dworkin. According to their ‘hierarchical’ account, agents validate the various commitments (beliefs, values, desires, and so forth) that constitute their selves </w:t>
      </w:r>
      <w:r w:rsidRPr="00673193">
        <w:rPr>
          <w:rFonts w:ascii="inherit" w:eastAsia="Times New Roman" w:hAnsi="inherit" w:cs="Times New Roman"/>
          <w:i/>
          <w:iCs/>
          <w:color w:val="000000"/>
          <w:bdr w:val="none" w:sz="0" w:space="0" w:color="auto" w:frame="1"/>
        </w:rPr>
        <w:t>as</w:t>
      </w:r>
      <w:r w:rsidRPr="00673193">
        <w:rPr>
          <w:rFonts w:ascii="Georgia" w:eastAsia="Times New Roman" w:hAnsi="Georgia" w:cs="Times New Roman"/>
          <w:color w:val="000000"/>
        </w:rPr>
        <w:t> </w:t>
      </w:r>
      <w:r w:rsidRPr="00673193">
        <w:rPr>
          <w:rFonts w:ascii="inherit" w:eastAsia="Times New Roman" w:hAnsi="inherit" w:cs="Times New Roman"/>
          <w:i/>
          <w:iCs/>
          <w:color w:val="000000"/>
          <w:bdr w:val="none" w:sz="0" w:space="0" w:color="auto" w:frame="1"/>
        </w:rPr>
        <w:t>their own</w:t>
      </w:r>
      <w:r w:rsidRPr="00673193">
        <w:rPr>
          <w:rFonts w:ascii="Georgia" w:eastAsia="Times New Roman" w:hAnsi="Georgia" w:cs="Times New Roman"/>
          <w:color w:val="000000"/>
        </w:rPr>
        <w:t xml:space="preserve"> by a process of reflective endorsement. On this account, agents are said to possess first-order and second-order volitions. Our first-order volitions are what we want; and our second-order volitions are what we want to want. According to the hierarchical model, our first-order desires, commitments, and so on are authentic when they are validated by being in harmony with our second-order volitions: that is, when we want what we want to want. Following from this model, an agent is autonomous in relation to a given object when the agent </w:t>
      </w:r>
      <w:proofErr w:type="gramStart"/>
      <w:r w:rsidRPr="00673193">
        <w:rPr>
          <w:rFonts w:ascii="Georgia" w:eastAsia="Times New Roman" w:hAnsi="Georgia" w:cs="Times New Roman"/>
          <w:color w:val="000000"/>
        </w:rPr>
        <w:t>is able to</w:t>
      </w:r>
      <w:proofErr w:type="gramEnd"/>
      <w:r w:rsidRPr="00673193">
        <w:rPr>
          <w:rFonts w:ascii="Georgia" w:eastAsia="Times New Roman" w:hAnsi="Georgia" w:cs="Times New Roman"/>
          <w:color w:val="000000"/>
        </w:rPr>
        <w:t xml:space="preserve"> determine her first-order volitions (and corresponding behavior) by her second-order volitions. A simple example may help to illustrate the model. Say that I am a smoker. Although I enjoy lighting up, I do not reflectively endorse my smoking; I desire it, but I do not want to desire it. On the hierarchical model, smoking is not an aspect of my authentic self, because I do not reflectively endorse it; and to the extent that I am unable </w:t>
      </w:r>
      <w:r w:rsidRPr="00673193">
        <w:rPr>
          <w:rFonts w:ascii="Georgia" w:eastAsia="Times New Roman" w:hAnsi="Georgia" w:cs="Times New Roman"/>
          <w:color w:val="000000"/>
        </w:rPr>
        <w:lastRenderedPageBreak/>
        <w:t>to change my habits, I am not autonomous in relation to smoking. Conversely, if I can bring my first-order volitions into harmony (or identity) with my second-order volition, then my desire is authentic because it is reflectively endorsed; and to the extent that I can mold my behavior in accordance with my reflective will, I am autonomous in relation to smoking.  Persons who possess the requisite capacities to form authentic desires and effectively to generally live in accordance with them are autonomous agents according to this model (see Frankfurt 1971, 1999 and Dworkin 1988).</w:t>
      </w:r>
    </w:p>
    <w:p w14:paraId="59B253AA" w14:textId="77777777" w:rsidR="00673193" w:rsidRPr="00673193" w:rsidRDefault="00673193" w:rsidP="00673193">
      <w:pPr>
        <w:jc w:val="both"/>
        <w:textAlignment w:val="baseline"/>
        <w:rPr>
          <w:rFonts w:ascii="Georgia" w:eastAsia="Times New Roman" w:hAnsi="Georgia" w:cs="Times New Roman"/>
          <w:color w:val="000000"/>
        </w:rPr>
      </w:pPr>
      <w:r w:rsidRPr="00673193">
        <w:rPr>
          <w:rFonts w:ascii="Georgia" w:eastAsia="Times New Roman" w:hAnsi="Georgia" w:cs="Times New Roman"/>
          <w:color w:val="000000"/>
        </w:rPr>
        <w:t xml:space="preserve">The hierarchical model remains–in outline, at least–the leading account of authenticity undergirding most contemporary accounts of personal autonomy, although it has been attacked on many fronts. The primary objection tendered against this account is ‘the problem of origins.’ As we have seen, authentic selfhood as reflective endorsement holds that my authentic self is the self that I reflectively ratify: the self that I endorse as expressing, in a deep sense, who I fundamentally am or wish to be. The problem of origins arises when one attempts to explain how this act of reflective endorsement actually constitutes a break from </w:t>
      </w:r>
      <w:proofErr w:type="gramStart"/>
      <w:r w:rsidRPr="00673193">
        <w:rPr>
          <w:rFonts w:ascii="Georgia" w:eastAsia="Times New Roman" w:hAnsi="Georgia" w:cs="Times New Roman"/>
          <w:color w:val="000000"/>
        </w:rPr>
        <w:t>other-determination</w:t>
      </w:r>
      <w:proofErr w:type="gramEnd"/>
      <w:r w:rsidRPr="00673193">
        <w:rPr>
          <w:rFonts w:ascii="Georgia" w:eastAsia="Times New Roman" w:hAnsi="Georgia" w:cs="Times New Roman"/>
          <w:color w:val="000000"/>
        </w:rPr>
        <w:t xml:space="preserve"> (that is, from foreign influence). For, could it not be the case that what appears to me to be an independent act of reflective endorsement is </w:t>
      </w:r>
      <w:r w:rsidRPr="00673193">
        <w:rPr>
          <w:rFonts w:ascii="inherit" w:eastAsia="Times New Roman" w:hAnsi="inherit" w:cs="Times New Roman"/>
          <w:i/>
          <w:iCs/>
          <w:color w:val="000000"/>
          <w:bdr w:val="none" w:sz="0" w:space="0" w:color="auto" w:frame="1"/>
        </w:rPr>
        <w:t>itself</w:t>
      </w:r>
      <w:r w:rsidRPr="00673193">
        <w:rPr>
          <w:rFonts w:ascii="Georgia" w:eastAsia="Times New Roman" w:hAnsi="Georgia" w:cs="Times New Roman"/>
          <w:color w:val="000000"/>
        </w:rPr>
        <w:t xml:space="preserve"> conditioned by other-determining factors and therefore ultimately an other-determined act? If this is the case, then it doesn’t seem that the possession of autonomy or the making of autonomous choices is possible. In short, the problem is how to sustain an account of self-determination that is not threatened by the pervasive effects of </w:t>
      </w:r>
      <w:proofErr w:type="gramStart"/>
      <w:r w:rsidRPr="00673193">
        <w:rPr>
          <w:rFonts w:ascii="Georgia" w:eastAsia="Times New Roman" w:hAnsi="Georgia" w:cs="Times New Roman"/>
          <w:color w:val="000000"/>
        </w:rPr>
        <w:t>other-determination</w:t>
      </w:r>
      <w:proofErr w:type="gramEnd"/>
      <w:r w:rsidRPr="00673193">
        <w:rPr>
          <w:rFonts w:ascii="Georgia" w:eastAsia="Times New Roman" w:hAnsi="Georgia" w:cs="Times New Roman"/>
          <w:color w:val="000000"/>
        </w:rPr>
        <w:t xml:space="preserve"> (see Taylor 2005 for elaboration on the problem of origins and related sub-problems). Much work on theories of personal autonomy has been explicitly devoted to </w:t>
      </w:r>
      <w:proofErr w:type="gramStart"/>
      <w:r w:rsidRPr="00673193">
        <w:rPr>
          <w:rFonts w:ascii="Georgia" w:eastAsia="Times New Roman" w:hAnsi="Georgia" w:cs="Times New Roman"/>
          <w:color w:val="000000"/>
        </w:rPr>
        <w:t>addressing precisely</w:t>
      </w:r>
      <w:proofErr w:type="gramEnd"/>
      <w:r w:rsidRPr="00673193">
        <w:rPr>
          <w:rFonts w:ascii="Georgia" w:eastAsia="Times New Roman" w:hAnsi="Georgia" w:cs="Times New Roman"/>
          <w:color w:val="000000"/>
        </w:rPr>
        <w:t xml:space="preserve"> these sorts of difficulties.</w:t>
      </w:r>
    </w:p>
    <w:p w14:paraId="294078BA" w14:textId="77777777" w:rsidR="00673193" w:rsidRPr="00673193" w:rsidRDefault="00673193" w:rsidP="00673193">
      <w:pPr>
        <w:spacing w:after="360"/>
        <w:jc w:val="both"/>
        <w:textAlignment w:val="baseline"/>
        <w:rPr>
          <w:rFonts w:ascii="Georgia" w:eastAsia="Times New Roman" w:hAnsi="Georgia" w:cs="Times New Roman"/>
          <w:color w:val="000000"/>
        </w:rPr>
      </w:pPr>
      <w:r w:rsidRPr="00673193">
        <w:rPr>
          <w:rFonts w:ascii="Georgia" w:eastAsia="Times New Roman" w:hAnsi="Georgia" w:cs="Times New Roman"/>
          <w:color w:val="000000"/>
        </w:rPr>
        <w:t xml:space="preserve">Besides analyzing and clarifying the authenticity conditions necessary for autonomy, philosophers have also worked on providing a thorough account of the competency conditions necessary for the presence of autonomy (see Meyers 1989, Mele 1993, and </w:t>
      </w:r>
      <w:proofErr w:type="spellStart"/>
      <w:r w:rsidRPr="00673193">
        <w:rPr>
          <w:rFonts w:ascii="Georgia" w:eastAsia="Times New Roman" w:hAnsi="Georgia" w:cs="Times New Roman"/>
          <w:color w:val="000000"/>
        </w:rPr>
        <w:t>Berofsky</w:t>
      </w:r>
      <w:proofErr w:type="spellEnd"/>
      <w:r w:rsidRPr="00673193">
        <w:rPr>
          <w:rFonts w:ascii="Georgia" w:eastAsia="Times New Roman" w:hAnsi="Georgia" w:cs="Times New Roman"/>
          <w:color w:val="000000"/>
        </w:rPr>
        <w:t xml:space="preserve"> 1995). Competency conditions, as we have seen, are those capacities or conditions that need to be present </w:t>
      </w:r>
      <w:proofErr w:type="gramStart"/>
      <w:r w:rsidRPr="00673193">
        <w:rPr>
          <w:rFonts w:ascii="Georgia" w:eastAsia="Times New Roman" w:hAnsi="Georgia" w:cs="Times New Roman"/>
          <w:color w:val="000000"/>
        </w:rPr>
        <w:t>in order for</w:t>
      </w:r>
      <w:proofErr w:type="gramEnd"/>
      <w:r w:rsidRPr="00673193">
        <w:rPr>
          <w:rFonts w:ascii="Georgia" w:eastAsia="Times New Roman" w:hAnsi="Georgia" w:cs="Times New Roman"/>
          <w:color w:val="000000"/>
        </w:rPr>
        <w:t xml:space="preserve"> one to be effective in living according to one’s authentic self-conception in the face of various kinds of interference to that end.  Examples of competency conditions include self-control, logical aptitude, instrumental rationality, resolve, temperance, calmness, and a good memory.</w:t>
      </w:r>
    </w:p>
    <w:p w14:paraId="2964347D" w14:textId="77777777" w:rsidR="00673193" w:rsidRPr="00673193" w:rsidRDefault="00673193" w:rsidP="00673193">
      <w:pPr>
        <w:spacing w:after="360"/>
        <w:jc w:val="both"/>
        <w:textAlignment w:val="baseline"/>
        <w:rPr>
          <w:rFonts w:ascii="Georgia" w:eastAsia="Times New Roman" w:hAnsi="Georgia" w:cs="Times New Roman"/>
          <w:color w:val="000000"/>
        </w:rPr>
      </w:pPr>
      <w:r w:rsidRPr="00673193">
        <w:rPr>
          <w:rFonts w:ascii="Georgia" w:eastAsia="Times New Roman" w:hAnsi="Georgia" w:cs="Times New Roman"/>
          <w:color w:val="000000"/>
        </w:rPr>
        <w:t xml:space="preserve">In addition to authenticity and competency conditions, many theories of personal autonomy require the presence of certain external enabling conditions: that is, external or environmental (social, legal, familial, and so forth) conditions which are more than less out of the agent’s control, but which must be in place </w:t>
      </w:r>
      <w:proofErr w:type="gramStart"/>
      <w:r w:rsidRPr="00673193">
        <w:rPr>
          <w:rFonts w:ascii="Georgia" w:eastAsia="Times New Roman" w:hAnsi="Georgia" w:cs="Times New Roman"/>
          <w:color w:val="000000"/>
        </w:rPr>
        <w:t>in order for</w:t>
      </w:r>
      <w:proofErr w:type="gramEnd"/>
      <w:r w:rsidRPr="00673193">
        <w:rPr>
          <w:rFonts w:ascii="Georgia" w:eastAsia="Times New Roman" w:hAnsi="Georgia" w:cs="Times New Roman"/>
          <w:color w:val="000000"/>
        </w:rPr>
        <w:t xml:space="preserve"> fully autonomous living to be possible. Such enabling conditions include, for example, a modicum of social freedom, an array of substantive options for choice, the presence of authenticity-oriented social relations, and autonomy-supporting networks of social recognition and acknowledgment (see Raz 1986 and Anderson &amp; </w:t>
      </w:r>
      <w:proofErr w:type="spellStart"/>
      <w:r w:rsidRPr="00673193">
        <w:rPr>
          <w:rFonts w:ascii="Georgia" w:eastAsia="Times New Roman" w:hAnsi="Georgia" w:cs="Times New Roman"/>
          <w:color w:val="000000"/>
        </w:rPr>
        <w:t>Honneth</w:t>
      </w:r>
      <w:proofErr w:type="spellEnd"/>
      <w:r w:rsidRPr="00673193">
        <w:rPr>
          <w:rFonts w:ascii="Georgia" w:eastAsia="Times New Roman" w:hAnsi="Georgia" w:cs="Times New Roman"/>
          <w:color w:val="000000"/>
        </w:rPr>
        <w:t xml:space="preserve"> 2005). Without these conditions, effective autonomous living is said by some to be impossible, even where authenticity and competency conditions are robustly satisfied. Different autonomy theorists place different emphases on external enabling conditions. Some contend that external enabling is a necessary condition for autonomy (see Oshana 1998). Others hold that autonomy more properly concerns agential satisfaction of authenticity and competency conditions, regardless of whether the external environment allows for actual autonomous expression (see </w:t>
      </w:r>
      <w:proofErr w:type="spellStart"/>
      <w:r w:rsidRPr="00673193">
        <w:rPr>
          <w:rFonts w:ascii="Georgia" w:eastAsia="Times New Roman" w:hAnsi="Georgia" w:cs="Times New Roman"/>
          <w:color w:val="000000"/>
        </w:rPr>
        <w:t>Christman</w:t>
      </w:r>
      <w:proofErr w:type="spellEnd"/>
      <w:r w:rsidRPr="00673193">
        <w:rPr>
          <w:rFonts w:ascii="Georgia" w:eastAsia="Times New Roman" w:hAnsi="Georgia" w:cs="Times New Roman"/>
          <w:color w:val="000000"/>
        </w:rPr>
        <w:t xml:space="preserve"> 2007). Both views can claim some intuitive </w:t>
      </w:r>
      <w:r w:rsidRPr="00673193">
        <w:rPr>
          <w:rFonts w:ascii="Georgia" w:eastAsia="Times New Roman" w:hAnsi="Georgia" w:cs="Times New Roman"/>
          <w:color w:val="000000"/>
        </w:rPr>
        <w:lastRenderedPageBreak/>
        <w:t xml:space="preserve">support. On the one hand, it is reasonable to hold that it is only fitting to call a person ‘autonomous’ if that person is in fact effective in living according to her authentic self-conception. Yet, it also makes sense to call persons ‘autonomous’ who have formed an authentic self-conception and possess the requisite competency conditions effectively to express that </w:t>
      </w:r>
      <w:proofErr w:type="gramStart"/>
      <w:r w:rsidRPr="00673193">
        <w:rPr>
          <w:rFonts w:ascii="Georgia" w:eastAsia="Times New Roman" w:hAnsi="Georgia" w:cs="Times New Roman"/>
          <w:color w:val="000000"/>
        </w:rPr>
        <w:t>self-conception, but</w:t>
      </w:r>
      <w:proofErr w:type="gramEnd"/>
      <w:r w:rsidRPr="00673193">
        <w:rPr>
          <w:rFonts w:ascii="Georgia" w:eastAsia="Times New Roman" w:hAnsi="Georgia" w:cs="Times New Roman"/>
          <w:color w:val="000000"/>
        </w:rPr>
        <w:t xml:space="preserve"> happen to lack the contingent socio-relational conditions that allow for the expression of that authentic self. A possible solution to this impasse may be to avoid seeking hard and fast borders to the existence of autonomy, and say that autonomy is present in both cases, but is more robust where the proper external enabling conditions are in place.</w:t>
      </w:r>
    </w:p>
    <w:p w14:paraId="043E6CBD" w14:textId="77777777" w:rsidR="00673193" w:rsidRPr="00673193" w:rsidRDefault="00673193" w:rsidP="00673193">
      <w:pPr>
        <w:spacing w:after="360"/>
        <w:jc w:val="both"/>
        <w:textAlignment w:val="baseline"/>
        <w:rPr>
          <w:rFonts w:ascii="Georgia" w:eastAsia="Times New Roman" w:hAnsi="Georgia" w:cs="Times New Roman"/>
          <w:color w:val="000000"/>
        </w:rPr>
      </w:pPr>
      <w:r w:rsidRPr="00673193">
        <w:rPr>
          <w:rFonts w:ascii="Georgia" w:eastAsia="Times New Roman" w:hAnsi="Georgia" w:cs="Times New Roman"/>
          <w:color w:val="000000"/>
        </w:rPr>
        <w:t xml:space="preserve">The question of normative commitments associated with personal autonomy possession has also been a matter of some dispute. Many philosophers hold that autonomy is normatively content-neutral. According to this account, one (or one’s commitments) can be autonomous regardless of the values one endorses. On this account, one could commit to any kind of life–even the life of a slave–and still be autonomous (see, for example, Friedman 2003). Other philosophers hold that autonomy possession requires substantive normative constraints of some kind or other–at the very least, it is argued that one must value autonomy </w:t>
      </w:r>
      <w:proofErr w:type="gramStart"/>
      <w:r w:rsidRPr="00673193">
        <w:rPr>
          <w:rFonts w:ascii="Georgia" w:eastAsia="Times New Roman" w:hAnsi="Georgia" w:cs="Times New Roman"/>
          <w:color w:val="000000"/>
        </w:rPr>
        <w:t>in order to</w:t>
      </w:r>
      <w:proofErr w:type="gramEnd"/>
      <w:r w:rsidRPr="00673193">
        <w:rPr>
          <w:rFonts w:ascii="Georgia" w:eastAsia="Times New Roman" w:hAnsi="Georgia" w:cs="Times New Roman"/>
          <w:color w:val="000000"/>
        </w:rPr>
        <w:t xml:space="preserve"> be truly autonomous (see Oshana 2003). As with the debate just mentioned, both sides of this debate can claim some intuitive support; this can be shown through the asking of opposing but seemingly equally compelling (apparently rhetorical) questions; namely, ‘Can’t one autonomously choose whatever one wants?’, </w:t>
      </w:r>
      <w:proofErr w:type="gramStart"/>
      <w:r w:rsidRPr="00673193">
        <w:rPr>
          <w:rFonts w:ascii="Georgia" w:eastAsia="Times New Roman" w:hAnsi="Georgia" w:cs="Times New Roman"/>
          <w:color w:val="000000"/>
        </w:rPr>
        <w:t>and,</w:t>
      </w:r>
      <w:proofErr w:type="gramEnd"/>
      <w:r w:rsidRPr="00673193">
        <w:rPr>
          <w:rFonts w:ascii="Georgia" w:eastAsia="Times New Roman" w:hAnsi="Georgia" w:cs="Times New Roman"/>
          <w:color w:val="000000"/>
        </w:rPr>
        <w:t xml:space="preserve"> ‘How can we call someone autonomous who doesn’t value or seek autonomous living?’ One possible solution to this debate is to say that while almost any individual choice can be autonomous, persons cannot live autonomous lives </w:t>
      </w:r>
      <w:proofErr w:type="gramStart"/>
      <w:r w:rsidRPr="00673193">
        <w:rPr>
          <w:rFonts w:ascii="Georgia" w:eastAsia="Times New Roman" w:hAnsi="Georgia" w:cs="Times New Roman"/>
          <w:color w:val="000000"/>
        </w:rPr>
        <w:t>as a whole without</w:t>
      </w:r>
      <w:proofErr w:type="gramEnd"/>
      <w:r w:rsidRPr="00673193">
        <w:rPr>
          <w:rFonts w:ascii="Georgia" w:eastAsia="Times New Roman" w:hAnsi="Georgia" w:cs="Times New Roman"/>
          <w:color w:val="000000"/>
        </w:rPr>
        <w:t xml:space="preserve"> some commitment to the value of autonomy.</w:t>
      </w:r>
    </w:p>
    <w:p w14:paraId="69DE5384" w14:textId="77777777" w:rsidR="00673193" w:rsidRPr="00673193" w:rsidRDefault="00673193" w:rsidP="00673193">
      <w:pPr>
        <w:spacing w:after="360"/>
        <w:jc w:val="both"/>
        <w:textAlignment w:val="baseline"/>
        <w:rPr>
          <w:rFonts w:ascii="Georgia" w:eastAsia="Times New Roman" w:hAnsi="Georgia" w:cs="Times New Roman"/>
          <w:color w:val="000000"/>
        </w:rPr>
      </w:pPr>
      <w:r w:rsidRPr="00673193">
        <w:rPr>
          <w:rFonts w:ascii="Georgia" w:eastAsia="Times New Roman" w:hAnsi="Georgia" w:cs="Times New Roman"/>
          <w:color w:val="000000"/>
        </w:rPr>
        <w:t>Unlike moral and existentialist autonomy, personal autonomy is possessed in degrees, depending on the presence and strength of the constellation of internal capacities and external enabling conditions that make it possible. While not all persons possess personal autonomy, it is commonly claimed that virtually everyone–</w:t>
      </w:r>
      <w:proofErr w:type="gramStart"/>
      <w:r w:rsidRPr="00673193">
        <w:rPr>
          <w:rFonts w:ascii="Georgia" w:eastAsia="Times New Roman" w:hAnsi="Georgia" w:cs="Times New Roman"/>
          <w:color w:val="000000"/>
        </w:rPr>
        <w:t>with the exception of</w:t>
      </w:r>
      <w:proofErr w:type="gramEnd"/>
      <w:r w:rsidRPr="00673193">
        <w:rPr>
          <w:rFonts w:ascii="Georgia" w:eastAsia="Times New Roman" w:hAnsi="Georgia" w:cs="Times New Roman"/>
          <w:color w:val="000000"/>
        </w:rPr>
        <w:t xml:space="preserve"> the irredeemably pathological and the handicapped–possesses the capacity for personal autonomy. In addition, the links between personal autonomy possession and moral agency are usually said to be thin at best. Even those who hold that personal autonomy possession requires substantive normative commitments of some kind (such as, for example, a commitment to the value of autonomy itself), they usually hold that it is quite possible to be an autonomous villain. Some philosophers have argued that personal autonomy possession requires the presence of normative competency conditions that effectively provide agents with the capacity to distinguish right from wrong (see Wolf 1990), but this strong account is in general disfavor, and even if the account is correct, few would argue that this means that personally autonomous agents must also always act morally. In the face of this, one may wonder why autonomy-based claims are said to generate demands of respect upon others. This question will be dealt with in more detail in section 4 below.</w:t>
      </w:r>
    </w:p>
    <w:p w14:paraId="1136EC63" w14:textId="77777777" w:rsidR="00673193" w:rsidRPr="00673193" w:rsidRDefault="00673193" w:rsidP="00673193">
      <w:pPr>
        <w:spacing w:after="360"/>
        <w:jc w:val="both"/>
        <w:textAlignment w:val="baseline"/>
        <w:rPr>
          <w:rFonts w:ascii="Georgia" w:eastAsia="Times New Roman" w:hAnsi="Georgia" w:cs="Times New Roman"/>
          <w:color w:val="000000"/>
        </w:rPr>
      </w:pPr>
      <w:r w:rsidRPr="00673193">
        <w:rPr>
          <w:rFonts w:ascii="Georgia" w:eastAsia="Times New Roman" w:hAnsi="Georgia" w:cs="Times New Roman"/>
          <w:color w:val="000000"/>
        </w:rPr>
        <w:t xml:space="preserve">Lastly, a word should be given on the relation between personal autonomy and freedom (or liberty, which is here taken to be synonymous with freedom). Although it is not </w:t>
      </w:r>
      <w:r w:rsidRPr="00673193">
        <w:rPr>
          <w:rFonts w:ascii="Georgia" w:eastAsia="Times New Roman" w:hAnsi="Georgia" w:cs="Times New Roman"/>
          <w:color w:val="000000"/>
        </w:rPr>
        <w:lastRenderedPageBreak/>
        <w:t>uncommon to find the terms ‘(personal) autonomy’ and ‘freedom’ used essentially synonymously, there are some important differences between them.</w:t>
      </w:r>
    </w:p>
    <w:p w14:paraId="031747FE" w14:textId="77777777" w:rsidR="00673193" w:rsidRPr="00673193" w:rsidRDefault="00673193" w:rsidP="00673193">
      <w:pPr>
        <w:jc w:val="both"/>
        <w:textAlignment w:val="baseline"/>
        <w:rPr>
          <w:rFonts w:ascii="Georgia" w:eastAsia="Times New Roman" w:hAnsi="Georgia" w:cs="Times New Roman"/>
          <w:color w:val="000000"/>
        </w:rPr>
      </w:pPr>
      <w:proofErr w:type="gramStart"/>
      <w:r w:rsidRPr="00673193">
        <w:rPr>
          <w:rFonts w:ascii="Georgia" w:eastAsia="Times New Roman" w:hAnsi="Georgia" w:cs="Times New Roman"/>
          <w:color w:val="000000"/>
        </w:rPr>
        <w:t>More often than not</w:t>
      </w:r>
      <w:proofErr w:type="gramEnd"/>
      <w:r w:rsidRPr="00673193">
        <w:rPr>
          <w:rFonts w:ascii="Georgia" w:eastAsia="Times New Roman" w:hAnsi="Georgia" w:cs="Times New Roman"/>
          <w:color w:val="000000"/>
        </w:rPr>
        <w:t>, to claim that a person is free is to claim that she is </w:t>
      </w:r>
      <w:r w:rsidRPr="00673193">
        <w:rPr>
          <w:rFonts w:ascii="inherit" w:eastAsia="Times New Roman" w:hAnsi="inherit" w:cs="Times New Roman"/>
          <w:i/>
          <w:iCs/>
          <w:color w:val="000000"/>
          <w:bdr w:val="none" w:sz="0" w:space="0" w:color="auto" w:frame="1"/>
        </w:rPr>
        <w:t>negatively</w:t>
      </w:r>
      <w:r w:rsidRPr="00673193">
        <w:rPr>
          <w:rFonts w:ascii="Georgia" w:eastAsia="Times New Roman" w:hAnsi="Georgia" w:cs="Times New Roman"/>
          <w:color w:val="000000"/>
        </w:rPr>
        <w:t> free in the sense that she is not constrained by internal or external forces that hinder making a choice and executing it in action. There is a clear distinction between autonomy and negative freedom, however, given that autonomy refers to the presence of a capacity for effective authentic living, and negative freedom refers to a lack of constraints on action.  It is entirely possible for a person to be free in this negative sense but nonautonomous, or–on accounts that do not require the presence of external enabling conditions for autonomy to be present–for a person to be autonomous but not (negatively) free.</w:t>
      </w:r>
    </w:p>
    <w:p w14:paraId="2F318D54" w14:textId="77777777" w:rsidR="00673193" w:rsidRPr="00673193" w:rsidRDefault="00673193" w:rsidP="00673193">
      <w:pPr>
        <w:spacing w:after="360"/>
        <w:jc w:val="both"/>
        <w:textAlignment w:val="baseline"/>
        <w:rPr>
          <w:rFonts w:ascii="Georgia" w:eastAsia="Times New Roman" w:hAnsi="Georgia" w:cs="Times New Roman"/>
          <w:color w:val="000000"/>
        </w:rPr>
      </w:pPr>
      <w:r w:rsidRPr="00673193">
        <w:rPr>
          <w:rFonts w:ascii="Georgia" w:eastAsia="Times New Roman" w:hAnsi="Georgia" w:cs="Times New Roman"/>
          <w:color w:val="000000"/>
        </w:rPr>
        <w:t xml:space="preserve">Some writers also speak of positive freedom, and here the connections with autonomy become much deeper. Speaking very generally, to be free in this sense is to possess the abilities, capacities, knowledge, </w:t>
      </w:r>
      <w:proofErr w:type="gramStart"/>
      <w:r w:rsidRPr="00673193">
        <w:rPr>
          <w:rFonts w:ascii="Georgia" w:eastAsia="Times New Roman" w:hAnsi="Georgia" w:cs="Times New Roman"/>
          <w:color w:val="000000"/>
        </w:rPr>
        <w:t>entitlements</w:t>
      </w:r>
      <w:proofErr w:type="gramEnd"/>
      <w:r w:rsidRPr="00673193">
        <w:rPr>
          <w:rFonts w:ascii="Georgia" w:eastAsia="Times New Roman" w:hAnsi="Georgia" w:cs="Times New Roman"/>
          <w:color w:val="000000"/>
        </w:rPr>
        <w:t xml:space="preserve"> or skills necessary for the achievement of a given end. For example, I am only (positively) free to win an Olympic gold medal in archery if I am extremely skilled in the sport. Here it should be clear that one can be positively free in many ways and yet not be autonomous. Some philosophers, however, following Isaiah Berlin (Berlin 1948), have described positive freedom in such a way that it becomes basically synonymous with personal autonomy. Like autonomy, the conception of freedom that is operative </w:t>
      </w:r>
      <w:proofErr w:type="gramStart"/>
      <w:r w:rsidRPr="00673193">
        <w:rPr>
          <w:rFonts w:ascii="Georgia" w:eastAsia="Times New Roman" w:hAnsi="Georgia" w:cs="Times New Roman"/>
          <w:color w:val="000000"/>
        </w:rPr>
        <w:t>in a given</w:t>
      </w:r>
      <w:proofErr w:type="gramEnd"/>
      <w:r w:rsidRPr="00673193">
        <w:rPr>
          <w:rFonts w:ascii="Georgia" w:eastAsia="Times New Roman" w:hAnsi="Georgia" w:cs="Times New Roman"/>
          <w:color w:val="000000"/>
        </w:rPr>
        <w:t xml:space="preserve"> discussion can vary considerably; but more often than not personal autonomy is distinguished from freedom by the necessary presence, in the former, of a connection to the authenticity of the agent’s self-conception and life-plan–a connection that is usually not found in conceptions of freedom.</w:t>
      </w:r>
    </w:p>
    <w:p w14:paraId="11F84517" w14:textId="77777777" w:rsidR="00673193" w:rsidRDefault="00673193"/>
    <w:sectPr w:rsidR="00673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93"/>
    <w:rsid w:val="00673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DFEA1C"/>
  <w15:chartTrackingRefBased/>
  <w15:docId w15:val="{25132E2A-FDFB-EA49-AF73-EC879DA7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319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31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319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731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80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1902</Words>
  <Characters>10843</Characters>
  <Application>Microsoft Office Word</Application>
  <DocSecurity>0</DocSecurity>
  <Lines>90</Lines>
  <Paragraphs>25</Paragraphs>
  <ScaleCrop>false</ScaleCrop>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Muthhukumar Malaiiyyappan</dc:creator>
  <cp:keywords/>
  <dc:description/>
  <cp:lastModifiedBy>Muthhukumar Malaiiyyappan</cp:lastModifiedBy>
  <cp:revision>1</cp:revision>
  <dcterms:created xsi:type="dcterms:W3CDTF">2022-11-15T17:25:00Z</dcterms:created>
  <dcterms:modified xsi:type="dcterms:W3CDTF">2022-11-15T17:25:00Z</dcterms:modified>
</cp:coreProperties>
</file>