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56" w:rsidRDefault="00253556" w:rsidP="00253556">
      <w:pPr>
        <w:tabs>
          <w:tab w:val="left" w:pos="3071"/>
        </w:tabs>
        <w:jc w:val="center"/>
        <w:rPr>
          <w:rFonts w:asciiTheme="majorBidi" w:hAnsiTheme="majorBidi" w:cstheme="majorBidi"/>
          <w:b/>
          <w:bCs/>
          <w:color w:val="2F5496" w:themeColor="accent1" w:themeShade="BF"/>
          <w:sz w:val="40"/>
          <w:szCs w:val="40"/>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203200</wp:posOffset>
            </wp:positionV>
            <wp:extent cx="2131695" cy="1536700"/>
            <wp:effectExtent l="0" t="0" r="1905" b="6350"/>
            <wp:wrapSquare wrapText="bothSides"/>
            <wp:docPr id="1" name="Picture 1" descr="Digital Empowerment Networ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Empowerment Network | LinkedIn"/>
                    <pic:cNvPicPr>
                      <a:picLocks noChangeAspect="1" noChangeArrowheads="1"/>
                    </pic:cNvPicPr>
                  </pic:nvPicPr>
                  <pic:blipFill rotWithShape="1">
                    <a:blip r:embed="rId5">
                      <a:extLst>
                        <a:ext uri="{28A0092B-C50C-407E-A947-70E740481C1C}">
                          <a14:useLocalDpi xmlns:a14="http://schemas.microsoft.com/office/drawing/2010/main" val="0"/>
                        </a:ext>
                      </a:extLst>
                    </a:blip>
                    <a:srcRect l="8892" t="31778" b="25750"/>
                    <a:stretch/>
                  </pic:blipFill>
                  <pic:spPr bwMode="auto">
                    <a:xfrm>
                      <a:off x="0" y="0"/>
                      <a:ext cx="2131695" cy="1536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53556" w:rsidRDefault="00253556" w:rsidP="00253556">
      <w:pPr>
        <w:tabs>
          <w:tab w:val="left" w:pos="3071"/>
        </w:tabs>
        <w:jc w:val="center"/>
        <w:rPr>
          <w:rFonts w:asciiTheme="majorBidi" w:hAnsiTheme="majorBidi" w:cstheme="majorBidi"/>
          <w:b/>
          <w:bCs/>
          <w:color w:val="2F5496" w:themeColor="accent1" w:themeShade="BF"/>
          <w:sz w:val="40"/>
          <w:szCs w:val="40"/>
        </w:rPr>
      </w:pPr>
    </w:p>
    <w:p w:rsidR="00253556" w:rsidRDefault="00253556" w:rsidP="00253556">
      <w:pPr>
        <w:tabs>
          <w:tab w:val="left" w:pos="3071"/>
        </w:tabs>
        <w:jc w:val="center"/>
        <w:rPr>
          <w:rFonts w:asciiTheme="majorBidi" w:hAnsiTheme="majorBidi" w:cstheme="majorBidi"/>
          <w:b/>
          <w:bCs/>
          <w:color w:val="2F5496" w:themeColor="accent1" w:themeShade="BF"/>
          <w:sz w:val="40"/>
          <w:szCs w:val="40"/>
        </w:rPr>
      </w:pPr>
    </w:p>
    <w:p w:rsidR="00253556" w:rsidRDefault="00253556" w:rsidP="00253556">
      <w:pPr>
        <w:tabs>
          <w:tab w:val="left" w:pos="3071"/>
        </w:tabs>
        <w:jc w:val="center"/>
        <w:rPr>
          <w:rFonts w:asciiTheme="majorBidi" w:hAnsiTheme="majorBidi" w:cstheme="majorBidi"/>
          <w:b/>
          <w:bCs/>
          <w:color w:val="2F5496" w:themeColor="accent1" w:themeShade="BF"/>
          <w:sz w:val="40"/>
          <w:szCs w:val="40"/>
        </w:rPr>
      </w:pPr>
    </w:p>
    <w:p w:rsidR="00253556" w:rsidRDefault="00253556" w:rsidP="00253556">
      <w:pPr>
        <w:tabs>
          <w:tab w:val="left" w:pos="3071"/>
        </w:tabs>
        <w:jc w:val="center"/>
        <w:rPr>
          <w:rFonts w:asciiTheme="majorBidi" w:hAnsiTheme="majorBidi" w:cstheme="majorBidi"/>
          <w:b/>
          <w:bCs/>
          <w:color w:val="2F5496" w:themeColor="accent1" w:themeShade="BF"/>
          <w:sz w:val="40"/>
          <w:szCs w:val="40"/>
        </w:rPr>
      </w:pPr>
    </w:p>
    <w:p w:rsidR="00253556" w:rsidRPr="00E04DC0" w:rsidRDefault="00253556" w:rsidP="00253556">
      <w:pPr>
        <w:tabs>
          <w:tab w:val="left" w:pos="3071"/>
        </w:tabs>
        <w:jc w:val="center"/>
        <w:rPr>
          <w:rFonts w:asciiTheme="majorBidi" w:hAnsiTheme="majorBidi" w:cstheme="majorBidi"/>
          <w:b/>
          <w:bCs/>
          <w:color w:val="7030A0"/>
          <w:sz w:val="40"/>
          <w:szCs w:val="40"/>
        </w:rPr>
      </w:pPr>
      <w:r w:rsidRPr="00E04DC0">
        <w:rPr>
          <w:rFonts w:asciiTheme="majorBidi" w:hAnsiTheme="majorBidi" w:cstheme="majorBidi"/>
          <w:b/>
          <w:bCs/>
          <w:color w:val="7030A0"/>
          <w:sz w:val="40"/>
          <w:szCs w:val="40"/>
        </w:rPr>
        <w:t>Batch # 3</w:t>
      </w:r>
    </w:p>
    <w:p w:rsidR="00253556" w:rsidRPr="00E04DC0" w:rsidRDefault="00253556" w:rsidP="00253556">
      <w:pPr>
        <w:tabs>
          <w:tab w:val="left" w:pos="3071"/>
        </w:tabs>
        <w:jc w:val="center"/>
        <w:rPr>
          <w:rFonts w:asciiTheme="majorBidi" w:hAnsiTheme="majorBidi" w:cstheme="majorBidi"/>
          <w:b/>
          <w:bCs/>
          <w:color w:val="7030A0"/>
          <w:sz w:val="40"/>
          <w:szCs w:val="40"/>
        </w:rPr>
      </w:pPr>
      <w:r w:rsidRPr="00E04DC0">
        <w:rPr>
          <w:rFonts w:asciiTheme="majorBidi" w:hAnsiTheme="majorBidi" w:cstheme="majorBidi"/>
          <w:b/>
          <w:bCs/>
          <w:color w:val="7030A0"/>
          <w:sz w:val="40"/>
          <w:szCs w:val="40"/>
        </w:rPr>
        <w:t>Internship</w:t>
      </w:r>
    </w:p>
    <w:p w:rsidR="00253556" w:rsidRPr="00E04DC0" w:rsidRDefault="00253556" w:rsidP="00253556">
      <w:pPr>
        <w:tabs>
          <w:tab w:val="left" w:pos="3071"/>
        </w:tabs>
        <w:jc w:val="center"/>
        <w:rPr>
          <w:rFonts w:asciiTheme="majorBidi" w:hAnsiTheme="majorBidi" w:cstheme="majorBidi"/>
          <w:b/>
          <w:bCs/>
          <w:color w:val="7030A0"/>
          <w:sz w:val="36"/>
          <w:szCs w:val="36"/>
        </w:rPr>
      </w:pPr>
      <w:r w:rsidRPr="00E04DC0">
        <w:rPr>
          <w:rFonts w:asciiTheme="majorBidi" w:hAnsiTheme="majorBidi" w:cstheme="majorBidi"/>
          <w:b/>
          <w:bCs/>
          <w:color w:val="7030A0"/>
          <w:sz w:val="40"/>
          <w:szCs w:val="40"/>
        </w:rPr>
        <w:t xml:space="preserve"> Finance</w:t>
      </w:r>
    </w:p>
    <w:p w:rsidR="00253556" w:rsidRPr="00E04DC0" w:rsidRDefault="00253556" w:rsidP="00253556">
      <w:pPr>
        <w:tabs>
          <w:tab w:val="left" w:pos="3071"/>
        </w:tabs>
        <w:jc w:val="center"/>
        <w:rPr>
          <w:rFonts w:asciiTheme="majorBidi" w:hAnsiTheme="majorBidi" w:cstheme="majorBidi"/>
          <w:color w:val="7030A0"/>
          <w:sz w:val="36"/>
          <w:szCs w:val="36"/>
        </w:rPr>
      </w:pPr>
      <w:bookmarkStart w:id="0" w:name="_GoBack"/>
      <w:bookmarkEnd w:id="0"/>
    </w:p>
    <w:p w:rsidR="00253556" w:rsidRPr="00E04DC0" w:rsidRDefault="00253556" w:rsidP="00253556">
      <w:pPr>
        <w:tabs>
          <w:tab w:val="left" w:pos="3071"/>
        </w:tabs>
        <w:jc w:val="center"/>
        <w:rPr>
          <w:rFonts w:asciiTheme="majorBidi" w:hAnsiTheme="majorBidi" w:cstheme="majorBidi"/>
          <w:color w:val="7030A0"/>
          <w:sz w:val="36"/>
          <w:szCs w:val="36"/>
        </w:rPr>
      </w:pPr>
      <w:r w:rsidRPr="00E04DC0">
        <w:rPr>
          <w:rFonts w:asciiTheme="majorBidi" w:hAnsiTheme="majorBidi" w:cstheme="majorBidi"/>
          <w:b/>
          <w:bCs/>
          <w:color w:val="7030A0"/>
          <w:sz w:val="36"/>
          <w:szCs w:val="36"/>
        </w:rPr>
        <w:t>Submitted to:</w:t>
      </w:r>
      <w:r w:rsidRPr="00E04DC0">
        <w:rPr>
          <w:rFonts w:asciiTheme="majorBidi" w:hAnsiTheme="majorBidi" w:cstheme="majorBidi"/>
          <w:color w:val="7030A0"/>
          <w:sz w:val="36"/>
          <w:szCs w:val="36"/>
        </w:rPr>
        <w:t xml:space="preserve"> Digital Empowerment Network</w:t>
      </w:r>
    </w:p>
    <w:p w:rsidR="00253556" w:rsidRPr="00E04DC0" w:rsidRDefault="00253556" w:rsidP="00253556">
      <w:pPr>
        <w:tabs>
          <w:tab w:val="left" w:pos="3071"/>
        </w:tabs>
        <w:jc w:val="center"/>
        <w:rPr>
          <w:rFonts w:asciiTheme="majorBidi" w:hAnsiTheme="majorBidi" w:cstheme="majorBidi"/>
          <w:color w:val="7030A0"/>
          <w:sz w:val="36"/>
          <w:szCs w:val="36"/>
        </w:rPr>
      </w:pPr>
      <w:r w:rsidRPr="00E04DC0">
        <w:rPr>
          <w:rFonts w:asciiTheme="majorBidi" w:hAnsiTheme="majorBidi" w:cstheme="majorBidi"/>
          <w:b/>
          <w:bCs/>
          <w:color w:val="7030A0"/>
          <w:sz w:val="36"/>
          <w:szCs w:val="36"/>
        </w:rPr>
        <w:t>Submitted By:</w:t>
      </w:r>
      <w:r w:rsidRPr="00E04DC0">
        <w:rPr>
          <w:rFonts w:asciiTheme="majorBidi" w:hAnsiTheme="majorBidi" w:cstheme="majorBidi"/>
          <w:color w:val="7030A0"/>
          <w:sz w:val="36"/>
          <w:szCs w:val="36"/>
        </w:rPr>
        <w:t xml:space="preserve"> Malaika Tariq </w:t>
      </w:r>
    </w:p>
    <w:p w:rsidR="00253556" w:rsidRPr="00E04DC0" w:rsidRDefault="00253556" w:rsidP="00253556">
      <w:pPr>
        <w:tabs>
          <w:tab w:val="left" w:pos="3071"/>
        </w:tabs>
        <w:jc w:val="center"/>
        <w:rPr>
          <w:rFonts w:asciiTheme="majorBidi" w:hAnsiTheme="majorBidi" w:cstheme="majorBidi"/>
          <w:b/>
          <w:bCs/>
          <w:color w:val="7030A0"/>
          <w:sz w:val="36"/>
          <w:szCs w:val="36"/>
        </w:rPr>
      </w:pPr>
      <w:r w:rsidRPr="00E04DC0">
        <w:rPr>
          <w:rFonts w:asciiTheme="majorBidi" w:hAnsiTheme="majorBidi" w:cstheme="majorBidi"/>
          <w:b/>
          <w:bCs/>
          <w:color w:val="7030A0"/>
          <w:sz w:val="36"/>
          <w:szCs w:val="36"/>
        </w:rPr>
        <w:t>CID: DEN8466</w:t>
      </w:r>
    </w:p>
    <w:p w:rsidR="00EF7A5E" w:rsidRPr="00E04DC0" w:rsidRDefault="00EF7A5E" w:rsidP="00253556">
      <w:pPr>
        <w:tabs>
          <w:tab w:val="left" w:pos="3071"/>
        </w:tabs>
        <w:jc w:val="center"/>
        <w:rPr>
          <w:rFonts w:asciiTheme="majorBidi" w:hAnsiTheme="majorBidi" w:cstheme="majorBidi"/>
          <w:b/>
          <w:bCs/>
          <w:color w:val="7030A0"/>
          <w:sz w:val="36"/>
          <w:szCs w:val="36"/>
        </w:rPr>
      </w:pPr>
    </w:p>
    <w:p w:rsidR="00EF7A5E" w:rsidRPr="00E04DC0" w:rsidRDefault="00EF7A5E" w:rsidP="00253556">
      <w:pPr>
        <w:tabs>
          <w:tab w:val="left" w:pos="3071"/>
        </w:tabs>
        <w:jc w:val="center"/>
        <w:rPr>
          <w:rFonts w:asciiTheme="majorBidi" w:hAnsiTheme="majorBidi" w:cstheme="majorBidi"/>
          <w:b/>
          <w:bCs/>
          <w:color w:val="7030A0"/>
          <w:sz w:val="36"/>
          <w:szCs w:val="36"/>
        </w:rPr>
      </w:pPr>
    </w:p>
    <w:p w:rsidR="00253556" w:rsidRPr="00E04DC0" w:rsidRDefault="00253556" w:rsidP="00EF7A5E">
      <w:pPr>
        <w:jc w:val="center"/>
        <w:rPr>
          <w:rFonts w:asciiTheme="majorBidi" w:hAnsiTheme="majorBidi" w:cstheme="majorBidi"/>
          <w:b/>
          <w:bCs/>
          <w:color w:val="7030A0"/>
          <w:sz w:val="36"/>
          <w:szCs w:val="36"/>
        </w:rPr>
      </w:pPr>
      <w:r w:rsidRPr="00E04DC0">
        <w:rPr>
          <w:rFonts w:asciiTheme="majorBidi" w:hAnsiTheme="majorBidi" w:cstheme="majorBidi"/>
          <w:b/>
          <w:bCs/>
          <w:color w:val="7030A0"/>
          <w:sz w:val="36"/>
          <w:szCs w:val="36"/>
        </w:rPr>
        <w:t>Task 4</w:t>
      </w:r>
    </w:p>
    <w:p w:rsidR="00253556" w:rsidRPr="00E04DC0" w:rsidRDefault="00253556" w:rsidP="00EF7A5E">
      <w:pPr>
        <w:jc w:val="center"/>
        <w:rPr>
          <w:rFonts w:asciiTheme="majorBidi" w:hAnsiTheme="majorBidi" w:cstheme="majorBidi"/>
          <w:color w:val="7030A0"/>
          <w:sz w:val="32"/>
          <w:szCs w:val="32"/>
        </w:rPr>
      </w:pPr>
      <w:r w:rsidRPr="00E04DC0">
        <w:rPr>
          <w:rFonts w:asciiTheme="majorBidi" w:hAnsiTheme="majorBidi" w:cstheme="majorBidi"/>
          <w:color w:val="7030A0"/>
          <w:sz w:val="32"/>
          <w:szCs w:val="32"/>
        </w:rPr>
        <w:t>Compare Financial Performance of Two Companies</w:t>
      </w:r>
    </w:p>
    <w:p w:rsidR="00253556" w:rsidRPr="00E04DC0" w:rsidRDefault="00253556" w:rsidP="00EF7A5E">
      <w:pPr>
        <w:jc w:val="center"/>
        <w:rPr>
          <w:rFonts w:asciiTheme="majorBidi" w:hAnsiTheme="majorBidi" w:cstheme="majorBidi"/>
          <w:b/>
          <w:bCs/>
          <w:color w:val="7030A0"/>
          <w:sz w:val="36"/>
          <w:szCs w:val="36"/>
        </w:rPr>
      </w:pPr>
      <w:r w:rsidRPr="00E04DC0">
        <w:rPr>
          <w:rFonts w:asciiTheme="majorBidi" w:hAnsiTheme="majorBidi" w:cstheme="majorBidi"/>
          <w:b/>
          <w:bCs/>
          <w:color w:val="7030A0"/>
          <w:sz w:val="36"/>
          <w:szCs w:val="36"/>
        </w:rPr>
        <w:t>Key Steps:</w:t>
      </w:r>
    </w:p>
    <w:p w:rsidR="00253556" w:rsidRPr="00E04DC0" w:rsidRDefault="00253556" w:rsidP="00EF7A5E">
      <w:pPr>
        <w:jc w:val="center"/>
        <w:rPr>
          <w:rFonts w:asciiTheme="majorBidi" w:hAnsiTheme="majorBidi" w:cstheme="majorBidi"/>
          <w:color w:val="7030A0"/>
          <w:sz w:val="32"/>
          <w:szCs w:val="32"/>
        </w:rPr>
      </w:pPr>
      <w:r w:rsidRPr="00E04DC0">
        <w:rPr>
          <w:rFonts w:asciiTheme="majorBidi" w:hAnsiTheme="majorBidi" w:cstheme="majorBidi"/>
          <w:color w:val="7030A0"/>
          <w:sz w:val="32"/>
          <w:szCs w:val="32"/>
        </w:rPr>
        <w:t>Compare their financial performance using 3-5 financial</w:t>
      </w:r>
    </w:p>
    <w:p w:rsidR="00253556" w:rsidRPr="00E04DC0" w:rsidRDefault="00EF7A5E" w:rsidP="00EF7A5E">
      <w:pPr>
        <w:jc w:val="center"/>
        <w:rPr>
          <w:rFonts w:asciiTheme="majorBidi" w:hAnsiTheme="majorBidi" w:cstheme="majorBidi"/>
          <w:color w:val="7030A0"/>
          <w:sz w:val="32"/>
          <w:szCs w:val="32"/>
        </w:rPr>
      </w:pPr>
      <w:r w:rsidRPr="00E04DC0">
        <w:rPr>
          <w:rFonts w:asciiTheme="majorBidi" w:hAnsiTheme="majorBidi" w:cstheme="majorBidi"/>
          <w:color w:val="7030A0"/>
          <w:sz w:val="32"/>
          <w:szCs w:val="32"/>
        </w:rPr>
        <w:t>Ratios</w:t>
      </w:r>
      <w:r w:rsidR="00253556" w:rsidRPr="00E04DC0">
        <w:rPr>
          <w:rFonts w:asciiTheme="majorBidi" w:hAnsiTheme="majorBidi" w:cstheme="majorBidi"/>
          <w:color w:val="7030A0"/>
          <w:sz w:val="32"/>
          <w:szCs w:val="32"/>
        </w:rPr>
        <w:t>.</w:t>
      </w:r>
    </w:p>
    <w:p w:rsidR="00A93A01" w:rsidRPr="00E04DC0" w:rsidRDefault="00253556" w:rsidP="00EF7A5E">
      <w:pPr>
        <w:jc w:val="center"/>
        <w:rPr>
          <w:rFonts w:asciiTheme="majorBidi" w:hAnsiTheme="majorBidi" w:cstheme="majorBidi"/>
          <w:color w:val="7030A0"/>
          <w:sz w:val="32"/>
          <w:szCs w:val="32"/>
        </w:rPr>
      </w:pPr>
      <w:r w:rsidRPr="00E04DC0">
        <w:rPr>
          <w:rFonts w:asciiTheme="majorBidi" w:hAnsiTheme="majorBidi" w:cstheme="majorBidi"/>
          <w:color w:val="7030A0"/>
          <w:sz w:val="32"/>
          <w:szCs w:val="32"/>
        </w:rPr>
        <w:t>Write a brief report highlighting key findings and insights.</w:t>
      </w:r>
    </w:p>
    <w:p w:rsidR="00EF7A5E" w:rsidRDefault="00EF7A5E" w:rsidP="00EF7A5E">
      <w:pPr>
        <w:jc w:val="center"/>
        <w:rPr>
          <w:rFonts w:asciiTheme="majorBidi" w:hAnsiTheme="majorBidi" w:cstheme="majorBidi"/>
          <w:color w:val="2F5496" w:themeColor="accent1" w:themeShade="BF"/>
          <w:sz w:val="32"/>
          <w:szCs w:val="32"/>
        </w:rPr>
      </w:pPr>
    </w:p>
    <w:p w:rsidR="00EF7A5E" w:rsidRDefault="00EF7A5E" w:rsidP="00E04DC0">
      <w:pPr>
        <w:spacing w:before="100" w:beforeAutospacing="1" w:after="100" w:afterAutospacing="1" w:line="240" w:lineRule="auto"/>
        <w:jc w:val="center"/>
        <w:outlineLvl w:val="2"/>
        <w:rPr>
          <w:rFonts w:ascii="Times New Roman" w:eastAsia="Times New Roman" w:hAnsi="Times New Roman" w:cs="Times New Roman"/>
          <w:b/>
          <w:bCs/>
          <w:color w:val="7030A0"/>
          <w:sz w:val="32"/>
          <w:szCs w:val="32"/>
        </w:rPr>
      </w:pPr>
      <w:r w:rsidRPr="00EF7A5E">
        <w:rPr>
          <w:rFonts w:ascii="Times New Roman" w:eastAsia="Times New Roman" w:hAnsi="Times New Roman" w:cs="Times New Roman"/>
          <w:b/>
          <w:bCs/>
          <w:color w:val="7030A0"/>
          <w:sz w:val="32"/>
          <w:szCs w:val="32"/>
        </w:rPr>
        <w:lastRenderedPageBreak/>
        <w:t>Financial Performance Comparison: UBL vs. ABL</w:t>
      </w:r>
    </w:p>
    <w:p w:rsidR="00E04DC0" w:rsidRPr="00EF7A5E" w:rsidRDefault="00E04DC0" w:rsidP="00E04DC0">
      <w:pPr>
        <w:spacing w:before="100" w:beforeAutospacing="1" w:after="100" w:afterAutospacing="1" w:line="240" w:lineRule="auto"/>
        <w:jc w:val="center"/>
        <w:outlineLvl w:val="2"/>
        <w:rPr>
          <w:rFonts w:ascii="Times New Roman" w:eastAsia="Times New Roman" w:hAnsi="Times New Roman" w:cs="Times New Roman"/>
          <w:b/>
          <w:bCs/>
          <w:color w:val="7030A0"/>
          <w:sz w:val="32"/>
          <w:szCs w:val="32"/>
        </w:rPr>
      </w:pPr>
    </w:p>
    <w:p w:rsidR="00EF7A5E" w:rsidRPr="00EF7A5E" w:rsidRDefault="00EF7A5E" w:rsidP="00EF7A5E">
      <w:pPr>
        <w:spacing w:before="100" w:beforeAutospacing="1" w:after="100" w:afterAutospacing="1" w:line="240" w:lineRule="auto"/>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 xml:space="preserve">This report compares the financial performance of </w:t>
      </w:r>
      <w:r w:rsidRPr="00E04DC0">
        <w:rPr>
          <w:rFonts w:ascii="Times New Roman" w:eastAsia="Times New Roman" w:hAnsi="Times New Roman" w:cs="Times New Roman"/>
          <w:b/>
          <w:bCs/>
          <w:color w:val="7030A0"/>
          <w:sz w:val="24"/>
          <w:szCs w:val="24"/>
        </w:rPr>
        <w:t>United Bank Limited (UBL)</w:t>
      </w:r>
      <w:r w:rsidRPr="00EF7A5E">
        <w:rPr>
          <w:rFonts w:ascii="Times New Roman" w:eastAsia="Times New Roman" w:hAnsi="Times New Roman" w:cs="Times New Roman"/>
          <w:color w:val="7030A0"/>
          <w:sz w:val="24"/>
          <w:szCs w:val="24"/>
        </w:rPr>
        <w:t xml:space="preserve"> and </w:t>
      </w:r>
      <w:r w:rsidRPr="00E04DC0">
        <w:rPr>
          <w:rFonts w:ascii="Times New Roman" w:eastAsia="Times New Roman" w:hAnsi="Times New Roman" w:cs="Times New Roman"/>
          <w:b/>
          <w:bCs/>
          <w:color w:val="7030A0"/>
          <w:sz w:val="24"/>
          <w:szCs w:val="24"/>
        </w:rPr>
        <w:t>Allied Bank Limited (ABL)</w:t>
      </w:r>
      <w:r w:rsidRPr="00EF7A5E">
        <w:rPr>
          <w:rFonts w:ascii="Times New Roman" w:eastAsia="Times New Roman" w:hAnsi="Times New Roman" w:cs="Times New Roman"/>
          <w:color w:val="7030A0"/>
          <w:sz w:val="24"/>
          <w:szCs w:val="24"/>
        </w:rPr>
        <w:t xml:space="preserve"> using various key financial ratios. Below is an analysis of the selected ratios: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761"/>
      </w:tblGrid>
      <w:tr w:rsidR="00E04DC0" w:rsidRPr="00EF7A5E" w:rsidTr="007F20F8">
        <w:trPr>
          <w:tblHeader/>
          <w:tblCellSpacing w:w="15" w:type="dxa"/>
          <w:jc w:val="center"/>
        </w:trPr>
        <w:tc>
          <w:tcPr>
            <w:tcW w:w="0" w:type="auto"/>
            <w:vAlign w:val="center"/>
            <w:hideMark/>
          </w:tcPr>
          <w:tbl>
            <w:tblPr>
              <w:tblStyle w:val="TableGrid"/>
              <w:tblW w:w="7661" w:type="dxa"/>
              <w:tblLook w:val="04E0" w:firstRow="1" w:lastRow="1" w:firstColumn="1" w:lastColumn="0" w:noHBand="0" w:noVBand="1"/>
            </w:tblPr>
            <w:tblGrid>
              <w:gridCol w:w="5256"/>
              <w:gridCol w:w="1263"/>
              <w:gridCol w:w="1142"/>
            </w:tblGrid>
            <w:tr w:rsidR="00E04DC0" w:rsidTr="00E04DC0">
              <w:trPr>
                <w:trHeight w:val="232"/>
              </w:trPr>
              <w:tc>
                <w:tcPr>
                  <w:tcW w:w="5256" w:type="dxa"/>
                </w:tcPr>
                <w:p w:rsidR="00E04DC0" w:rsidRPr="00E04DC0" w:rsidRDefault="00E04DC0" w:rsidP="00E04DC0">
                  <w:pPr>
                    <w:rPr>
                      <w:rFonts w:ascii="Times New Roman" w:eastAsia="Times New Roman" w:hAnsi="Times New Roman" w:cs="Times New Roman"/>
                      <w:b/>
                      <w:bCs/>
                      <w:color w:val="7030A0"/>
                      <w:sz w:val="24"/>
                      <w:szCs w:val="24"/>
                    </w:rPr>
                  </w:pPr>
                  <w:r w:rsidRPr="00E04DC0">
                    <w:rPr>
                      <w:rFonts w:ascii="Times New Roman" w:eastAsia="Times New Roman" w:hAnsi="Times New Roman" w:cs="Times New Roman"/>
                      <w:b/>
                      <w:bCs/>
                      <w:color w:val="7030A0"/>
                      <w:sz w:val="24"/>
                      <w:szCs w:val="24"/>
                    </w:rPr>
                    <w:t>Ratios</w:t>
                  </w:r>
                </w:p>
              </w:tc>
              <w:tc>
                <w:tcPr>
                  <w:tcW w:w="1263" w:type="dxa"/>
                  <w:vAlign w:val="center"/>
                </w:tcPr>
                <w:p w:rsidR="00E04DC0" w:rsidRPr="00EF7A5E" w:rsidRDefault="00E04DC0" w:rsidP="00E04DC0">
                  <w:pPr>
                    <w:rPr>
                      <w:rFonts w:ascii="Times New Roman" w:eastAsia="Times New Roman" w:hAnsi="Times New Roman" w:cs="Times New Roman"/>
                      <w:b/>
                      <w:bCs/>
                      <w:color w:val="7030A0"/>
                      <w:sz w:val="24"/>
                      <w:szCs w:val="24"/>
                    </w:rPr>
                  </w:pPr>
                  <w:r w:rsidRPr="00E04DC0">
                    <w:rPr>
                      <w:rFonts w:ascii="Times New Roman" w:eastAsia="Times New Roman" w:hAnsi="Times New Roman" w:cs="Times New Roman"/>
                      <w:b/>
                      <w:bCs/>
                      <w:color w:val="7030A0"/>
                      <w:sz w:val="24"/>
                      <w:szCs w:val="24"/>
                    </w:rPr>
                    <w:t>UBL</w:t>
                  </w:r>
                </w:p>
              </w:tc>
              <w:tc>
                <w:tcPr>
                  <w:tcW w:w="1142" w:type="dxa"/>
                  <w:vAlign w:val="center"/>
                </w:tcPr>
                <w:p w:rsidR="00E04DC0" w:rsidRPr="00EF7A5E" w:rsidRDefault="00E04DC0" w:rsidP="00E04DC0">
                  <w:pPr>
                    <w:rPr>
                      <w:rFonts w:ascii="Times New Roman" w:eastAsia="Times New Roman" w:hAnsi="Times New Roman" w:cs="Times New Roman"/>
                      <w:b/>
                      <w:bCs/>
                      <w:color w:val="7030A0"/>
                      <w:sz w:val="24"/>
                      <w:szCs w:val="24"/>
                    </w:rPr>
                  </w:pPr>
                  <w:r w:rsidRPr="00E04DC0">
                    <w:rPr>
                      <w:rFonts w:ascii="Times New Roman" w:eastAsia="Times New Roman" w:hAnsi="Times New Roman" w:cs="Times New Roman"/>
                      <w:b/>
                      <w:bCs/>
                      <w:color w:val="7030A0"/>
                      <w:sz w:val="24"/>
                      <w:szCs w:val="24"/>
                    </w:rPr>
                    <w:t>ABL</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Return on Equity (ROE)</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26.6%</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29.4%</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Earnings per Share (EPS)</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43.44</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35.53</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Price-Earnings Ratio (P/E)</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4.09</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2.34</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Return on Capital Employed (ROCE)</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25.3%</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3.65%</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Current Ratio</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1.071</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1.09</w:t>
                  </w:r>
                </w:p>
              </w:tc>
            </w:tr>
            <w:tr w:rsidR="00E04DC0" w:rsidTr="00E04DC0">
              <w:trPr>
                <w:trHeight w:val="232"/>
              </w:trPr>
              <w:tc>
                <w:tcPr>
                  <w:tcW w:w="5256" w:type="dxa"/>
                  <w:vAlign w:val="center"/>
                </w:tcPr>
                <w:p w:rsidR="00E04DC0" w:rsidRPr="00EF7A5E" w:rsidRDefault="00E04DC0" w:rsidP="00E04DC0">
                  <w:pPr>
                    <w:rPr>
                      <w:rFonts w:ascii="Times New Roman" w:eastAsia="Times New Roman" w:hAnsi="Times New Roman" w:cs="Times New Roman"/>
                      <w:color w:val="7030A0"/>
                      <w:sz w:val="24"/>
                      <w:szCs w:val="24"/>
                    </w:rPr>
                  </w:pPr>
                  <w:r w:rsidRPr="00E04DC0">
                    <w:rPr>
                      <w:rFonts w:ascii="Times New Roman" w:eastAsia="Times New Roman" w:hAnsi="Times New Roman" w:cs="Times New Roman"/>
                      <w:b/>
                      <w:bCs/>
                      <w:color w:val="7030A0"/>
                      <w:sz w:val="24"/>
                      <w:szCs w:val="24"/>
                    </w:rPr>
                    <w:t>Market Value per Share</w:t>
                  </w:r>
                </w:p>
              </w:tc>
              <w:tc>
                <w:tcPr>
                  <w:tcW w:w="1263"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177.84</w:t>
                  </w:r>
                </w:p>
              </w:tc>
              <w:tc>
                <w:tcPr>
                  <w:tcW w:w="1142" w:type="dxa"/>
                  <w:vAlign w:val="center"/>
                </w:tcPr>
                <w:p w:rsidR="00E04DC0" w:rsidRPr="00EF7A5E" w:rsidRDefault="00E04DC0" w:rsidP="00E04DC0">
                  <w:pPr>
                    <w:rPr>
                      <w:rFonts w:ascii="Times New Roman" w:eastAsia="Times New Roman" w:hAnsi="Times New Roman" w:cs="Times New Roman"/>
                      <w:color w:val="7030A0"/>
                      <w:sz w:val="24"/>
                      <w:szCs w:val="24"/>
                    </w:rPr>
                  </w:pPr>
                  <w:r w:rsidRPr="00EF7A5E">
                    <w:rPr>
                      <w:rFonts w:ascii="Times New Roman" w:eastAsia="Times New Roman" w:hAnsi="Times New Roman" w:cs="Times New Roman"/>
                      <w:color w:val="7030A0"/>
                      <w:sz w:val="24"/>
                      <w:szCs w:val="24"/>
                    </w:rPr>
                    <w:t>82.99</w:t>
                  </w:r>
                </w:p>
              </w:tc>
            </w:tr>
          </w:tbl>
          <w:p w:rsidR="00E04DC0" w:rsidRPr="00EF7A5E" w:rsidRDefault="00E04DC0" w:rsidP="00EF7A5E">
            <w:pPr>
              <w:spacing w:after="0" w:line="240" w:lineRule="auto"/>
              <w:jc w:val="center"/>
              <w:rPr>
                <w:rFonts w:ascii="Times New Roman" w:eastAsia="Times New Roman" w:hAnsi="Times New Roman" w:cs="Times New Roman"/>
                <w:b/>
                <w:bCs/>
                <w:sz w:val="24"/>
                <w:szCs w:val="24"/>
              </w:rPr>
            </w:pPr>
          </w:p>
        </w:tc>
      </w:tr>
    </w:tbl>
    <w:p w:rsidR="00EF7A5E" w:rsidRDefault="00EF7A5E" w:rsidP="00EF7A5E">
      <w:pPr>
        <w:jc w:val="center"/>
        <w:rPr>
          <w:rFonts w:asciiTheme="majorBidi" w:hAnsiTheme="majorBidi" w:cstheme="majorBidi"/>
          <w:color w:val="2F5496" w:themeColor="accent1" w:themeShade="BF"/>
          <w:sz w:val="32"/>
          <w:szCs w:val="32"/>
        </w:rPr>
      </w:pPr>
    </w:p>
    <w:p w:rsidR="00E04DC0" w:rsidRPr="00411197" w:rsidRDefault="00411197" w:rsidP="00411197">
      <w:pPr>
        <w:pStyle w:val="Heading3"/>
        <w:jc w:val="center"/>
        <w:rPr>
          <w:rFonts w:asciiTheme="majorBidi" w:hAnsiTheme="majorBidi" w:cstheme="majorBidi"/>
          <w:color w:val="7030A0"/>
          <w:sz w:val="28"/>
          <w:szCs w:val="28"/>
        </w:rPr>
      </w:pPr>
      <w:r w:rsidRPr="00411197">
        <w:rPr>
          <w:rFonts w:asciiTheme="majorBidi" w:hAnsiTheme="majorBidi" w:cstheme="majorBidi"/>
          <w:color w:val="7030A0"/>
          <w:sz w:val="28"/>
          <w:szCs w:val="28"/>
        </w:rPr>
        <w:t>(Key Findings and Insights)</w:t>
      </w:r>
    </w:p>
    <w:p w:rsidR="00E04DC0" w:rsidRPr="00411197" w:rsidRDefault="00E04DC0" w:rsidP="00E04DC0">
      <w:pPr>
        <w:pStyle w:val="NormalWeb"/>
        <w:numPr>
          <w:ilvl w:val="0"/>
          <w:numId w:val="1"/>
        </w:numPr>
        <w:jc w:val="both"/>
        <w:rPr>
          <w:rStyle w:val="Strong"/>
          <w:rFonts w:asciiTheme="majorBidi" w:hAnsiTheme="majorBidi" w:cstheme="majorBidi"/>
          <w:b w:val="0"/>
          <w:bCs w:val="0"/>
          <w:color w:val="7030A0"/>
          <w:sz w:val="28"/>
          <w:szCs w:val="28"/>
        </w:rPr>
      </w:pPr>
      <w:r w:rsidRPr="00411197">
        <w:rPr>
          <w:rStyle w:val="Strong"/>
          <w:rFonts w:asciiTheme="majorBidi" w:hAnsiTheme="majorBidi" w:cstheme="majorBidi"/>
          <w:color w:val="7030A0"/>
          <w:sz w:val="28"/>
          <w:szCs w:val="28"/>
        </w:rPr>
        <w:t>Return on Equity (ROE):</w:t>
      </w:r>
    </w:p>
    <w:p w:rsidR="00E04DC0" w:rsidRPr="00E04DC0" w:rsidRDefault="00E04DC0" w:rsidP="00E04DC0">
      <w:pPr>
        <w:pStyle w:val="NormalWeb"/>
        <w:ind w:left="360"/>
        <w:jc w:val="both"/>
        <w:rPr>
          <w:rFonts w:asciiTheme="majorBidi" w:hAnsiTheme="majorBidi" w:cstheme="majorBidi"/>
          <w:color w:val="7030A0"/>
        </w:rPr>
      </w:pPr>
      <w:r w:rsidRPr="00E04DC0">
        <w:rPr>
          <w:rStyle w:val="Strong"/>
          <w:rFonts w:asciiTheme="majorBidi" w:hAnsiTheme="majorBidi" w:cstheme="majorBidi"/>
          <w:color w:val="7030A0"/>
        </w:rPr>
        <w:t>ABL (29.4%)</w:t>
      </w:r>
      <w:r w:rsidRPr="00E04DC0">
        <w:rPr>
          <w:rFonts w:asciiTheme="majorBidi" w:hAnsiTheme="majorBidi" w:cstheme="majorBidi"/>
          <w:color w:val="7030A0"/>
        </w:rPr>
        <w:t xml:space="preserve"> outperforms </w:t>
      </w:r>
      <w:r w:rsidRPr="00E04DC0">
        <w:rPr>
          <w:rStyle w:val="Strong"/>
          <w:rFonts w:asciiTheme="majorBidi" w:hAnsiTheme="majorBidi" w:cstheme="majorBidi"/>
          <w:color w:val="7030A0"/>
        </w:rPr>
        <w:t>UBL (26.6%)</w:t>
      </w:r>
      <w:r w:rsidRPr="00E04DC0">
        <w:rPr>
          <w:rFonts w:asciiTheme="majorBidi" w:hAnsiTheme="majorBidi" w:cstheme="majorBidi"/>
          <w:color w:val="7030A0"/>
        </w:rPr>
        <w:t xml:space="preserve"> in terms of ROE, indicating that ABL is more efficient in generating profits from shareholders' equity. A higher ROE generally reflects strong management performance and profitability.</w:t>
      </w:r>
    </w:p>
    <w:p w:rsidR="00E04DC0" w:rsidRPr="00411197" w:rsidRDefault="00E04DC0" w:rsidP="00E04DC0">
      <w:pPr>
        <w:pStyle w:val="NormalWeb"/>
        <w:numPr>
          <w:ilvl w:val="0"/>
          <w:numId w:val="1"/>
        </w:numPr>
        <w:jc w:val="both"/>
        <w:rPr>
          <w:rFonts w:asciiTheme="majorBidi" w:hAnsiTheme="majorBidi" w:cstheme="majorBidi"/>
          <w:color w:val="7030A0"/>
          <w:sz w:val="28"/>
          <w:szCs w:val="28"/>
        </w:rPr>
      </w:pPr>
      <w:r w:rsidRPr="00411197">
        <w:rPr>
          <w:rStyle w:val="Strong"/>
          <w:rFonts w:asciiTheme="majorBidi" w:hAnsiTheme="majorBidi" w:cstheme="majorBidi"/>
          <w:color w:val="7030A0"/>
          <w:sz w:val="28"/>
          <w:szCs w:val="28"/>
        </w:rPr>
        <w:t>Earnings per Share (EPS):</w:t>
      </w:r>
    </w:p>
    <w:p w:rsidR="00E04DC0" w:rsidRPr="00E04DC0" w:rsidRDefault="00E04DC0" w:rsidP="00E04DC0">
      <w:pPr>
        <w:pStyle w:val="NormalWeb"/>
        <w:ind w:left="360"/>
        <w:jc w:val="both"/>
        <w:rPr>
          <w:rFonts w:asciiTheme="majorBidi" w:hAnsiTheme="majorBidi" w:cstheme="majorBidi"/>
          <w:b/>
          <w:bCs/>
          <w:color w:val="7030A0"/>
        </w:rPr>
      </w:pPr>
      <w:r w:rsidRPr="00E04DC0">
        <w:rPr>
          <w:b/>
          <w:bCs/>
          <w:color w:val="7030A0"/>
        </w:rPr>
        <w:t>UBL (43.44)</w:t>
      </w:r>
      <w:r w:rsidRPr="00E04DC0">
        <w:rPr>
          <w:rFonts w:asciiTheme="majorBidi" w:hAnsiTheme="majorBidi" w:cstheme="majorBidi"/>
          <w:b/>
          <w:bCs/>
          <w:color w:val="7030A0"/>
        </w:rPr>
        <w:t xml:space="preserve"> has a significantly higher EPS compared to </w:t>
      </w:r>
      <w:r w:rsidRPr="00E04DC0">
        <w:rPr>
          <w:b/>
          <w:bCs/>
          <w:color w:val="7030A0"/>
        </w:rPr>
        <w:t>ABL (35.53)</w:t>
      </w:r>
      <w:r w:rsidRPr="00E04DC0">
        <w:rPr>
          <w:rFonts w:asciiTheme="majorBidi" w:hAnsiTheme="majorBidi" w:cstheme="majorBidi"/>
          <w:b/>
          <w:bCs/>
          <w:color w:val="7030A0"/>
        </w:rPr>
        <w:t>. This means UBL generates more earnings per share, reflecting better profitability and earnings potential for its investors.</w:t>
      </w:r>
    </w:p>
    <w:p w:rsidR="00E04DC0" w:rsidRPr="00411197" w:rsidRDefault="00E04DC0" w:rsidP="00E04DC0">
      <w:pPr>
        <w:pStyle w:val="NormalWeb"/>
        <w:numPr>
          <w:ilvl w:val="0"/>
          <w:numId w:val="1"/>
        </w:numPr>
        <w:jc w:val="both"/>
        <w:rPr>
          <w:rFonts w:asciiTheme="majorBidi" w:hAnsiTheme="majorBidi" w:cstheme="majorBidi"/>
          <w:color w:val="7030A0"/>
          <w:sz w:val="28"/>
          <w:szCs w:val="28"/>
        </w:rPr>
      </w:pPr>
      <w:r w:rsidRPr="00411197">
        <w:rPr>
          <w:rStyle w:val="Strong"/>
          <w:rFonts w:asciiTheme="majorBidi" w:hAnsiTheme="majorBidi" w:cstheme="majorBidi"/>
          <w:color w:val="7030A0"/>
          <w:sz w:val="28"/>
          <w:szCs w:val="28"/>
        </w:rPr>
        <w:t>Price-Earnings (P/E) Ratio:</w:t>
      </w:r>
    </w:p>
    <w:p w:rsidR="00E04DC0" w:rsidRPr="00E04DC0" w:rsidRDefault="00E04DC0" w:rsidP="00E04DC0">
      <w:pPr>
        <w:pStyle w:val="NormalWeb"/>
        <w:ind w:left="360"/>
        <w:jc w:val="both"/>
        <w:rPr>
          <w:b/>
          <w:bCs/>
          <w:color w:val="7030A0"/>
        </w:rPr>
      </w:pPr>
      <w:r w:rsidRPr="00E04DC0">
        <w:rPr>
          <w:color w:val="7030A0"/>
        </w:rPr>
        <w:t>UBL's P/E ratio (4.09)</w:t>
      </w:r>
      <w:r w:rsidRPr="00E04DC0">
        <w:rPr>
          <w:b/>
          <w:bCs/>
          <w:color w:val="7030A0"/>
        </w:rPr>
        <w:t xml:space="preserve"> is higher than </w:t>
      </w:r>
      <w:r w:rsidRPr="00E04DC0">
        <w:rPr>
          <w:color w:val="7030A0"/>
        </w:rPr>
        <w:t>ABL's (2.34)</w:t>
      </w:r>
      <w:r w:rsidRPr="00E04DC0">
        <w:rPr>
          <w:b/>
          <w:bCs/>
          <w:color w:val="7030A0"/>
        </w:rPr>
        <w:t>. A lower P/E ratio for ABL indicates that its stock might be undervalued or that the market expects lower future earnings growth compared to UBL. UBL, with a higher P/E, might be viewed as having better growth potential.</w:t>
      </w:r>
    </w:p>
    <w:p w:rsidR="00E04DC0" w:rsidRPr="00411197" w:rsidRDefault="00E04DC0" w:rsidP="00E04DC0">
      <w:pPr>
        <w:pStyle w:val="NormalWeb"/>
        <w:numPr>
          <w:ilvl w:val="0"/>
          <w:numId w:val="1"/>
        </w:numPr>
        <w:jc w:val="both"/>
        <w:rPr>
          <w:rFonts w:asciiTheme="majorBidi" w:hAnsiTheme="majorBidi" w:cstheme="majorBidi"/>
          <w:color w:val="7030A0"/>
          <w:sz w:val="28"/>
          <w:szCs w:val="28"/>
        </w:rPr>
      </w:pPr>
      <w:r w:rsidRPr="00411197">
        <w:rPr>
          <w:rStyle w:val="Strong"/>
          <w:rFonts w:asciiTheme="majorBidi" w:hAnsiTheme="majorBidi" w:cstheme="majorBidi"/>
          <w:color w:val="7030A0"/>
          <w:sz w:val="28"/>
          <w:szCs w:val="28"/>
        </w:rPr>
        <w:t>Return on Capital Employed (ROCE):</w:t>
      </w:r>
    </w:p>
    <w:p w:rsidR="00E04DC0" w:rsidRDefault="00E04DC0" w:rsidP="00E04DC0">
      <w:pPr>
        <w:pStyle w:val="NormalWeb"/>
        <w:ind w:left="360"/>
        <w:jc w:val="both"/>
        <w:rPr>
          <w:color w:val="7030A0"/>
        </w:rPr>
      </w:pPr>
      <w:r w:rsidRPr="00E04DC0">
        <w:rPr>
          <w:b/>
          <w:bCs/>
          <w:color w:val="7030A0"/>
        </w:rPr>
        <w:t>UBL (25.3%)</w:t>
      </w:r>
      <w:r w:rsidRPr="00E04DC0">
        <w:rPr>
          <w:color w:val="7030A0"/>
        </w:rPr>
        <w:t xml:space="preserve"> significantly outperforms </w:t>
      </w:r>
      <w:r w:rsidRPr="00E04DC0">
        <w:rPr>
          <w:b/>
          <w:bCs/>
          <w:color w:val="7030A0"/>
        </w:rPr>
        <w:t>ABL (3.65%)</w:t>
      </w:r>
      <w:r w:rsidRPr="00E04DC0">
        <w:rPr>
          <w:color w:val="7030A0"/>
        </w:rPr>
        <w:t xml:space="preserve"> in terms of ROCE. This suggests that UBL is much more efficient in utilizing its capital to generate profits, making it the stronger performer in terms of capital efficiency.</w:t>
      </w:r>
    </w:p>
    <w:p w:rsidR="00411197" w:rsidRPr="00E04DC0" w:rsidRDefault="00411197" w:rsidP="00E04DC0">
      <w:pPr>
        <w:pStyle w:val="NormalWeb"/>
        <w:ind w:left="360"/>
        <w:jc w:val="both"/>
        <w:rPr>
          <w:color w:val="7030A0"/>
        </w:rPr>
      </w:pPr>
    </w:p>
    <w:p w:rsidR="00E04DC0" w:rsidRPr="00411197" w:rsidRDefault="00E04DC0" w:rsidP="00E04DC0">
      <w:pPr>
        <w:pStyle w:val="NormalWeb"/>
        <w:numPr>
          <w:ilvl w:val="0"/>
          <w:numId w:val="1"/>
        </w:numPr>
        <w:jc w:val="both"/>
        <w:rPr>
          <w:rFonts w:asciiTheme="majorBidi" w:hAnsiTheme="majorBidi" w:cstheme="majorBidi"/>
          <w:color w:val="7030A0"/>
          <w:sz w:val="28"/>
          <w:szCs w:val="28"/>
        </w:rPr>
      </w:pPr>
      <w:r w:rsidRPr="00411197">
        <w:rPr>
          <w:rStyle w:val="Strong"/>
          <w:rFonts w:asciiTheme="majorBidi" w:hAnsiTheme="majorBidi" w:cstheme="majorBidi"/>
          <w:color w:val="7030A0"/>
          <w:sz w:val="28"/>
          <w:szCs w:val="28"/>
        </w:rPr>
        <w:t>Current Ratio:</w:t>
      </w:r>
    </w:p>
    <w:p w:rsidR="00E04DC0" w:rsidRPr="00E04DC0" w:rsidRDefault="00E04DC0" w:rsidP="00E04DC0">
      <w:pPr>
        <w:pStyle w:val="NormalWeb"/>
        <w:ind w:left="360"/>
        <w:jc w:val="both"/>
        <w:rPr>
          <w:b/>
          <w:bCs/>
          <w:color w:val="7030A0"/>
        </w:rPr>
      </w:pPr>
      <w:r w:rsidRPr="00E04DC0">
        <w:rPr>
          <w:b/>
          <w:bCs/>
          <w:color w:val="7030A0"/>
        </w:rPr>
        <w:t xml:space="preserve">Both </w:t>
      </w:r>
      <w:r w:rsidRPr="00E04DC0">
        <w:rPr>
          <w:color w:val="7030A0"/>
        </w:rPr>
        <w:t>UBL (1.071)</w:t>
      </w:r>
      <w:r w:rsidRPr="00E04DC0">
        <w:rPr>
          <w:b/>
          <w:bCs/>
          <w:color w:val="7030A0"/>
        </w:rPr>
        <w:t xml:space="preserve"> and </w:t>
      </w:r>
      <w:r w:rsidRPr="00E04DC0">
        <w:rPr>
          <w:color w:val="7030A0"/>
        </w:rPr>
        <w:t>ABL (1.09)</w:t>
      </w:r>
      <w:r w:rsidRPr="00E04DC0">
        <w:rPr>
          <w:b/>
          <w:bCs/>
          <w:color w:val="7030A0"/>
        </w:rPr>
        <w:t xml:space="preserve"> have similar current ratios, indicating that both banks are nearly equally capable of meeting their short-term liabilities with their current assets. However, neither of the banks has a particularly strong liquidity position, as an ideal current ratio is usually between 1.2 and 2.</w:t>
      </w:r>
    </w:p>
    <w:p w:rsidR="00E04DC0" w:rsidRPr="00411197" w:rsidRDefault="00E04DC0" w:rsidP="00E04DC0">
      <w:pPr>
        <w:pStyle w:val="NormalWeb"/>
        <w:numPr>
          <w:ilvl w:val="0"/>
          <w:numId w:val="1"/>
        </w:numPr>
        <w:jc w:val="both"/>
        <w:rPr>
          <w:rFonts w:asciiTheme="majorBidi" w:hAnsiTheme="majorBidi" w:cstheme="majorBidi"/>
          <w:color w:val="7030A0"/>
          <w:sz w:val="28"/>
          <w:szCs w:val="28"/>
        </w:rPr>
      </w:pPr>
      <w:r w:rsidRPr="00411197">
        <w:rPr>
          <w:rStyle w:val="Strong"/>
          <w:rFonts w:asciiTheme="majorBidi" w:hAnsiTheme="majorBidi" w:cstheme="majorBidi"/>
          <w:color w:val="7030A0"/>
          <w:sz w:val="28"/>
          <w:szCs w:val="28"/>
        </w:rPr>
        <w:t>Market Value per Share:</w:t>
      </w:r>
    </w:p>
    <w:p w:rsidR="00E04DC0" w:rsidRDefault="00E04DC0" w:rsidP="00E04DC0">
      <w:pPr>
        <w:pStyle w:val="NormalWeb"/>
        <w:ind w:left="360"/>
        <w:jc w:val="both"/>
        <w:rPr>
          <w:b/>
          <w:bCs/>
          <w:color w:val="7030A0"/>
        </w:rPr>
      </w:pPr>
      <w:r w:rsidRPr="00E04DC0">
        <w:rPr>
          <w:color w:val="7030A0"/>
        </w:rPr>
        <w:t>UBL’s market value per share (177.84)</w:t>
      </w:r>
      <w:r w:rsidRPr="00E04DC0">
        <w:rPr>
          <w:b/>
          <w:bCs/>
          <w:color w:val="7030A0"/>
        </w:rPr>
        <w:t xml:space="preserve"> is more than double that of </w:t>
      </w:r>
      <w:r w:rsidRPr="00E04DC0">
        <w:rPr>
          <w:color w:val="7030A0"/>
        </w:rPr>
        <w:t>ABL (82.99)</w:t>
      </w:r>
      <w:r w:rsidRPr="00E04DC0">
        <w:rPr>
          <w:b/>
          <w:bCs/>
          <w:color w:val="7030A0"/>
        </w:rPr>
        <w:t>. This indicates that UBL’s stock is valued higher by the market, potentially reflecting greater investor confidence in UBL's long-term performance.</w:t>
      </w:r>
    </w:p>
    <w:p w:rsidR="00411197" w:rsidRPr="00E04DC0" w:rsidRDefault="00411197" w:rsidP="00E04DC0">
      <w:pPr>
        <w:pStyle w:val="NormalWeb"/>
        <w:ind w:left="360"/>
        <w:jc w:val="both"/>
        <w:rPr>
          <w:b/>
          <w:bCs/>
          <w:color w:val="7030A0"/>
        </w:rPr>
      </w:pPr>
    </w:p>
    <w:p w:rsidR="00E04DC0" w:rsidRPr="00411197" w:rsidRDefault="00E04DC0" w:rsidP="00E04DC0">
      <w:pPr>
        <w:pStyle w:val="Heading3"/>
        <w:jc w:val="both"/>
        <w:rPr>
          <w:color w:val="7030A0"/>
          <w:sz w:val="32"/>
          <w:szCs w:val="32"/>
        </w:rPr>
      </w:pPr>
      <w:r w:rsidRPr="00411197">
        <w:rPr>
          <w:color w:val="7030A0"/>
          <w:sz w:val="32"/>
          <w:szCs w:val="32"/>
        </w:rPr>
        <w:t>Conclusion:</w:t>
      </w:r>
    </w:p>
    <w:p w:rsidR="00E04DC0" w:rsidRPr="00E04DC0" w:rsidRDefault="00E04DC0" w:rsidP="00411197">
      <w:pPr>
        <w:pStyle w:val="NormalWeb"/>
        <w:jc w:val="both"/>
        <w:rPr>
          <w:color w:val="7030A0"/>
        </w:rPr>
      </w:pPr>
      <w:r w:rsidRPr="00E04DC0">
        <w:rPr>
          <w:color w:val="7030A0"/>
        </w:rPr>
        <w:t>Overall, UBL demonstrates stronger performance in key profitability and capital efficiency metrics, such as Earnings per Share and Return on Capital Employed, making it a more attractive investment in terms of profitability. On the other hand, ABL shows a higher Return on Equity, indicating better returns for shareholders. However, ABL’s lower ROCE and market value per share may suggest inefficiencies in utilizing its capital and lower market confidence compared to UBL.</w:t>
      </w:r>
    </w:p>
    <w:p w:rsidR="00E04DC0" w:rsidRPr="00E04DC0" w:rsidRDefault="00E04DC0" w:rsidP="00411197">
      <w:pPr>
        <w:pStyle w:val="NormalWeb"/>
        <w:jc w:val="both"/>
        <w:rPr>
          <w:color w:val="7030A0"/>
        </w:rPr>
      </w:pPr>
      <w:r w:rsidRPr="00E04DC0">
        <w:rPr>
          <w:color w:val="7030A0"/>
        </w:rPr>
        <w:t>Both banks maintain relatively similar liquidity positions, but UBL stands out with higher market valuation and capital management, making it a potentially stronger long-term performer.</w:t>
      </w:r>
    </w:p>
    <w:p w:rsidR="00E04DC0" w:rsidRDefault="00E04DC0" w:rsidP="00411197">
      <w:pPr>
        <w:spacing w:before="100" w:beforeAutospacing="1" w:after="100" w:afterAutospacing="1" w:line="240" w:lineRule="auto"/>
        <w:ind w:left="1440"/>
        <w:jc w:val="both"/>
      </w:pPr>
    </w:p>
    <w:p w:rsidR="00E04DC0" w:rsidRPr="00EF7A5E" w:rsidRDefault="00E04DC0" w:rsidP="00EF7A5E">
      <w:pPr>
        <w:jc w:val="center"/>
        <w:rPr>
          <w:rFonts w:asciiTheme="majorBidi" w:hAnsiTheme="majorBidi" w:cstheme="majorBidi"/>
          <w:color w:val="2F5496" w:themeColor="accent1" w:themeShade="BF"/>
          <w:sz w:val="32"/>
          <w:szCs w:val="32"/>
        </w:rPr>
      </w:pPr>
    </w:p>
    <w:sectPr w:rsidR="00E04DC0" w:rsidRPr="00E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515A3"/>
    <w:multiLevelType w:val="multilevel"/>
    <w:tmpl w:val="6C66E94A"/>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4C"/>
    <w:rsid w:val="00253556"/>
    <w:rsid w:val="00411197"/>
    <w:rsid w:val="007F20F8"/>
    <w:rsid w:val="008E4B1D"/>
    <w:rsid w:val="00A93A01"/>
    <w:rsid w:val="00C0504C"/>
    <w:rsid w:val="00E04DC0"/>
    <w:rsid w:val="00EF7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EA105-5F10-4B9C-8C02-834607F7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556"/>
  </w:style>
  <w:style w:type="paragraph" w:styleId="Heading3">
    <w:name w:val="heading 3"/>
    <w:basedOn w:val="Normal"/>
    <w:link w:val="Heading3Char"/>
    <w:uiPriority w:val="9"/>
    <w:qFormat/>
    <w:rsid w:val="00EF7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A5E"/>
    <w:rPr>
      <w:rFonts w:ascii="Times New Roman" w:eastAsia="Times New Roman" w:hAnsi="Times New Roman" w:cs="Times New Roman"/>
      <w:b/>
      <w:bCs/>
      <w:sz w:val="27"/>
      <w:szCs w:val="27"/>
    </w:rPr>
  </w:style>
  <w:style w:type="paragraph" w:styleId="NormalWeb">
    <w:name w:val="Normal (Web)"/>
    <w:basedOn w:val="Normal"/>
    <w:uiPriority w:val="99"/>
    <w:unhideWhenUsed/>
    <w:rsid w:val="00EF7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A5E"/>
    <w:rPr>
      <w:b/>
      <w:bCs/>
    </w:rPr>
  </w:style>
  <w:style w:type="table" w:styleId="TableGrid">
    <w:name w:val="Table Grid"/>
    <w:basedOn w:val="TableNormal"/>
    <w:uiPriority w:val="39"/>
    <w:rsid w:val="00E04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3141">
      <w:bodyDiv w:val="1"/>
      <w:marLeft w:val="0"/>
      <w:marRight w:val="0"/>
      <w:marTop w:val="0"/>
      <w:marBottom w:val="0"/>
      <w:divBdr>
        <w:top w:val="none" w:sz="0" w:space="0" w:color="auto"/>
        <w:left w:val="none" w:sz="0" w:space="0" w:color="auto"/>
        <w:bottom w:val="none" w:sz="0" w:space="0" w:color="auto"/>
        <w:right w:val="none" w:sz="0" w:space="0" w:color="auto"/>
      </w:divBdr>
    </w:div>
    <w:div w:id="1043676499">
      <w:bodyDiv w:val="1"/>
      <w:marLeft w:val="0"/>
      <w:marRight w:val="0"/>
      <w:marTop w:val="0"/>
      <w:marBottom w:val="0"/>
      <w:divBdr>
        <w:top w:val="none" w:sz="0" w:space="0" w:color="auto"/>
        <w:left w:val="none" w:sz="0" w:space="0" w:color="auto"/>
        <w:bottom w:val="none" w:sz="0" w:space="0" w:color="auto"/>
        <w:right w:val="none" w:sz="0" w:space="0" w:color="auto"/>
      </w:divBdr>
    </w:div>
    <w:div w:id="12101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2</cp:revision>
  <dcterms:created xsi:type="dcterms:W3CDTF">2024-10-02T11:45:00Z</dcterms:created>
  <dcterms:modified xsi:type="dcterms:W3CDTF">2024-10-02T11:45:00Z</dcterms:modified>
</cp:coreProperties>
</file>