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jc w:val="center"/>
      </w:pPr>
      <w:r>
        <w:rPr>
          <w:rFonts w:ascii="Cambria" w:cs="Cambria" w:eastAsia="Cambria" w:hAnsi="Cambria"/>
          <w:b/>
          <w:bCs/>
          <w:color w:val="0E7C7B"/>
          <w:spacing w:val="30"/>
          <w:sz w:val="26"/>
          <w:szCs w:val="26"/>
        </w:rPr>
        <w:t xml:space="preserve">INTERNSHIP REPORT</w:t>
      </w:r>
    </w:p>
    <w:p>
      <w:pPr>
        <w:spacing w:before="200"/>
        <w:jc w:val="center"/>
      </w:pPr>
      <w:r>
        <w:rPr>
          <w:rFonts w:ascii="Cambria" w:cs="Cambria" w:eastAsia="Cambria" w:hAnsi="Cambria"/>
          <w:b/>
          <w:bCs/>
          <w:color w:val="0B132B"/>
          <w:sz w:val="58"/>
          <w:szCs w:val="58"/>
        </w:rPr>
        <w:t xml:space="preserve">Phishing Awareness Training</w:t>
      </w:r>
    </w:p>
    <w:p>
      <w:pPr>
        <w:spacing w:after="500" w:before="160"/>
        <w:jc w:val="center"/>
      </w:pPr>
      <w:r>
        <w:rPr>
          <w:rFonts w:ascii="Calibri" w:cs="Calibri" w:eastAsia="Calibri" w:hAnsi="Calibri"/>
          <w:i/>
          <w:iCs/>
          <w:color w:val="5C6B82"/>
          <w:sz w:val="26"/>
          <w:szCs w:val="26"/>
        </w:rPr>
        <w:t xml:space="preserve">Recognize the Bait. Question the Link. Protect the Inbox.</w:t>
      </w:r>
    </w:p>
    <w:p>
      <w:pPr>
        <w:pBdr>
          <w:top w:val="single" w:color="CCD6E4" w:sz="6" w:space="8"/>
        </w:pBdr>
        <w:spacing w:before="200"/>
        <w:jc w:val="center"/>
      </w:pPr>
    </w:p>
    <w:p>
      <w:pPr>
        <w:spacing w:before="500"/>
        <w:jc w:val="center"/>
      </w:pPr>
      <w:r>
        <w:rPr>
          <w:rFonts w:ascii="Calibri" w:cs="Calibri" w:eastAsia="Calibri" w:hAnsi="Calibri"/>
          <w:b/>
          <w:bCs/>
          <w:color w:val="0B132B"/>
          <w:sz w:val="26"/>
          <w:szCs w:val="26"/>
        </w:rPr>
        <w:t xml:space="preserve">CodeAlpha Cyber Security Internship</w:t>
      </w:r>
    </w:p>
    <w:p>
      <w:pPr>
        <w:spacing w:after="500"/>
        <w:jc w:val="center"/>
      </w:pPr>
      <w:r>
        <w:rPr>
          <w:rFonts w:ascii="Calibri" w:cs="Calibri" w:eastAsia="Calibri" w:hAnsi="Calibri"/>
          <w:color w:val="5C6B82"/>
          <w:sz w:val="24"/>
          <w:szCs w:val="24"/>
        </w:rPr>
        <w:t xml:space="preserve">Task 2: Phishing Awareness Training</w:t>
      </w:r>
    </w:p>
    <w:p>
      <w:pPr>
        <w:spacing w:before="700"/>
        <w:jc w:val="center"/>
      </w:pPr>
      <w:r>
        <w:rPr>
          <w:rFonts w:ascii="Calibri" w:cs="Calibri" w:eastAsia="Calibri" w:hAnsi="Calibri"/>
          <w:color w:val="5C6B82"/>
          <w:sz w:val="22"/>
          <w:szCs w:val="22"/>
        </w:rPr>
        <w:t xml:space="preserve">Submitted by</w:t>
      </w:r>
    </w:p>
    <w:p>
      <w:pPr>
        <w:jc w:val="center"/>
      </w:pPr>
      <w:r>
        <w:rPr>
          <w:rFonts w:ascii="Cambria" w:cs="Cambria" w:eastAsia="Cambria" w:hAnsi="Cambria"/>
          <w:b/>
          <w:bCs/>
          <w:color w:val="0B132B"/>
          <w:sz w:val="30"/>
          <w:szCs w:val="30"/>
        </w:rPr>
        <w:t xml:space="preserve">Malaika Rizwan</w:t>
      </w:r>
    </w:p>
    <w:p>
      <w:pPr>
        <w:spacing w:before="500"/>
        <w:jc w:val="center"/>
      </w:pPr>
      <w:r>
        <w:rPr>
          <w:rFonts w:ascii="Calibri" w:cs="Calibri" w:eastAsia="Calibri" w:hAnsi="Calibri"/>
          <w:color w:val="5C6B82"/>
          <w:sz w:val="21"/>
          <w:szCs w:val="21"/>
        </w:rPr>
        <w:t xml:space="preserve">Project: CodeAlpha_Phishing_Awareness_Training</w:t>
      </w:r>
    </w:p>
    <w:p>
      <w:pPr>
        <w:jc w:val="center"/>
      </w:pPr>
      <w:r>
        <w:rPr>
          <w:rFonts w:ascii="Calibri" w:cs="Calibri" w:eastAsia="Calibri" w:hAnsi="Calibri"/>
          <w:color w:val="5C6B82"/>
          <w:sz w:val="21"/>
          <w:szCs w:val="21"/>
        </w:rPr>
        <w:t xml:space="preserve">Submission Date: June 2026</w:t>
      </w:r>
    </w:p>
    <w:p>
      <w:r>
        <w:br w:type="page"/>
      </w:r>
    </w:p>
    <w:p>
      <w:pPr>
        <w:pStyle w:val="Heading1"/>
      </w:pPr>
      <w:r>
        <w:t xml:space="preserve">Table of Contents</w:t>
      </w:r>
    </w:p>
    <w:p>
      <w:pPr>
        <w:tabs>
          <w:tab w:val="right" w:pos="9026" w:leader="dot"/>
        </w:tabs>
        <w:spacing w:after="140"/>
      </w:pPr>
      <w:r>
        <w:rPr>
          <w:rFonts w:ascii="Calibri" w:cs="Calibri" w:eastAsia="Calibri" w:hAnsi="Calibri"/>
          <w:sz w:val="24"/>
          <w:szCs w:val="24"/>
        </w:rPr>
        <w:t xml:space="preserve">1. Abstract</w:t>
      </w:r>
      <w:r>
        <w:rPr>
          <w:rFonts w:ascii="Calibri" w:cs="Calibri" w:eastAsia="Calibri" w:hAnsi="Calibri"/>
          <w:sz w:val="24"/>
          <w:szCs w:val="24"/>
        </w:rPr>
        <w:t xml:space="preserve">	3</w:t>
      </w:r>
    </w:p>
    <w:p>
      <w:pPr>
        <w:tabs>
          <w:tab w:val="right" w:pos="9026" w:leader="dot"/>
        </w:tabs>
        <w:spacing w:after="140"/>
      </w:pPr>
      <w:r>
        <w:rPr>
          <w:rFonts w:ascii="Calibri" w:cs="Calibri" w:eastAsia="Calibri" w:hAnsi="Calibri"/>
          <w:sz w:val="24"/>
          <w:szCs w:val="24"/>
        </w:rPr>
        <w:t xml:space="preserve">2. Objective</w:t>
      </w:r>
      <w:r>
        <w:rPr>
          <w:rFonts w:ascii="Calibri" w:cs="Calibri" w:eastAsia="Calibri" w:hAnsi="Calibri"/>
          <w:sz w:val="24"/>
          <w:szCs w:val="24"/>
        </w:rPr>
        <w:t xml:space="preserve">	3</w:t>
      </w:r>
    </w:p>
    <w:p>
      <w:pPr>
        <w:tabs>
          <w:tab w:val="right" w:pos="9026" w:leader="dot"/>
        </w:tabs>
        <w:spacing w:after="140"/>
      </w:pPr>
      <w:r>
        <w:rPr>
          <w:rFonts w:ascii="Calibri" w:cs="Calibri" w:eastAsia="Calibri" w:hAnsi="Calibri"/>
          <w:sz w:val="24"/>
          <w:szCs w:val="24"/>
        </w:rPr>
        <w:t xml:space="preserve">3. Introduction</w:t>
      </w:r>
      <w:r>
        <w:rPr>
          <w:rFonts w:ascii="Calibri" w:cs="Calibri" w:eastAsia="Calibri" w:hAnsi="Calibri"/>
          <w:sz w:val="24"/>
          <w:szCs w:val="24"/>
        </w:rPr>
        <w:t xml:space="preserve">	4</w:t>
      </w:r>
    </w:p>
    <w:p>
      <w:pPr>
        <w:tabs>
          <w:tab w:val="right" w:pos="9026" w:leader="dot"/>
        </w:tabs>
        <w:spacing w:after="140"/>
      </w:pPr>
      <w:r>
        <w:rPr>
          <w:rFonts w:ascii="Calibri" w:cs="Calibri" w:eastAsia="Calibri" w:hAnsi="Calibri"/>
          <w:sz w:val="24"/>
          <w:szCs w:val="24"/>
        </w:rPr>
        <w:t xml:space="preserve">4. Methodology</w:t>
      </w:r>
      <w:r>
        <w:rPr>
          <w:rFonts w:ascii="Calibri" w:cs="Calibri" w:eastAsia="Calibri" w:hAnsi="Calibri"/>
          <w:sz w:val="24"/>
          <w:szCs w:val="24"/>
        </w:rPr>
        <w:t xml:space="preserve">	5</w:t>
      </w:r>
    </w:p>
    <w:p>
      <w:pPr>
        <w:tabs>
          <w:tab w:val="right" w:pos="9026" w:leader="dot"/>
        </w:tabs>
        <w:spacing w:after="140"/>
      </w:pPr>
      <w:r>
        <w:rPr>
          <w:rFonts w:ascii="Calibri" w:cs="Calibri" w:eastAsia="Calibri" w:hAnsi="Calibri"/>
          <w:sz w:val="24"/>
          <w:szCs w:val="24"/>
        </w:rPr>
        <w:t xml:space="preserve">5. Topics Covered</w:t>
      </w:r>
      <w:r>
        <w:rPr>
          <w:rFonts w:ascii="Calibri" w:cs="Calibri" w:eastAsia="Calibri" w:hAnsi="Calibri"/>
          <w:sz w:val="24"/>
          <w:szCs w:val="24"/>
        </w:rPr>
        <w:t xml:space="preserve">	5</w:t>
      </w:r>
    </w:p>
    <w:p>
      <w:pPr>
        <w:tabs>
          <w:tab w:val="right" w:pos="9026" w:leader="dot"/>
        </w:tabs>
        <w:spacing w:after="140"/>
      </w:pPr>
      <w:r>
        <w:rPr>
          <w:rFonts w:ascii="Calibri" w:cs="Calibri" w:eastAsia="Calibri" w:hAnsi="Calibri"/>
          <w:sz w:val="24"/>
          <w:szCs w:val="24"/>
        </w:rPr>
        <w:t xml:space="preserve">6. Phishing Examples</w:t>
      </w:r>
      <w:r>
        <w:rPr>
          <w:rFonts w:ascii="Calibri" w:cs="Calibri" w:eastAsia="Calibri" w:hAnsi="Calibri"/>
          <w:sz w:val="24"/>
          <w:szCs w:val="24"/>
        </w:rPr>
        <w:t xml:space="preserve">	8</w:t>
      </w:r>
    </w:p>
    <w:p>
      <w:pPr>
        <w:tabs>
          <w:tab w:val="right" w:pos="9026" w:leader="dot"/>
        </w:tabs>
        <w:spacing w:after="140"/>
      </w:pPr>
      <w:r>
        <w:rPr>
          <w:rFonts w:ascii="Calibri" w:cs="Calibri" w:eastAsia="Calibri" w:hAnsi="Calibri"/>
          <w:sz w:val="24"/>
          <w:szCs w:val="24"/>
        </w:rPr>
        <w:t xml:space="preserve">7. Quiz Section</w:t>
      </w:r>
      <w:r>
        <w:rPr>
          <w:rFonts w:ascii="Calibri" w:cs="Calibri" w:eastAsia="Calibri" w:hAnsi="Calibri"/>
          <w:sz w:val="24"/>
          <w:szCs w:val="24"/>
        </w:rPr>
        <w:t xml:space="preserve">	10</w:t>
      </w:r>
    </w:p>
    <w:p>
      <w:pPr>
        <w:tabs>
          <w:tab w:val="right" w:pos="9026" w:leader="dot"/>
        </w:tabs>
        <w:spacing w:after="140"/>
      </w:pPr>
      <w:r>
        <w:rPr>
          <w:rFonts w:ascii="Calibri" w:cs="Calibri" w:eastAsia="Calibri" w:hAnsi="Calibri"/>
          <w:sz w:val="24"/>
          <w:szCs w:val="24"/>
        </w:rPr>
        <w:t xml:space="preserve">8. Results</w:t>
      </w:r>
      <w:r>
        <w:rPr>
          <w:rFonts w:ascii="Calibri" w:cs="Calibri" w:eastAsia="Calibri" w:hAnsi="Calibri"/>
          <w:sz w:val="24"/>
          <w:szCs w:val="24"/>
        </w:rPr>
        <w:t xml:space="preserve">	11</w:t>
      </w:r>
    </w:p>
    <w:p>
      <w:pPr>
        <w:tabs>
          <w:tab w:val="right" w:pos="9026" w:leader="dot"/>
        </w:tabs>
        <w:spacing w:after="140"/>
      </w:pPr>
      <w:r>
        <w:rPr>
          <w:rFonts w:ascii="Calibri" w:cs="Calibri" w:eastAsia="Calibri" w:hAnsi="Calibri"/>
          <w:sz w:val="24"/>
          <w:szCs w:val="24"/>
        </w:rPr>
        <w:t xml:space="preserve">9. Conclusion</w:t>
      </w:r>
      <w:r>
        <w:rPr>
          <w:rFonts w:ascii="Calibri" w:cs="Calibri" w:eastAsia="Calibri" w:hAnsi="Calibri"/>
          <w:sz w:val="24"/>
          <w:szCs w:val="24"/>
        </w:rPr>
        <w:t xml:space="preserve">	12</w:t>
      </w:r>
    </w:p>
    <w:p>
      <w:pPr>
        <w:tabs>
          <w:tab w:val="right" w:pos="9026" w:leader="dot"/>
        </w:tabs>
        <w:spacing w:after="140"/>
      </w:pPr>
      <w:r>
        <w:rPr>
          <w:rFonts w:ascii="Calibri" w:cs="Calibri" w:eastAsia="Calibri" w:hAnsi="Calibri"/>
          <w:sz w:val="24"/>
          <w:szCs w:val="24"/>
        </w:rPr>
        <w:t xml:space="preserve">10. References</w:t>
      </w:r>
      <w:r>
        <w:rPr>
          <w:rFonts w:ascii="Calibri" w:cs="Calibri" w:eastAsia="Calibri" w:hAnsi="Calibri"/>
          <w:sz w:val="24"/>
          <w:szCs w:val="24"/>
        </w:rPr>
        <w:t xml:space="preserve">	12</w:t>
      </w:r>
    </w:p>
    <w:p>
      <w:r>
        <w:br w:type="page"/>
      </w:r>
    </w:p>
    <w:p>
      <w:pPr>
        <w:pStyle w:val="Heading1"/>
      </w:pPr>
      <w:r>
        <w:t xml:space="preserve">1. Abstract</w:t>
      </w:r>
    </w:p>
    <w:p>
      <w:pPr>
        <w:spacing w:after="160" w:line="300"/>
      </w:pPr>
      <w:r>
        <w:rPr>
          <w:rFonts w:ascii="Calibri" w:cs="Calibri" w:eastAsia="Calibri" w:hAnsi="Calibri"/>
          <w:sz w:val="23"/>
          <w:szCs w:val="23"/>
        </w:rPr>
        <w:t xml:space="preserve">Phishing continues to be one of the most prevalent and financially damaging forms of cybercrime, exploiting human trust rather than technical vulnerabilities to compromise sensitive information, financial accounts, and organizational networks. This report documents the design, development, and rationale behind a Phishing Awareness Training module created as Task 2 of the CodeAlpha Cyber Security Internship. The training module explains the fundamental nature of phishing, walks through the typical attack lifecycle used by cybercriminals, classifies the major variants of phishing attacks — email, spear, smishing, vishing, clone, and whaling — and details the psychological social-engineering techniques, including urgency, authority, fear, curiosity, trust, and pretexting, that make these attacks effective.</w:t>
      </w:r>
    </w:p>
    <w:p>
      <w:pPr>
        <w:spacing w:after="160" w:line="300"/>
      </w:pPr>
      <w:r>
        <w:rPr>
          <w:rFonts w:ascii="Calibri" w:cs="Calibri" w:eastAsia="Calibri" w:hAnsi="Calibri"/>
          <w:sz w:val="23"/>
          <w:szCs w:val="23"/>
        </w:rPr>
        <w:t xml:space="preserve">Realistic, clearly labeled illustrative examples of a phishing email, a smishing text message, and a spoofed website are presented to train recognition skills, alongside a structured checklist of warning signs and prevention practices such as Multi-Factor Authentication, independent verification, and incident reporting. An interactive, discussion-based quiz reinforces the material covered, with a full answer key and scoring guide documented in this report. The project concludes that awareness and consistent behavioral habits, rather than technology alone, remain the most effective and accessible defense against phishing for both individuals and organizations.</w:t>
      </w:r>
    </w:p>
    <w:p>
      <w:pPr>
        <w:pStyle w:val="Heading1"/>
      </w:pPr>
      <w:r>
        <w:t xml:space="preserve">2. Objective</w:t>
      </w:r>
    </w:p>
    <w:p>
      <w:pPr>
        <w:spacing w:after="160" w:line="300"/>
      </w:pPr>
      <w:r>
        <w:rPr>
          <w:rFonts w:ascii="Calibri" w:cs="Calibri" w:eastAsia="Calibri" w:hAnsi="Calibri"/>
          <w:sz w:val="23"/>
          <w:szCs w:val="23"/>
        </w:rPr>
        <w:t xml:space="preserve">The objective of this project is to design and deliver a complete, beginner-friendly phishing awareness training package. Specifically, this project aims to:</w:t>
      </w:r>
    </w:p>
    <w:p>
      <w:pPr>
        <w:pStyle w:val="ListParagraph"/>
        <w:numPr>
          <w:ilvl w:val="0"/>
          <w:numId w:val="2"/>
        </w:numPr>
        <w:spacing w:after="90" w:line="290"/>
      </w:pPr>
      <w:r>
        <w:rPr>
          <w:rFonts w:ascii="Calibri" w:cs="Calibri" w:eastAsia="Calibri" w:hAnsi="Calibri"/>
          <w:sz w:val="23"/>
          <w:szCs w:val="23"/>
        </w:rPr>
        <w:t xml:space="preserve">Explain what phishing is and why it remains one of the top cybersecurity threats facing individuals and organizations.</w:t>
      </w:r>
    </w:p>
    <w:p>
      <w:pPr>
        <w:pStyle w:val="ListParagraph"/>
        <w:numPr>
          <w:ilvl w:val="0"/>
          <w:numId w:val="2"/>
        </w:numPr>
        <w:spacing w:after="90" w:line="290"/>
      </w:pPr>
      <w:r>
        <w:rPr>
          <w:rFonts w:ascii="Calibri" w:cs="Calibri" w:eastAsia="Calibri" w:hAnsi="Calibri"/>
          <w:sz w:val="23"/>
          <w:szCs w:val="23"/>
        </w:rPr>
        <w:t xml:space="preserve">Break down how a phishing attack works, step by step, from the attacker's perspective.</w:t>
      </w:r>
    </w:p>
    <w:p>
      <w:pPr>
        <w:pStyle w:val="ListParagraph"/>
        <w:numPr>
          <w:ilvl w:val="0"/>
          <w:numId w:val="2"/>
        </w:numPr>
        <w:spacing w:after="90" w:line="290"/>
      </w:pPr>
      <w:r>
        <w:rPr>
          <w:rFonts w:ascii="Calibri" w:cs="Calibri" w:eastAsia="Calibri" w:hAnsi="Calibri"/>
          <w:sz w:val="23"/>
          <w:szCs w:val="23"/>
        </w:rPr>
        <w:t xml:space="preserve">Identify and classify the major types of phishing attacks, including email phishing, spear phishing, smishing, vishing, clone phishing, and whaling.</w:t>
      </w:r>
    </w:p>
    <w:p>
      <w:pPr>
        <w:pStyle w:val="ListParagraph"/>
        <w:numPr>
          <w:ilvl w:val="0"/>
          <w:numId w:val="2"/>
        </w:numPr>
        <w:spacing w:after="90" w:line="290"/>
      </w:pPr>
      <w:r>
        <w:rPr>
          <w:rFonts w:ascii="Calibri" w:cs="Calibri" w:eastAsia="Calibri" w:hAnsi="Calibri"/>
          <w:sz w:val="23"/>
          <w:szCs w:val="23"/>
        </w:rPr>
        <w:t xml:space="preserve">Teach the audience to recognize red flags in suspicious emails and websites using realistic, clearly labeled illustrative examples.</w:t>
      </w:r>
    </w:p>
    <w:p>
      <w:pPr>
        <w:pStyle w:val="ListParagraph"/>
        <w:numPr>
          <w:ilvl w:val="0"/>
          <w:numId w:val="2"/>
        </w:numPr>
        <w:spacing w:after="90" w:line="290"/>
      </w:pPr>
      <w:r>
        <w:rPr>
          <w:rFonts w:ascii="Calibri" w:cs="Calibri" w:eastAsia="Calibri" w:hAnsi="Calibri"/>
          <w:sz w:val="23"/>
          <w:szCs w:val="23"/>
        </w:rPr>
        <w:t xml:space="preserve">Explain the social engineering and psychological tactics attackers rely on, such as urgency, authority, fear, curiosity, trust, and pretexting.</w:t>
      </w:r>
    </w:p>
    <w:p>
      <w:pPr>
        <w:pStyle w:val="ListParagraph"/>
        <w:numPr>
          <w:ilvl w:val="0"/>
          <w:numId w:val="2"/>
        </w:numPr>
        <w:spacing w:after="90" w:line="290"/>
      </w:pPr>
      <w:r>
        <w:rPr>
          <w:rFonts w:ascii="Calibri" w:cs="Calibri" w:eastAsia="Calibri" w:hAnsi="Calibri"/>
          <w:sz w:val="23"/>
          <w:szCs w:val="23"/>
        </w:rPr>
        <w:t xml:space="preserve">Provide clear, actionable prevention methods and security habits that reduce the risk of falling victim to phishing.</w:t>
      </w:r>
    </w:p>
    <w:p>
      <w:pPr>
        <w:pStyle w:val="ListParagraph"/>
        <w:numPr>
          <w:ilvl w:val="0"/>
          <w:numId w:val="2"/>
        </w:numPr>
        <w:spacing w:after="90" w:line="290"/>
      </w:pPr>
      <w:r>
        <w:rPr>
          <w:rFonts w:ascii="Calibri" w:cs="Calibri" w:eastAsia="Calibri" w:hAnsi="Calibri"/>
          <w:sz w:val="23"/>
          <w:szCs w:val="23"/>
        </w:rPr>
        <w:t xml:space="preserve">Reinforce learning through an interactive, discussion-based quiz with a documented answer key.</w:t>
      </w:r>
    </w:p>
    <w:p>
      <w:pPr>
        <w:pStyle w:val="ListParagraph"/>
        <w:numPr>
          <w:ilvl w:val="0"/>
          <w:numId w:val="2"/>
        </w:numPr>
        <w:spacing w:after="90" w:line="290"/>
      </w:pPr>
      <w:r>
        <w:rPr>
          <w:rFonts w:ascii="Calibri" w:cs="Calibri" w:eastAsia="Calibri" w:hAnsi="Calibri"/>
          <w:sz w:val="23"/>
          <w:szCs w:val="23"/>
        </w:rPr>
        <w:t xml:space="preserve">Produce professional documentation — a presentation, a written report, and a README — suitable for a university-level cybersecurity internship submission.</w:t>
      </w:r>
    </w:p>
    <w:p>
      <w:pPr>
        <w:pStyle w:val="Heading1"/>
      </w:pPr>
      <w:r>
        <w:t xml:space="preserve">3. Introduction</w:t>
      </w:r>
    </w:p>
    <w:p>
      <w:pPr>
        <w:spacing w:after="160" w:line="300"/>
      </w:pPr>
      <w:r>
        <w:rPr>
          <w:rFonts w:ascii="Calibri" w:cs="Calibri" w:eastAsia="Calibri" w:hAnsi="Calibri"/>
          <w:sz w:val="23"/>
          <w:szCs w:val="23"/>
        </w:rPr>
        <w:t xml:space="preserve">Cybersecurity threats are commonly divided into two broad categories: attacks that exploit weaknesses in software or network infrastructure, and attacks that exploit human behavior. Phishing falls firmly into the second category. It is a form of social engineering in which an attacker impersonates a trusted person, brand, or organization in order to manipulate a victim into revealing confidential information, transferring funds, or installing malicious software. Because phishing targets psychology rather than code, it can succeed even against organizations with strong technical defenses — making human awareness an essential layer of any security strategy.</w:t>
      </w:r>
    </w:p>
    <w:p>
      <w:pPr>
        <w:spacing w:after="160" w:line="300"/>
      </w:pPr>
      <w:r>
        <w:rPr>
          <w:rFonts w:ascii="Calibri" w:cs="Calibri" w:eastAsia="Calibri" w:hAnsi="Calibri"/>
          <w:sz w:val="23"/>
          <w:szCs w:val="23"/>
        </w:rPr>
        <w:t xml:space="preserve">This report was prepared as part of Task 2 of the CodeAlpha Cyber Security Internship, which specifically calls for a presentation or training module that explains how to recognize phishing emails and fake websites, educates on social engineering tactics, and includes real-world examples and an interactive quiz. In response, this project was structured as a self-contained awareness training package consisting of a ten-slide presentation, this written report, and supporting project documentation.</w:t>
      </w:r>
    </w:p>
    <w:p>
      <w:pPr>
        <w:spacing w:after="160" w:line="300"/>
      </w:pPr>
      <w:r>
        <w:rPr>
          <w:rFonts w:ascii="Calibri" w:cs="Calibri" w:eastAsia="Calibri" w:hAnsi="Calibri"/>
          <w:sz w:val="23"/>
          <w:szCs w:val="23"/>
        </w:rPr>
        <w:t xml:space="preserve">The scope of this project is intentionally educational rather than technical: it does not attempt to build phishing-detection software, but instead focuses on building the human judgment needed to recognize an attack in progress. All examples used throughout this project — including the sample phishing email, the smishing text message, and the spoofed website — are entirely fictional. No real companies, brands, or individuals are referenced, ensuring the material is ethical, safe to share publicly, and reusable as genuine training content.</w:t>
      </w:r>
    </w:p>
    <w:p>
      <w:pPr>
        <w:spacing w:after="160" w:line="300"/>
      </w:pPr>
      <w:r>
        <w:rPr>
          <w:rFonts w:ascii="Calibri" w:cs="Calibri" w:eastAsia="Calibri" w:hAnsi="Calibri"/>
          <w:sz w:val="23"/>
          <w:szCs w:val="23"/>
        </w:rPr>
        <w:t xml:space="preserve">The remainder of this report is organized as follows: Section 4 outlines the methodology used to research and build the training material; Section 5 expands on each topic covered in the training; Section 6 presents the illustrative phishing examples in detail; Section 7 documents the quiz and its answer key; Section 8 reports the results and outcomes of the project; Section 9 concludes the report; and Section 10 lists supporting references.</w:t>
      </w:r>
    </w:p>
    <w:p>
      <w:r>
        <w:br w:type="page"/>
      </w:r>
    </w:p>
    <w:p>
      <w:pPr>
        <w:pStyle w:val="Heading1"/>
      </w:pPr>
      <w:r>
        <w:t xml:space="preserve">4. Methodology</w:t>
      </w:r>
    </w:p>
    <w:p>
      <w:pPr>
        <w:spacing w:after="160" w:line="300"/>
      </w:pPr>
      <w:r>
        <w:rPr>
          <w:rFonts w:ascii="Calibri" w:cs="Calibri" w:eastAsia="Calibri" w:hAnsi="Calibri"/>
          <w:sz w:val="23"/>
          <w:szCs w:val="23"/>
        </w:rPr>
        <w:t xml:space="preserve">The training module was developed through the following structured process:</w:t>
      </w:r>
    </w:p>
    <w:p>
      <w:pPr>
        <w:pStyle w:val="ListParagraph"/>
        <w:numPr>
          <w:ilvl w:val="0"/>
          <w:numId w:val="3"/>
        </w:numPr>
        <w:spacing w:after="90" w:line="290"/>
      </w:pPr>
      <w:r>
        <w:rPr>
          <w:rFonts w:ascii="Calibri" w:cs="Calibri" w:eastAsia="Calibri" w:hAnsi="Calibri"/>
          <w:sz w:val="23"/>
          <w:szCs w:val="23"/>
        </w:rPr>
        <w:t xml:space="preserve">Research Phase — Reviewed widely recognized cybersecurity awareness concepts and established categorizations of phishing and social engineering techniques to ensure the content reflects accepted industry understanding rather than personal assumption.</w:t>
      </w:r>
    </w:p>
    <w:p>
      <w:pPr>
        <w:pStyle w:val="ListParagraph"/>
        <w:numPr>
          <w:ilvl w:val="0"/>
          <w:numId w:val="3"/>
        </w:numPr>
        <w:spacing w:after="90" w:line="290"/>
      </w:pPr>
      <w:r>
        <w:rPr>
          <w:rFonts w:ascii="Calibri" w:cs="Calibri" w:eastAsia="Calibri" w:hAnsi="Calibri"/>
          <w:sz w:val="23"/>
          <w:szCs w:val="23"/>
        </w:rPr>
        <w:t xml:space="preserve">Content Structuring — Organized the material into a logical learning sequence: definition → attack mechanics → attack types → detection skills → underlying psychology → prevention → assessment. This mirrors the structure used in many professional security-awareness programs.</w:t>
      </w:r>
    </w:p>
    <w:p>
      <w:pPr>
        <w:pStyle w:val="ListParagraph"/>
        <w:numPr>
          <w:ilvl w:val="0"/>
          <w:numId w:val="3"/>
        </w:numPr>
        <w:spacing w:after="90" w:line="290"/>
      </w:pPr>
      <w:r>
        <w:rPr>
          <w:rFonts w:ascii="Calibri" w:cs="Calibri" w:eastAsia="Calibri" w:hAnsi="Calibri"/>
          <w:sz w:val="23"/>
          <w:szCs w:val="23"/>
        </w:rPr>
        <w:t xml:space="preserve">Example Design — Constructed fictional, clearly labeled phishing email, smishing, and spoofed-website examples grounded in real-world red-flag patterns (domain spoofing, manufactured urgency, mismatched links), while deliberately avoiding any reference to real companies, brands, or individuals.</w:t>
      </w:r>
    </w:p>
    <w:p>
      <w:pPr>
        <w:pStyle w:val="ListParagraph"/>
        <w:numPr>
          <w:ilvl w:val="0"/>
          <w:numId w:val="3"/>
        </w:numPr>
        <w:spacing w:after="90" w:line="290"/>
      </w:pPr>
      <w:r>
        <w:rPr>
          <w:rFonts w:ascii="Calibri" w:cs="Calibri" w:eastAsia="Calibri" w:hAnsi="Calibri"/>
          <w:sz w:val="23"/>
          <w:szCs w:val="23"/>
        </w:rPr>
        <w:t xml:space="preserve">Presentation Development — Built a ten-slide deck with a consistent visual design system — a danger/safety color-coded palette and a repeated icon-in-circle motif — to make the material engaging and easy to follow for a non-technical audience.</w:t>
      </w:r>
    </w:p>
    <w:p>
      <w:pPr>
        <w:pStyle w:val="ListParagraph"/>
        <w:numPr>
          <w:ilvl w:val="0"/>
          <w:numId w:val="3"/>
        </w:numPr>
        <w:spacing w:after="90" w:line="290"/>
      </w:pPr>
      <w:r>
        <w:rPr>
          <w:rFonts w:ascii="Calibri" w:cs="Calibri" w:eastAsia="Calibri" w:hAnsi="Calibri"/>
          <w:sz w:val="23"/>
          <w:szCs w:val="23"/>
        </w:rPr>
        <w:t xml:space="preserve">Quiz Design — Wrote multiple-choice questions mapped directly to each training module, intended to be used as a group discussion exercise rather than a passive answer-reveal, to increase engagement and long-term retention.</w:t>
      </w:r>
    </w:p>
    <w:p>
      <w:pPr>
        <w:pStyle w:val="ListParagraph"/>
        <w:numPr>
          <w:ilvl w:val="0"/>
          <w:numId w:val="3"/>
        </w:numPr>
        <w:spacing w:after="90" w:line="290"/>
      </w:pPr>
      <w:r>
        <w:rPr>
          <w:rFonts w:ascii="Calibri" w:cs="Calibri" w:eastAsia="Calibri" w:hAnsi="Calibri"/>
          <w:sz w:val="23"/>
          <w:szCs w:val="23"/>
        </w:rPr>
        <w:t xml:space="preserve">Documentation — Compiled this written report and the accompanying README.md to meet the documentation standards expected for the CodeAlpha internship submission.</w:t>
      </w:r>
    </w:p>
    <w:p>
      <w:pPr>
        <w:spacing w:after="160" w:line="300"/>
      </w:pPr>
      <w:r>
        <w:rPr>
          <w:rFonts w:ascii="Calibri" w:cs="Calibri" w:eastAsia="Calibri" w:hAnsi="Calibri"/>
          <w:sz w:val="23"/>
          <w:szCs w:val="23"/>
        </w:rPr>
        <w:t xml:space="preserve">This methodology reflects a standard instructional-design approach: research, structure, build, test (via the quiz), and document — ensuring the final deliverable is both technically sound and genuinely usable as a real training resource.</w:t>
      </w:r>
    </w:p>
    <w:p>
      <w:pPr>
        <w:pStyle w:val="Heading1"/>
      </w:pPr>
      <w:r>
        <w:t xml:space="preserve">5. Topics Covered</w:t>
      </w:r>
    </w:p>
    <w:p>
      <w:pPr>
        <w:pStyle w:val="Heading2"/>
      </w:pPr>
      <w:r>
        <w:t xml:space="preserve">5.1 What is Phishing?</w:t>
      </w:r>
    </w:p>
    <w:p>
      <w:pPr>
        <w:spacing w:after="160" w:line="300"/>
      </w:pPr>
      <w:r>
        <w:rPr>
          <w:rFonts w:ascii="Calibri" w:cs="Calibri" w:eastAsia="Calibri" w:hAnsi="Calibri"/>
          <w:sz w:val="23"/>
          <w:szCs w:val="23"/>
        </w:rPr>
        <w:t xml:space="preserve">Phishing is defined as a social engineering attack in which a cybercriminal impersonates a trusted person, brand, or organization to trick a victim into revealing sensitive information, transferring money, or installing malicious software. The term originates from the word “fishing” — attackers cast deceptive “bait” messages, hoping that a victim will “bite” by clicking a link or sharing information. Attackers typically pursue login credentials, banking and credit card details, personal data for identity theft, or a foothold to deliver malware or ransomware.</w:t>
      </w:r>
    </w:p>
    <w:p>
      <w:pPr>
        <w:pStyle w:val="Heading2"/>
      </w:pPr>
      <w:r>
        <w:t xml:space="preserve">5.2 How Phishing Works</w:t>
      </w:r>
    </w:p>
    <w:p>
      <w:pPr>
        <w:spacing w:after="160" w:line="300"/>
      </w:pPr>
      <w:r>
        <w:rPr>
          <w:rFonts w:ascii="Calibri" w:cs="Calibri" w:eastAsia="Calibri" w:hAnsi="Calibri"/>
          <w:sz w:val="23"/>
          <w:szCs w:val="23"/>
        </w:rPr>
        <w:t xml:space="preserve">Phishing attacks generally follow a five-stage lifecycle:</w:t>
      </w:r>
    </w:p>
    <w:p>
      <w:pPr>
        <w:pStyle w:val="ListParagraph"/>
        <w:numPr>
          <w:ilvl w:val="0"/>
          <w:numId w:val="4"/>
        </w:numPr>
        <w:spacing w:after="90" w:line="290"/>
      </w:pPr>
      <w:r>
        <w:rPr>
          <w:rFonts w:ascii="Calibri" w:cs="Calibri" w:eastAsia="Calibri" w:hAnsi="Calibri"/>
          <w:sz w:val="23"/>
          <w:szCs w:val="23"/>
        </w:rPr>
        <w:t xml:space="preserve">Research &amp; Target Selection — the attacker studies a target using social media, company websites, or leaked data.</w:t>
      </w:r>
    </w:p>
    <w:p>
      <w:pPr>
        <w:pStyle w:val="ListParagraph"/>
        <w:numPr>
          <w:ilvl w:val="0"/>
          <w:numId w:val="4"/>
        </w:numPr>
        <w:spacing w:after="90" w:line="290"/>
      </w:pPr>
      <w:r>
        <w:rPr>
          <w:rFonts w:ascii="Calibri" w:cs="Calibri" w:eastAsia="Calibri" w:hAnsi="Calibri"/>
          <w:sz w:val="23"/>
          <w:szCs w:val="23"/>
        </w:rPr>
        <w:t xml:space="preserve">Crafting the Bait — a convincing fake email, text message, or website is built to imitate a trusted brand, colleague, or service.</w:t>
      </w:r>
    </w:p>
    <w:p>
      <w:pPr>
        <w:pStyle w:val="ListParagraph"/>
        <w:numPr>
          <w:ilvl w:val="0"/>
          <w:numId w:val="4"/>
        </w:numPr>
        <w:spacing w:after="90" w:line="290"/>
      </w:pPr>
      <w:r>
        <w:rPr>
          <w:rFonts w:ascii="Calibri" w:cs="Calibri" w:eastAsia="Calibri" w:hAnsi="Calibri"/>
          <w:sz w:val="23"/>
          <w:szCs w:val="23"/>
        </w:rPr>
        <w:t xml:space="preserve">Delivery — the lure is sent through email, SMS, social media, or a phone call to reach the victim.</w:t>
      </w:r>
    </w:p>
    <w:p>
      <w:pPr>
        <w:pStyle w:val="ListParagraph"/>
        <w:numPr>
          <w:ilvl w:val="0"/>
          <w:numId w:val="4"/>
        </w:numPr>
        <w:spacing w:after="90" w:line="290"/>
      </w:pPr>
      <w:r>
        <w:rPr>
          <w:rFonts w:ascii="Calibri" w:cs="Calibri" w:eastAsia="Calibri" w:hAnsi="Calibri"/>
          <w:sz w:val="23"/>
          <w:szCs w:val="23"/>
        </w:rPr>
        <w:t xml:space="preserve">The Hook — the victim clicks the link, opens an attachment, or enters credentials, triggering the trap.</w:t>
      </w:r>
    </w:p>
    <w:p>
      <w:pPr>
        <w:pStyle w:val="ListParagraph"/>
        <w:numPr>
          <w:ilvl w:val="0"/>
          <w:numId w:val="4"/>
        </w:numPr>
        <w:spacing w:after="90" w:line="290"/>
      </w:pPr>
      <w:r>
        <w:rPr>
          <w:rFonts w:ascii="Calibri" w:cs="Calibri" w:eastAsia="Calibri" w:hAnsi="Calibri"/>
          <w:sz w:val="23"/>
          <w:szCs w:val="23"/>
        </w:rPr>
        <w:t xml:space="preserve">Exploitation — the stolen data or access is used for fraud, identity theft, further attacks, or resold to other criminals.</w:t>
      </w:r>
    </w:p>
    <w:p>
      <w:pPr>
        <w:spacing w:after="160" w:line="300"/>
      </w:pPr>
      <w:r>
        <w:rPr>
          <w:rFonts w:ascii="Calibri" w:cs="Calibri" w:eastAsia="Calibri" w:hAnsi="Calibri"/>
          <w:sz w:val="23"/>
          <w:szCs w:val="23"/>
        </w:rPr>
        <w:t xml:space="preserve">Interrupting the chain at Stage 4 — simply refusing to click or enter information — is usually enough to stop the entire attack.</w:t>
      </w:r>
    </w:p>
    <w:p>
      <w:pPr>
        <w:pStyle w:val="Heading2"/>
      </w:pPr>
      <w:r>
        <w:t xml:space="preserve">5.3 Types of Phishing</w:t>
      </w:r>
    </w:p>
    <w:p>
      <w:pPr>
        <w:pStyle w:val="ListParagraph"/>
        <w:numPr>
          <w:ilvl w:val="0"/>
          <w:numId w:val="2"/>
        </w:numPr>
        <w:spacing w:after="90" w:line="290"/>
      </w:pPr>
      <w:r>
        <w:rPr>
          <w:rFonts w:ascii="Calibri" w:cs="Calibri" w:eastAsia="Calibri" w:hAnsi="Calibri"/>
          <w:sz w:val="23"/>
          <w:szCs w:val="23"/>
        </w:rPr>
        <w:t xml:space="preserve">Email Phishing — mass, generic fraudulent emails impersonating banks, retailers, or services, sent to large numbers of people at once.</w:t>
      </w:r>
    </w:p>
    <w:p>
      <w:pPr>
        <w:pStyle w:val="ListParagraph"/>
        <w:numPr>
          <w:ilvl w:val="0"/>
          <w:numId w:val="2"/>
        </w:numPr>
        <w:spacing w:after="90" w:line="290"/>
      </w:pPr>
      <w:r>
        <w:rPr>
          <w:rFonts w:ascii="Calibri" w:cs="Calibri" w:eastAsia="Calibri" w:hAnsi="Calibri"/>
          <w:sz w:val="23"/>
          <w:szCs w:val="23"/>
        </w:rPr>
        <w:t xml:space="preserve">Spear Phishing — highly targeted attacks aimed at one specific person or organization, personalized using researched details.</w:t>
      </w:r>
    </w:p>
    <w:p>
      <w:pPr>
        <w:pStyle w:val="ListParagraph"/>
        <w:numPr>
          <w:ilvl w:val="0"/>
          <w:numId w:val="2"/>
        </w:numPr>
        <w:spacing w:after="90" w:line="290"/>
      </w:pPr>
      <w:r>
        <w:rPr>
          <w:rFonts w:ascii="Calibri" w:cs="Calibri" w:eastAsia="Calibri" w:hAnsi="Calibri"/>
          <w:sz w:val="23"/>
          <w:szCs w:val="23"/>
        </w:rPr>
        <w:t xml:space="preserve">Smishing (SMS Phishing) — phishing delivered via text message, often containing a shortened malicious link and an urgent delivery or banking alert.</w:t>
      </w:r>
    </w:p>
    <w:p>
      <w:pPr>
        <w:pStyle w:val="ListParagraph"/>
        <w:numPr>
          <w:ilvl w:val="0"/>
          <w:numId w:val="2"/>
        </w:numPr>
        <w:spacing w:after="90" w:line="290"/>
      </w:pPr>
      <w:r>
        <w:rPr>
          <w:rFonts w:ascii="Calibri" w:cs="Calibri" w:eastAsia="Calibri" w:hAnsi="Calibri"/>
          <w:sz w:val="23"/>
          <w:szCs w:val="23"/>
        </w:rPr>
        <w:t xml:space="preserve">Vishing (Voice Phishing) — phone calls from someone posing as a bank, government agency, or technical support representative to extract information verbally.</w:t>
      </w:r>
    </w:p>
    <w:p>
      <w:pPr>
        <w:pStyle w:val="ListParagraph"/>
        <w:numPr>
          <w:ilvl w:val="0"/>
          <w:numId w:val="2"/>
        </w:numPr>
        <w:spacing w:after="90" w:line="290"/>
      </w:pPr>
      <w:r>
        <w:rPr>
          <w:rFonts w:ascii="Calibri" w:cs="Calibri" w:eastAsia="Calibri" w:hAnsi="Calibri"/>
          <w:sz w:val="23"/>
          <w:szCs w:val="23"/>
        </w:rPr>
        <w:t xml:space="preserve">Clone Phishing — a near-identical copy of a previously sent legitimate email, with the link or attachment replaced by a malicious one.</w:t>
      </w:r>
    </w:p>
    <w:p>
      <w:pPr>
        <w:pStyle w:val="ListParagraph"/>
        <w:numPr>
          <w:ilvl w:val="0"/>
          <w:numId w:val="2"/>
        </w:numPr>
        <w:spacing w:after="90" w:line="290"/>
      </w:pPr>
      <w:r>
        <w:rPr>
          <w:rFonts w:ascii="Calibri" w:cs="Calibri" w:eastAsia="Calibri" w:hAnsi="Calibri"/>
          <w:sz w:val="23"/>
          <w:szCs w:val="23"/>
        </w:rPr>
        <w:t xml:space="preserve">Whaling — spear phishing aimed at senior executives or high-profile individuals, typically to authorize large fraudulent payments or gain access to sensitive systems.</w:t>
      </w:r>
    </w:p>
    <w:p>
      <w:pPr>
        <w:pStyle w:val="Heading2"/>
      </w:pPr>
      <w:r>
        <w:t xml:space="preserve">5.4 Signs of Phishing Emails</w:t>
      </w:r>
    </w:p>
    <w:p>
      <w:pPr>
        <w:pStyle w:val="ListParagraph"/>
        <w:numPr>
          <w:ilvl w:val="0"/>
          <w:numId w:val="2"/>
        </w:numPr>
        <w:spacing w:after="90" w:line="290"/>
      </w:pPr>
      <w:r>
        <w:rPr>
          <w:rFonts w:ascii="Calibri" w:cs="Calibri" w:eastAsia="Calibri" w:hAnsi="Calibri"/>
          <w:sz w:val="23"/>
          <w:szCs w:val="23"/>
        </w:rPr>
        <w:t xml:space="preserve">Generic greetings such as “Dear Customer” instead of the recipient's real name.</w:t>
      </w:r>
    </w:p>
    <w:p>
      <w:pPr>
        <w:pStyle w:val="ListParagraph"/>
        <w:numPr>
          <w:ilvl w:val="0"/>
          <w:numId w:val="2"/>
        </w:numPr>
        <w:spacing w:after="90" w:line="290"/>
      </w:pPr>
      <w:r>
        <w:rPr>
          <w:rFonts w:ascii="Calibri" w:cs="Calibri" w:eastAsia="Calibri" w:hAnsi="Calibri"/>
          <w:sz w:val="23"/>
          <w:szCs w:val="23"/>
        </w:rPr>
        <w:t xml:space="preserve">Urgent or threatening language demanding immediate action.</w:t>
      </w:r>
    </w:p>
    <w:p>
      <w:pPr>
        <w:pStyle w:val="ListParagraph"/>
        <w:numPr>
          <w:ilvl w:val="0"/>
          <w:numId w:val="2"/>
        </w:numPr>
        <w:spacing w:after="90" w:line="290"/>
      </w:pPr>
      <w:r>
        <w:rPr>
          <w:rFonts w:ascii="Calibri" w:cs="Calibri" w:eastAsia="Calibri" w:hAnsi="Calibri"/>
          <w:sz w:val="23"/>
          <w:szCs w:val="23"/>
        </w:rPr>
        <w:t xml:space="preserve">A sender address that looks close to — but not exactly — the real organization's domain.</w:t>
      </w:r>
    </w:p>
    <w:p>
      <w:pPr>
        <w:pStyle w:val="ListParagraph"/>
        <w:numPr>
          <w:ilvl w:val="0"/>
          <w:numId w:val="2"/>
        </w:numPr>
        <w:spacing w:after="90" w:line="290"/>
      </w:pPr>
      <w:r>
        <w:rPr>
          <w:rFonts w:ascii="Calibri" w:cs="Calibri" w:eastAsia="Calibri" w:hAnsi="Calibri"/>
          <w:sz w:val="23"/>
          <w:szCs w:val="23"/>
        </w:rPr>
        <w:t xml:space="preserve">Spelling, grammar, or formatting mistakes in the message.</w:t>
      </w:r>
    </w:p>
    <w:p>
      <w:pPr>
        <w:pStyle w:val="ListParagraph"/>
        <w:numPr>
          <w:ilvl w:val="0"/>
          <w:numId w:val="2"/>
        </w:numPr>
        <w:spacing w:after="90" w:line="290"/>
      </w:pPr>
      <w:r>
        <w:rPr>
          <w:rFonts w:ascii="Calibri" w:cs="Calibri" w:eastAsia="Calibri" w:hAnsi="Calibri"/>
          <w:sz w:val="23"/>
          <w:szCs w:val="23"/>
        </w:rPr>
        <w:t xml:space="preserve">Links where the visible text does not match the actual destination URL.</w:t>
      </w:r>
    </w:p>
    <w:p>
      <w:pPr>
        <w:pStyle w:val="ListParagraph"/>
        <w:numPr>
          <w:ilvl w:val="0"/>
          <w:numId w:val="2"/>
        </w:numPr>
        <w:spacing w:after="90" w:line="290"/>
      </w:pPr>
      <w:r>
        <w:rPr>
          <w:rFonts w:ascii="Calibri" w:cs="Calibri" w:eastAsia="Calibri" w:hAnsi="Calibri"/>
          <w:sz w:val="23"/>
          <w:szCs w:val="23"/>
        </w:rPr>
        <w:t xml:space="preserve">Unexpected attachments the recipient was not expecting to receive.</w:t>
      </w:r>
    </w:p>
    <w:p>
      <w:pPr>
        <w:pStyle w:val="ListParagraph"/>
        <w:numPr>
          <w:ilvl w:val="0"/>
          <w:numId w:val="2"/>
        </w:numPr>
        <w:spacing w:after="90" w:line="290"/>
      </w:pPr>
      <w:r>
        <w:rPr>
          <w:rFonts w:ascii="Calibri" w:cs="Calibri" w:eastAsia="Calibri" w:hAnsi="Calibri"/>
          <w:sz w:val="23"/>
          <w:szCs w:val="23"/>
        </w:rPr>
        <w:t xml:space="preserve">Requests for passwords, one-time passcodes (OTPs), or card details sent by email.</w:t>
      </w:r>
    </w:p>
    <w:p>
      <w:pPr>
        <w:pStyle w:val="Heading2"/>
      </w:pPr>
      <w:r>
        <w:t xml:space="preserve">5.5 Fake Website Detection</w:t>
      </w:r>
    </w:p>
    <w:p>
      <w:pPr>
        <w:spacing w:after="160" w:line="300"/>
      </w:pPr>
      <w:r>
        <w:rPr>
          <w:rFonts w:ascii="Calibri" w:cs="Calibri" w:eastAsia="Calibri" w:hAnsi="Calibri"/>
          <w:sz w:val="23"/>
          <w:szCs w:val="23"/>
        </w:rPr>
        <w:t xml:space="preserve">Recognizing a spoofed website requires close attention to the address bar rather than the page's visual design alone, since attackers can closely copy a legitimate site's appearance. Key verification habits include typing the address manually instead of clicking an emailed link, reading the URL character-by-character for swapped letters or extra words, and never relying on the HTTPS padlock alone as proof of legitimacy — attackers can also obtain valid security certificates for fake domains. Section 6.3 presents a side-by-side comparison of a legitimate and a spoofed website example.</w:t>
      </w:r>
    </w:p>
    <w:p>
      <w:pPr>
        <w:pStyle w:val="Heading2"/>
      </w:pPr>
      <w:r>
        <w:t xml:space="preserve">5.6 Social Engineering Techniques</w:t>
      </w:r>
    </w:p>
    <w:p>
      <w:pPr>
        <w:spacing w:after="160" w:line="300"/>
      </w:pPr>
      <w:r>
        <w:rPr>
          <w:rFonts w:ascii="Calibri" w:cs="Calibri" w:eastAsia="Calibri" w:hAnsi="Calibri"/>
          <w:sz w:val="23"/>
          <w:szCs w:val="23"/>
        </w:rPr>
        <w:t xml:space="preserve">Phishing succeeds by exploiting predictable human psychology rather than technical flaws. The most common techniques include:</w:t>
      </w:r>
    </w:p>
    <w:p>
      <w:pPr>
        <w:pStyle w:val="ListParagraph"/>
        <w:numPr>
          <w:ilvl w:val="0"/>
          <w:numId w:val="2"/>
        </w:numPr>
        <w:spacing w:after="90" w:line="290"/>
      </w:pPr>
      <w:r>
        <w:rPr>
          <w:rFonts w:ascii="Calibri" w:cs="Calibri" w:eastAsia="Calibri" w:hAnsi="Calibri"/>
          <w:sz w:val="23"/>
          <w:szCs w:val="23"/>
        </w:rPr>
        <w:t xml:space="preserve">Urgency — tight deadlines and countdowns pressure victims to act before they can think it through.</w:t>
      </w:r>
    </w:p>
    <w:p>
      <w:pPr>
        <w:pStyle w:val="ListParagraph"/>
        <w:numPr>
          <w:ilvl w:val="0"/>
          <w:numId w:val="2"/>
        </w:numPr>
        <w:spacing w:after="90" w:line="290"/>
      </w:pPr>
      <w:r>
        <w:rPr>
          <w:rFonts w:ascii="Calibri" w:cs="Calibri" w:eastAsia="Calibri" w:hAnsi="Calibri"/>
          <w:sz w:val="23"/>
          <w:szCs w:val="23"/>
        </w:rPr>
        <w:t xml:space="preserve">Authority — impersonating a boss, bank, or government official to make the request feel mandatory.</w:t>
      </w:r>
    </w:p>
    <w:p>
      <w:pPr>
        <w:pStyle w:val="ListParagraph"/>
        <w:numPr>
          <w:ilvl w:val="0"/>
          <w:numId w:val="2"/>
        </w:numPr>
        <w:spacing w:after="90" w:line="290"/>
      </w:pPr>
      <w:r>
        <w:rPr>
          <w:rFonts w:ascii="Calibri" w:cs="Calibri" w:eastAsia="Calibri" w:hAnsi="Calibri"/>
          <w:sz w:val="23"/>
          <w:szCs w:val="23"/>
        </w:rPr>
        <w:t xml:space="preserve">Fear — threats of fines, legal trouble, or account loss trigger panic-driven compliance.</w:t>
      </w:r>
    </w:p>
    <w:p>
      <w:pPr>
        <w:pStyle w:val="ListParagraph"/>
        <w:numPr>
          <w:ilvl w:val="0"/>
          <w:numId w:val="2"/>
        </w:numPr>
        <w:spacing w:after="90" w:line="290"/>
      </w:pPr>
      <w:r>
        <w:rPr>
          <w:rFonts w:ascii="Calibri" w:cs="Calibri" w:eastAsia="Calibri" w:hAnsi="Calibri"/>
          <w:sz w:val="23"/>
          <w:szCs w:val="23"/>
        </w:rPr>
        <w:t xml:space="preserve">Curiosity — enticing subject lines (e.g., “You won a prize!”) lure victims into clicking without thinking.</w:t>
      </w:r>
    </w:p>
    <w:p>
      <w:pPr>
        <w:pStyle w:val="ListParagraph"/>
        <w:numPr>
          <w:ilvl w:val="0"/>
          <w:numId w:val="2"/>
        </w:numPr>
        <w:spacing w:after="90" w:line="290"/>
      </w:pPr>
      <w:r>
        <w:rPr>
          <w:rFonts w:ascii="Calibri" w:cs="Calibri" w:eastAsia="Calibri" w:hAnsi="Calibri"/>
          <w:sz w:val="23"/>
          <w:szCs w:val="23"/>
        </w:rPr>
        <w:t xml:space="preserve">Trust &amp; Familiarity — impersonating a known colleague, friend, or trusted brand to lower the victim's guard.</w:t>
      </w:r>
    </w:p>
    <w:p>
      <w:pPr>
        <w:pStyle w:val="ListParagraph"/>
        <w:numPr>
          <w:ilvl w:val="0"/>
          <w:numId w:val="2"/>
        </w:numPr>
        <w:spacing w:after="90" w:line="290"/>
      </w:pPr>
      <w:r>
        <w:rPr>
          <w:rFonts w:ascii="Calibri" w:cs="Calibri" w:eastAsia="Calibri" w:hAnsi="Calibri"/>
          <w:sz w:val="23"/>
          <w:szCs w:val="23"/>
        </w:rPr>
        <w:t xml:space="preserve">Pretexting — inventing a believable fabricated scenario, such as a fake IT ticket or HR survey, to justify a request for information.</w:t>
      </w:r>
    </w:p>
    <w:p>
      <w:pPr>
        <w:pStyle w:val="Heading2"/>
      </w:pPr>
      <w:r>
        <w:t xml:space="preserve">5.7 Prevention Methods</w:t>
      </w:r>
    </w:p>
    <w:p>
      <w:pPr>
        <w:pStyle w:val="ListParagraph"/>
        <w:numPr>
          <w:ilvl w:val="0"/>
          <w:numId w:val="2"/>
        </w:numPr>
        <w:spacing w:after="90" w:line="290"/>
      </w:pPr>
      <w:r>
        <w:rPr>
          <w:rFonts w:ascii="Calibri" w:cs="Calibri" w:eastAsia="Calibri" w:hAnsi="Calibri"/>
          <w:sz w:val="23"/>
          <w:szCs w:val="23"/>
        </w:rPr>
        <w:t xml:space="preserve">Verify requests through official, independently confirmed channels rather than replying directly to a suspicious message.</w:t>
      </w:r>
    </w:p>
    <w:p>
      <w:pPr>
        <w:pStyle w:val="ListParagraph"/>
        <w:numPr>
          <w:ilvl w:val="0"/>
          <w:numId w:val="2"/>
        </w:numPr>
        <w:spacing w:after="90" w:line="290"/>
      </w:pPr>
      <w:r>
        <w:rPr>
          <w:rFonts w:ascii="Calibri" w:cs="Calibri" w:eastAsia="Calibri" w:hAnsi="Calibri"/>
          <w:sz w:val="23"/>
          <w:szCs w:val="23"/>
        </w:rPr>
        <w:t xml:space="preserve">Hover over links to preview the real destination URL before clicking.</w:t>
      </w:r>
    </w:p>
    <w:p>
      <w:pPr>
        <w:pStyle w:val="ListParagraph"/>
        <w:numPr>
          <w:ilvl w:val="0"/>
          <w:numId w:val="2"/>
        </w:numPr>
        <w:spacing w:after="90" w:line="290"/>
      </w:pPr>
      <w:r>
        <w:rPr>
          <w:rFonts w:ascii="Calibri" w:cs="Calibri" w:eastAsia="Calibri" w:hAnsi="Calibri"/>
          <w:sz w:val="23"/>
          <w:szCs w:val="23"/>
        </w:rPr>
        <w:t xml:space="preserve">Enable Multi-Factor Authentication (MFA) on all important accounts.</w:t>
      </w:r>
    </w:p>
    <w:p>
      <w:pPr>
        <w:pStyle w:val="ListParagraph"/>
        <w:numPr>
          <w:ilvl w:val="0"/>
          <w:numId w:val="2"/>
        </w:numPr>
        <w:spacing w:after="90" w:line="290"/>
      </w:pPr>
      <w:r>
        <w:rPr>
          <w:rFonts w:ascii="Calibri" w:cs="Calibri" w:eastAsia="Calibri" w:hAnsi="Calibri"/>
          <w:sz w:val="23"/>
          <w:szCs w:val="23"/>
        </w:rPr>
        <w:t xml:space="preserve">Never share passwords, OTPs, or full card details over email or text.</w:t>
      </w:r>
    </w:p>
    <w:p>
      <w:pPr>
        <w:pStyle w:val="ListParagraph"/>
        <w:numPr>
          <w:ilvl w:val="0"/>
          <w:numId w:val="2"/>
        </w:numPr>
        <w:spacing w:after="90" w:line="290"/>
      </w:pPr>
      <w:r>
        <w:rPr>
          <w:rFonts w:ascii="Calibri" w:cs="Calibri" w:eastAsia="Calibri" w:hAnsi="Calibri"/>
          <w:sz w:val="23"/>
          <w:szCs w:val="23"/>
        </w:rPr>
        <w:t xml:space="preserve">Keep operating systems, browsers, and antivirus software up to date.</w:t>
      </w:r>
    </w:p>
    <w:p>
      <w:pPr>
        <w:pStyle w:val="ListParagraph"/>
        <w:numPr>
          <w:ilvl w:val="0"/>
          <w:numId w:val="2"/>
        </w:numPr>
        <w:spacing w:after="90" w:line="290"/>
      </w:pPr>
      <w:r>
        <w:rPr>
          <w:rFonts w:ascii="Calibri" w:cs="Calibri" w:eastAsia="Calibri" w:hAnsi="Calibri"/>
          <w:sz w:val="23"/>
          <w:szCs w:val="23"/>
        </w:rPr>
        <w:t xml:space="preserve">Use spam and phishing filters provided by email security tools.</w:t>
      </w:r>
    </w:p>
    <w:p>
      <w:pPr>
        <w:pStyle w:val="ListParagraph"/>
        <w:numPr>
          <w:ilvl w:val="0"/>
          <w:numId w:val="2"/>
        </w:numPr>
        <w:spacing w:after="90" w:line="290"/>
      </w:pPr>
      <w:r>
        <w:rPr>
          <w:rFonts w:ascii="Calibri" w:cs="Calibri" w:eastAsia="Calibri" w:hAnsi="Calibri"/>
          <w:sz w:val="23"/>
          <w:szCs w:val="23"/>
        </w:rPr>
        <w:t xml:space="preserve">Report suspicious messages to an IT or security team promptly.</w:t>
      </w:r>
    </w:p>
    <w:p>
      <w:pPr>
        <w:pStyle w:val="ListParagraph"/>
        <w:numPr>
          <w:ilvl w:val="0"/>
          <w:numId w:val="2"/>
        </w:numPr>
        <w:spacing w:after="90" w:line="290"/>
      </w:pPr>
      <w:r>
        <w:rPr>
          <w:rFonts w:ascii="Calibri" w:cs="Calibri" w:eastAsia="Calibri" w:hAnsi="Calibri"/>
          <w:sz w:val="23"/>
          <w:szCs w:val="23"/>
        </w:rPr>
        <w:t xml:space="preserve">Take part in regular phishing-awareness training and simulations.</w:t>
      </w:r>
    </w:p>
    <w:p>
      <w:r>
        <w:br w:type="page"/>
      </w:r>
    </w:p>
    <w:p>
      <w:pPr>
        <w:pStyle w:val="Heading1"/>
      </w:pPr>
      <w:r>
        <w:t xml:space="preserve">6. Phishing Examples</w:t>
      </w:r>
    </w:p>
    <w:p>
      <w:pPr>
        <w:spacing w:after="160" w:line="300"/>
      </w:pPr>
      <w:r>
        <w:rPr>
          <w:rFonts w:ascii="Calibri" w:cs="Calibri" w:eastAsia="Calibri" w:hAnsi="Calibri"/>
          <w:sz w:val="23"/>
          <w:szCs w:val="23"/>
        </w:rPr>
        <w:t xml:space="preserve">This section presents fictional, clearly labeled illustrative examples created specifically for training purposes. No real organizations, brands, or individuals are referenced; the examples are designed only to demonstrate widely recognized phishing red-flag patterns.</w:t>
      </w:r>
    </w:p>
    <w:p>
      <w:pPr>
        <w:pStyle w:val="Heading2"/>
      </w:pPr>
      <w:r>
        <w:t xml:space="preserve">6.1 Example 1: Phishing Email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D6E4" w:sz="4"/>
              <w:left w:val="single" w:color="CCD6E4" w:sz="4"/>
              <w:bottom w:val="single" w:color="CCD6E4" w:sz="4"/>
              <w:right w:val="single" w:color="CCD6E4" w:sz="4"/>
            </w:tcBorders>
            <w:shd w:fill="0B132B" w:val="clear"/>
            <w:tcMar>
              <w:top w:type="dxa" w:w="100"/>
              <w:left w:type="dxa" w:w="130"/>
              <w:bottom w:type="dxa" w:w="100"/>
              <w:right w:type="dxa" w:w="130"/>
            </w:tcMar>
            <w:vAlign w:val="center"/>
          </w:tcPr>
          <w:p>
            <w:pPr>
              <w:jc w:val="left"/>
            </w:pPr>
            <w:r>
              <w:rPr>
                <w:rFonts w:ascii="Calibri" w:cs="Calibri" w:eastAsia="Calibri" w:hAnsi="Calibri"/>
                <w:b/>
                <w:bCs/>
                <w:i w:val="false"/>
                <w:iCs w:val="false"/>
                <w:color w:val="FFFFFF"/>
                <w:sz w:val="21"/>
                <w:szCs w:val="21"/>
              </w:rPr>
              <w:t xml:space="preserve">SAMPLE PHISHING EMAIL  (Fictional / Illustrative Example)</w:t>
            </w:r>
          </w:p>
        </w:tc>
      </w:tr>
      <w:tr>
        <w:tc>
          <w:tcPr>
            <w:tcW w:type="dxa" w:w="9360"/>
            <w:tcBorders>
              <w:top w:val="single" w:color="CCD6E4" w:sz="4"/>
              <w:left w:val="single" w:color="CCD6E4" w:sz="4"/>
              <w:bottom w:val="single" w:color="CCD6E4" w:sz="4"/>
              <w:right w:val="single" w:color="CCD6E4" w:sz="4"/>
            </w:tcBorders>
            <w:shd w:fill="FFFFFF" w:val="clear"/>
            <w:tcMar>
              <w:top w:type="dxa" w:w="160"/>
              <w:left w:type="dxa" w:w="200"/>
              <w:bottom w:type="dxa" w:w="160"/>
              <w:right w:type="dxa" w:w="200"/>
            </w:tcMar>
          </w:tcPr>
          <w:p>
            <w:pPr>
              <w:spacing w:after="160" w:line="300"/>
            </w:pPr>
            <w:r>
              <w:rPr>
                <w:rFonts w:ascii="Calibri" w:cs="Calibri" w:eastAsia="Calibri" w:hAnsi="Calibri"/>
                <w:b/>
                <w:bCs/>
                <w:sz w:val="22"/>
                <w:szCs w:val="22"/>
              </w:rPr>
              <w:t xml:space="preserve">From: </w:t>
            </w:r>
            <w:r>
              <w:rPr>
                <w:rFonts w:ascii="Calibri" w:cs="Calibri" w:eastAsia="Calibri" w:hAnsi="Calibri"/>
                <w:b/>
                <w:bCs/>
                <w:color w:val="C1121F"/>
                <w:sz w:val="22"/>
                <w:szCs w:val="22"/>
              </w:rPr>
              <w:t xml:space="preserve">SecureBank Support &lt;support@securebank-alerts.com&gt;</w:t>
            </w:r>
            <w:r>
              <w:rPr>
                <w:rFonts w:ascii="Calibri" w:cs="Calibri" w:eastAsia="Calibri" w:hAnsi="Calibri"/>
                <w:color w:val="C1121F"/>
                <w:sz w:val="20"/>
                <w:szCs w:val="20"/>
              </w:rPr>
              <w:t xml:space="preserve">  [1]</w:t>
            </w:r>
          </w:p>
          <w:p>
            <w:pPr>
              <w:spacing w:after="160" w:line="300"/>
            </w:pPr>
            <w:r>
              <w:rPr>
                <w:rFonts w:ascii="Calibri" w:cs="Calibri" w:eastAsia="Calibri" w:hAnsi="Calibri"/>
                <w:b/>
                <w:bCs/>
                <w:sz w:val="22"/>
                <w:szCs w:val="22"/>
              </w:rPr>
              <w:t xml:space="preserve">Subject: </w:t>
            </w:r>
            <w:r>
              <w:rPr>
                <w:rFonts w:ascii="Calibri" w:cs="Calibri" w:eastAsia="Calibri" w:hAnsi="Calibri"/>
                <w:sz w:val="22"/>
                <w:szCs w:val="22"/>
              </w:rPr>
              <w:t xml:space="preserve">Urgent: Your Account Has Been Locked</w:t>
            </w:r>
            <w:r>
              <w:rPr>
                <w:rFonts w:ascii="Calibri" w:cs="Calibri" w:eastAsia="Calibri" w:hAnsi="Calibri"/>
                <w:color w:val="C1121F"/>
                <w:sz w:val="20"/>
                <w:szCs w:val="20"/>
              </w:rPr>
              <w:t xml:space="preserve">  [3]</w:t>
            </w:r>
          </w:p>
          <w:p>
            <w:pPr>
              <w:pBdr>
                <w:bottom w:val="single" w:color="CCD6E4" w:sz="4" w:space="4"/>
              </w:pBdr>
              <w:spacing w:after="160"/>
            </w:pPr>
          </w:p>
          <w:p>
            <w:pPr>
              <w:spacing w:after="160" w:line="300"/>
            </w:pPr>
            <w:r>
              <w:rPr>
                <w:rFonts w:ascii="Calibri" w:cs="Calibri" w:eastAsia="Calibri" w:hAnsi="Calibri"/>
                <w:b/>
                <w:bCs/>
                <w:color w:val="C1121F"/>
                <w:sz w:val="22"/>
                <w:szCs w:val="22"/>
              </w:rPr>
              <w:t xml:space="preserve">Dear Valued Customer,</w:t>
            </w:r>
          </w:p>
          <w:p>
            <w:pPr>
              <w:spacing w:after="160" w:line="300"/>
            </w:pPr>
            <w:r>
              <w:rPr>
                <w:rFonts w:ascii="Calibri" w:cs="Calibri" w:eastAsia="Calibri" w:hAnsi="Calibri"/>
                <w:color w:val="C1121F"/>
                <w:sz w:val="20"/>
                <w:szCs w:val="20"/>
              </w:rPr>
              <w:t xml:space="preserve">[2]  </w:t>
            </w:r>
            <w:r>
              <w:rPr>
                <w:rFonts w:ascii="Calibri" w:cs="Calibri" w:eastAsia="Calibri" w:hAnsi="Calibri"/>
                <w:sz w:val="22"/>
                <w:szCs w:val="22"/>
              </w:rPr>
              <w:t xml:space="preserve">We detected unusual activity on your account. Access has been </w:t>
            </w:r>
            <w:r>
              <w:rPr>
                <w:rFonts w:ascii="Calibri" w:cs="Calibri" w:eastAsia="Calibri" w:hAnsi="Calibri"/>
                <w:b/>
                <w:bCs/>
                <w:sz w:val="22"/>
                <w:szCs w:val="22"/>
              </w:rPr>
              <w:t xml:space="preserve">temporarily suspended</w:t>
            </w:r>
            <w:r>
              <w:rPr>
                <w:rFonts w:ascii="Calibri" w:cs="Calibri" w:eastAsia="Calibri" w:hAnsi="Calibri"/>
                <w:sz w:val="22"/>
                <w:szCs w:val="22"/>
              </w:rPr>
              <w:t xml:space="preserve"> for your protection.</w:t>
            </w:r>
          </w:p>
          <w:p>
            <w:pPr>
              <w:spacing w:after="160" w:line="300"/>
            </w:pPr>
            <w:r>
              <w:rPr>
                <w:rFonts w:ascii="Calibri" w:cs="Calibri" w:eastAsia="Calibri" w:hAnsi="Calibri"/>
                <w:sz w:val="22"/>
                <w:szCs w:val="22"/>
              </w:rPr>
              <w:t xml:space="preserve">Please verify your identity immediately. Failure to respond within </w:t>
            </w:r>
            <w:r>
              <w:rPr>
                <w:rFonts w:ascii="Calibri" w:cs="Calibri" w:eastAsia="Calibri" w:hAnsi="Calibri"/>
                <w:b/>
                <w:bCs/>
                <w:color w:val="C1121F"/>
                <w:sz w:val="22"/>
                <w:szCs w:val="22"/>
              </w:rPr>
              <w:t xml:space="preserve">24 hours</w:t>
            </w:r>
            <w:r>
              <w:rPr>
                <w:rFonts w:ascii="Calibri" w:cs="Calibri" w:eastAsia="Calibri" w:hAnsi="Calibri"/>
                <w:color w:val="C1121F"/>
                <w:sz w:val="22"/>
                <w:szCs w:val="22"/>
              </w:rPr>
              <w:t xml:space="preserve"> will result in permanent closure of your account.</w:t>
            </w:r>
            <w:r>
              <w:rPr>
                <w:rFonts w:ascii="Calibri" w:cs="Calibri" w:eastAsia="Calibri" w:hAnsi="Calibri"/>
                <w:color w:val="C1121F"/>
                <w:sz w:val="20"/>
                <w:szCs w:val="20"/>
              </w:rPr>
              <w:t xml:space="preserve">  [4]</w:t>
            </w:r>
          </w:p>
          <w:p>
            <w:pPr>
              <w:shd w:fill="C1121F" w:val="clear"/>
              <w:spacing w:after="120" w:before="120"/>
              <w:jc w:val="center"/>
            </w:pPr>
            <w:r>
              <w:rPr>
                <w:rFonts w:ascii="Calibri" w:cs="Calibri" w:eastAsia="Calibri" w:hAnsi="Calibri"/>
                <w:b/>
                <w:bCs/>
                <w:color w:val="FFFFFF"/>
                <w:sz w:val="22"/>
                <w:szCs w:val="22"/>
              </w:rPr>
              <w:t xml:space="preserve">▶  Verify My Account Now    [5]</w:t>
            </w:r>
          </w:p>
          <w:p>
            <w:pPr>
              <w:spacing w:after="160" w:line="300"/>
            </w:pPr>
            <w:r>
              <w:rPr>
                <w:rFonts w:ascii="Calibri" w:cs="Calibri" w:eastAsia="Calibri" w:hAnsi="Calibri"/>
                <w:i/>
                <w:iCs/>
                <w:color w:val="5C6B82"/>
                <w:sz w:val="21"/>
                <w:szCs w:val="21"/>
              </w:rPr>
              <w:t xml:space="preserve">Thank you,</w:t>
            </w:r>
          </w:p>
          <w:p>
            <w:pPr>
              <w:spacing w:after="160" w:line="300"/>
            </w:pPr>
            <w:r>
              <w:rPr>
                <w:rFonts w:ascii="Calibri" w:cs="Calibri" w:eastAsia="Calibri" w:hAnsi="Calibri"/>
                <w:i/>
                <w:iCs/>
                <w:color w:val="5C6B82"/>
                <w:sz w:val="21"/>
                <w:szCs w:val="21"/>
              </w:rPr>
              <w:t xml:space="preserve">SecureBank Security Team</w:t>
            </w:r>
          </w:p>
        </w:tc>
      </w:tr>
    </w:tbl>
    <w:p>
      <w:pPr>
        <w:spacing w:before="200"/>
      </w:pPr>
      <w:r>
        <w:rPr>
          <w:rFonts w:ascii="Calibri" w:cs="Calibri" w:eastAsia="Calibri" w:hAnsi="Calibri"/>
          <w:b/>
          <w:bCs/>
          <w:sz w:val="23"/>
          <w:szCs w:val="23"/>
        </w:rPr>
        <w:t xml:space="preserve">Red Flags Identified:</w:t>
      </w:r>
    </w:p>
    <w:p>
      <w:pPr>
        <w:pStyle w:val="ListParagraph"/>
        <w:numPr>
          <w:ilvl w:val="0"/>
          <w:numId w:val="2"/>
        </w:numPr>
        <w:spacing w:after="90" w:line="290"/>
      </w:pPr>
      <w:r>
        <w:rPr>
          <w:rFonts w:ascii="Calibri" w:cs="Calibri" w:eastAsia="Calibri" w:hAnsi="Calibri"/>
          <w:sz w:val="23"/>
          <w:szCs w:val="23"/>
        </w:rPr>
        <w:t xml:space="preserve">[1] The sender domain (securebank-alerts.com) closely resembles, but does not match, the bank's real domain.</w:t>
      </w:r>
    </w:p>
    <w:p>
      <w:pPr>
        <w:pStyle w:val="ListParagraph"/>
        <w:numPr>
          <w:ilvl w:val="0"/>
          <w:numId w:val="2"/>
        </w:numPr>
        <w:spacing w:after="90" w:line="290"/>
      </w:pPr>
      <w:r>
        <w:rPr>
          <w:rFonts w:ascii="Calibri" w:cs="Calibri" w:eastAsia="Calibri" w:hAnsi="Calibri"/>
          <w:sz w:val="23"/>
          <w:szCs w:val="23"/>
        </w:rPr>
        <w:t xml:space="preserve">[2] A generic greeting (“Dear Valued Customer”) is used instead of the recipient's real name.</w:t>
      </w:r>
    </w:p>
    <w:p>
      <w:pPr>
        <w:pStyle w:val="ListParagraph"/>
        <w:numPr>
          <w:ilvl w:val="0"/>
          <w:numId w:val="2"/>
        </w:numPr>
        <w:spacing w:after="90" w:line="290"/>
      </w:pPr>
      <w:r>
        <w:rPr>
          <w:rFonts w:ascii="Calibri" w:cs="Calibri" w:eastAsia="Calibri" w:hAnsi="Calibri"/>
          <w:sz w:val="23"/>
          <w:szCs w:val="23"/>
        </w:rPr>
        <w:t xml:space="preserve">[3] [4] The message manufactures urgency and threatens a serious consequence (permanent account closure) within a tight 24-hour deadline.</w:t>
      </w:r>
    </w:p>
    <w:p>
      <w:pPr>
        <w:pStyle w:val="ListParagraph"/>
        <w:numPr>
          <w:ilvl w:val="0"/>
          <w:numId w:val="2"/>
        </w:numPr>
        <w:spacing w:after="90" w:line="290"/>
      </w:pPr>
      <w:r>
        <w:rPr>
          <w:rFonts w:ascii="Calibri" w:cs="Calibri" w:eastAsia="Calibri" w:hAnsi="Calibri"/>
          <w:sz w:val="23"/>
          <w:szCs w:val="23"/>
        </w:rPr>
        <w:t xml:space="preserve">[5] The call-to-action button hides the real destination URL behind a generic “Verify My Account Now” label.</w:t>
      </w:r>
    </w:p>
    <w:p>
      <w:pPr>
        <w:pStyle w:val="Heading2"/>
      </w:pPr>
      <w:r>
        <w:t xml:space="preserve">6.2 Example 2: Smishing (SMS Phishing) Message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D6E4" w:sz="4"/>
              <w:left w:val="single" w:color="CCD6E4" w:sz="4"/>
              <w:bottom w:val="single" w:color="CCD6E4" w:sz="4"/>
              <w:right w:val="single" w:color="CCD6E4" w:sz="4"/>
            </w:tcBorders>
            <w:shd w:fill="EAF0FA" w:val="clear"/>
            <w:tcMar>
              <w:top w:type="dxa" w:w="160"/>
              <w:left w:type="dxa" w:w="200"/>
              <w:bottom w:type="dxa" w:w="160"/>
              <w:right w:type="dxa" w:w="200"/>
            </w:tcMar>
          </w:tcPr>
          <w:p>
            <w:pPr>
              <w:spacing w:after="160" w:line="300"/>
            </w:pPr>
            <w:r>
              <w:rPr>
                <w:rFonts w:ascii="Calibri" w:cs="Calibri" w:eastAsia="Calibri" w:hAnsi="Calibri"/>
                <w:b/>
                <w:bCs/>
                <w:sz w:val="22"/>
                <w:szCs w:val="22"/>
              </w:rPr>
              <w:t xml:space="preserve">SMS from: </w:t>
            </w:r>
            <w:r>
              <w:rPr>
                <w:rFonts w:ascii="Calibri" w:cs="Calibri" w:eastAsia="Calibri" w:hAnsi="Calibri"/>
                <w:b/>
                <w:bCs/>
                <w:color w:val="C1121F"/>
                <w:sz w:val="22"/>
                <w:szCs w:val="22"/>
              </w:rPr>
              <w:t xml:space="preserve">“ShopEase-Delivery”</w:t>
            </w:r>
          </w:p>
          <w:p>
            <w:pPr>
              <w:spacing w:after="160" w:line="300"/>
            </w:pPr>
            <w:r>
              <w:rPr>
                <w:rFonts w:ascii="Calibri" w:cs="Calibri" w:eastAsia="Calibri" w:hAnsi="Calibri"/>
                <w:i/>
                <w:iCs/>
                <w:sz w:val="22"/>
                <w:szCs w:val="22"/>
              </w:rPr>
              <w:t xml:space="preserve">“Your package #SE-48217 is on hold due to an unpaid customs fee of $1.99. Pay now to avoid return-to-sender: http://shopease-delivery-fee.com/pay”</w:t>
            </w:r>
          </w:p>
        </w:tc>
      </w:tr>
    </w:tbl>
    <w:p>
      <w:pPr>
        <w:spacing w:before="200"/>
      </w:pPr>
      <w:r>
        <w:rPr>
          <w:rFonts w:ascii="Calibri" w:cs="Calibri" w:eastAsia="Calibri" w:hAnsi="Calibri"/>
          <w:b/>
          <w:bCs/>
          <w:sz w:val="23"/>
          <w:szCs w:val="23"/>
        </w:rPr>
        <w:t xml:space="preserve">Red Flags Identified:</w:t>
      </w:r>
    </w:p>
    <w:p>
      <w:pPr>
        <w:pStyle w:val="ListParagraph"/>
        <w:numPr>
          <w:ilvl w:val="0"/>
          <w:numId w:val="2"/>
        </w:numPr>
        <w:spacing w:after="90" w:line="290"/>
      </w:pPr>
      <w:r>
        <w:rPr>
          <w:rFonts w:ascii="Calibri" w:cs="Calibri" w:eastAsia="Calibri" w:hAnsi="Calibri"/>
          <w:sz w:val="23"/>
          <w:szCs w:val="23"/>
        </w:rPr>
        <w:t xml:space="preserve">An unsolicited package notification for a delivery the recipient may not be expecting.</w:t>
      </w:r>
    </w:p>
    <w:p>
      <w:pPr>
        <w:pStyle w:val="ListParagraph"/>
        <w:numPr>
          <w:ilvl w:val="0"/>
          <w:numId w:val="2"/>
        </w:numPr>
        <w:spacing w:after="90" w:line="290"/>
      </w:pPr>
      <w:r>
        <w:rPr>
          <w:rFonts w:ascii="Calibri" w:cs="Calibri" w:eastAsia="Calibri" w:hAnsi="Calibri"/>
          <w:sz w:val="23"/>
          <w:szCs w:val="23"/>
        </w:rPr>
        <w:t xml:space="preserve">A suspiciously small fee ($1.99) designed to feel low-risk and easy to pay without much thought.</w:t>
      </w:r>
    </w:p>
    <w:p>
      <w:pPr>
        <w:pStyle w:val="ListParagraph"/>
        <w:numPr>
          <w:ilvl w:val="0"/>
          <w:numId w:val="2"/>
        </w:numPr>
        <w:spacing w:after="90" w:line="290"/>
      </w:pPr>
      <w:r>
        <w:rPr>
          <w:rFonts w:ascii="Calibri" w:cs="Calibri" w:eastAsia="Calibri" w:hAnsi="Calibri"/>
          <w:sz w:val="23"/>
          <w:szCs w:val="23"/>
        </w:rPr>
        <w:t xml:space="preserve">A non-official, unusual domain (shopease-delivery-fee.com) rather than a real courier or retailer domain.</w:t>
      </w:r>
    </w:p>
    <w:p>
      <w:pPr>
        <w:pStyle w:val="ListParagraph"/>
        <w:numPr>
          <w:ilvl w:val="0"/>
          <w:numId w:val="2"/>
        </w:numPr>
        <w:spacing w:after="90" w:line="290"/>
      </w:pPr>
      <w:r>
        <w:rPr>
          <w:rFonts w:ascii="Calibri" w:cs="Calibri" w:eastAsia="Calibri" w:hAnsi="Calibri"/>
          <w:sz w:val="23"/>
          <w:szCs w:val="23"/>
        </w:rPr>
        <w:t xml:space="preserve">Urgency created by a vague threat (“return-to-sender”) if payment is not made quickly.</w:t>
      </w:r>
    </w:p>
    <w:p>
      <w:pPr>
        <w:pStyle w:val="Heading2"/>
      </w:pPr>
      <w:r>
        <w:t xml:space="preserve">6.3 Example 3: Fake Website Detection</w:t>
      </w:r>
    </w:p>
    <w:p>
      <w:pPr>
        <w:spacing w:after="160" w:line="300"/>
      </w:pPr>
      <w:r>
        <w:rPr>
          <w:rFonts w:ascii="Calibri" w:cs="Calibri" w:eastAsia="Calibri" w:hAnsi="Calibri"/>
          <w:sz w:val="23"/>
          <w:szCs w:val="23"/>
        </w:rPr>
        <w:t xml:space="preserve">The table below compares a legitimate website address with a spoofed look-alike used in a typical phishing campaign.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D6E4" w:sz="4"/>
              <w:left w:val="single" w:color="CCD6E4" w:sz="4"/>
              <w:bottom w:val="single" w:color="CCD6E4" w:sz="4"/>
              <w:right w:val="single" w:color="CCD6E4" w:sz="4"/>
            </w:tcBorders>
            <w:shd w:fill="0B132B" w:val="clear"/>
            <w:tcMar>
              <w:top w:type="dxa" w:w="100"/>
              <w:left w:type="dxa" w:w="130"/>
              <w:bottom w:type="dxa" w:w="100"/>
              <w:right w:type="dxa" w:w="130"/>
            </w:tcMar>
            <w:vAlign w:val="center"/>
          </w:tcPr>
          <w:p>
            <w:pPr>
              <w:jc w:val="left"/>
            </w:pPr>
            <w:r>
              <w:rPr>
                <w:rFonts w:ascii="Calibri" w:cs="Calibri" w:eastAsia="Calibri" w:hAnsi="Calibri"/>
                <w:b/>
                <w:bCs/>
                <w:i w:val="false"/>
                <w:iCs w:val="false"/>
                <w:color w:val="FFFFFF"/>
                <w:sz w:val="22"/>
                <w:szCs w:val="22"/>
              </w:rPr>
              <w:t xml:space="preserve">Indicator</w:t>
            </w:r>
          </w:p>
        </w:tc>
        <w:tc>
          <w:tcPr>
            <w:tcW w:type="dxa" w:w="3280"/>
            <w:tcBorders>
              <w:top w:val="single" w:color="CCD6E4" w:sz="4"/>
              <w:left w:val="single" w:color="CCD6E4" w:sz="4"/>
              <w:bottom w:val="single" w:color="CCD6E4" w:sz="4"/>
              <w:right w:val="single" w:color="CCD6E4" w:sz="4"/>
            </w:tcBorders>
            <w:shd w:fill="0E7C7B" w:val="clear"/>
            <w:tcMar>
              <w:top w:type="dxa" w:w="100"/>
              <w:left w:type="dxa" w:w="130"/>
              <w:bottom w:type="dxa" w:w="100"/>
              <w:right w:type="dxa" w:w="130"/>
            </w:tcMar>
            <w:vAlign w:val="center"/>
          </w:tcPr>
          <w:p>
            <w:pPr>
              <w:jc w:val="center"/>
            </w:pPr>
            <w:r>
              <w:rPr>
                <w:rFonts w:ascii="Calibri" w:cs="Calibri" w:eastAsia="Calibri" w:hAnsi="Calibri"/>
                <w:b/>
                <w:bCs/>
                <w:i w:val="false"/>
                <w:iCs w:val="false"/>
                <w:color w:val="FFFFFF"/>
                <w:sz w:val="22"/>
                <w:szCs w:val="22"/>
              </w:rPr>
              <w:t xml:space="preserve">Legitimate Website</w:t>
            </w:r>
          </w:p>
        </w:tc>
        <w:tc>
          <w:tcPr>
            <w:tcW w:type="dxa" w:w="3280"/>
            <w:tcBorders>
              <w:top w:val="single" w:color="CCD6E4" w:sz="4"/>
              <w:left w:val="single" w:color="CCD6E4" w:sz="4"/>
              <w:bottom w:val="single" w:color="CCD6E4" w:sz="4"/>
              <w:right w:val="single" w:color="CCD6E4" w:sz="4"/>
            </w:tcBorders>
            <w:shd w:fill="C1121F" w:val="clear"/>
            <w:tcMar>
              <w:top w:type="dxa" w:w="100"/>
              <w:left w:type="dxa" w:w="130"/>
              <w:bottom w:type="dxa" w:w="100"/>
              <w:right w:type="dxa" w:w="130"/>
            </w:tcMar>
            <w:vAlign w:val="center"/>
          </w:tcPr>
          <w:p>
            <w:pPr>
              <w:jc w:val="center"/>
            </w:pPr>
            <w:r>
              <w:rPr>
                <w:rFonts w:ascii="Calibri" w:cs="Calibri" w:eastAsia="Calibri" w:hAnsi="Calibri"/>
                <w:b/>
                <w:bCs/>
                <w:i w:val="false"/>
                <w:iCs w:val="false"/>
                <w:color w:val="FFFFFF"/>
                <w:sz w:val="22"/>
                <w:szCs w:val="22"/>
              </w:rPr>
              <w:t xml:space="preserve">Fake / Spoofed Website</w:t>
            </w:r>
          </w:p>
        </w:tc>
      </w:tr>
      <w:tr>
        <w:tc>
          <w:tcPr>
            <w:tcW w:type="dxa" w:w="2800"/>
            <w:tcBorders>
              <w:top w:val="single" w:color="CCD6E4" w:sz="4"/>
              <w:left w:val="single" w:color="CCD6E4" w:sz="4"/>
              <w:bottom w:val="single" w:color="CCD6E4" w:sz="4"/>
              <w:right w:val="single" w:color="CCD6E4" w:sz="4"/>
            </w:tcBorders>
            <w:shd w:fill="EAF0FA" w:val="clear"/>
            <w:tcMar>
              <w:top w:type="dxa" w:w="100"/>
              <w:left w:type="dxa" w:w="130"/>
              <w:bottom w:type="dxa" w:w="100"/>
              <w:right w:type="dxa" w:w="130"/>
            </w:tcMar>
            <w:vAlign w:val="center"/>
          </w:tcPr>
          <w:p>
            <w:pPr>
              <w:jc w:val="left"/>
            </w:pPr>
            <w:r>
              <w:rPr>
                <w:rFonts w:ascii="Calibri" w:cs="Calibri" w:eastAsia="Calibri" w:hAnsi="Calibri"/>
                <w:b/>
                <w:bCs/>
                <w:i w:val="false"/>
                <w:iCs w:val="false"/>
                <w:color w:val="000000"/>
                <w:sz w:val="22"/>
                <w:szCs w:val="22"/>
              </w:rPr>
              <w:t xml:space="preserve">Web Address (URL)</w:t>
            </w:r>
          </w:p>
        </w:tc>
        <w:tc>
          <w:tcPr>
            <w:tcW w:type="dxa" w:w="3280"/>
            <w:tcBorders>
              <w:top w:val="single" w:color="CCD6E4" w:sz="4"/>
              <w:left w:val="single" w:color="CCD6E4" w:sz="4"/>
              <w:bottom w:val="single" w:color="CCD6E4" w:sz="4"/>
              <w:right w:val="single" w:color="CCD6E4" w:sz="4"/>
            </w:tcBorders>
            <w:shd w:fill="E6F4F3" w:val="clear"/>
            <w:tcMar>
              <w:top w:type="dxa" w:w="100"/>
              <w:left w:type="dxa" w:w="130"/>
              <w:bottom w:type="dxa" w:w="100"/>
              <w:right w:type="dxa" w:w="130"/>
            </w:tcMar>
            <w:vAlign w:val="center"/>
          </w:tcPr>
          <w:p>
            <w:pPr>
              <w:jc w:val="center"/>
            </w:pPr>
            <w:r>
              <w:rPr>
                <w:rFonts w:ascii="Calibri" w:cs="Calibri" w:eastAsia="Calibri" w:hAnsi="Calibri"/>
                <w:b w:val="false"/>
                <w:bCs w:val="false"/>
                <w:i w:val="false"/>
                <w:iCs w:val="false"/>
                <w:color w:val="000000"/>
                <w:sz w:val="22"/>
                <w:szCs w:val="22"/>
              </w:rPr>
              <w:t xml:space="preserve">https://www.securebank.com</w:t>
            </w:r>
          </w:p>
        </w:tc>
        <w:tc>
          <w:tcPr>
            <w:tcW w:type="dxa" w:w="3280"/>
            <w:tcBorders>
              <w:top w:val="single" w:color="CCD6E4" w:sz="4"/>
              <w:left w:val="single" w:color="CCD6E4" w:sz="4"/>
              <w:bottom w:val="single" w:color="CCD6E4" w:sz="4"/>
              <w:right w:val="single" w:color="CCD6E4" w:sz="4"/>
            </w:tcBorders>
            <w:shd w:fill="FBEAEC" w:val="clear"/>
            <w:tcMar>
              <w:top w:type="dxa" w:w="100"/>
              <w:left w:type="dxa" w:w="130"/>
              <w:bottom w:type="dxa" w:w="100"/>
              <w:right w:type="dxa" w:w="130"/>
            </w:tcMar>
            <w:vAlign w:val="center"/>
          </w:tcPr>
          <w:p>
            <w:pPr>
              <w:jc w:val="center"/>
            </w:pPr>
            <w:r>
              <w:rPr>
                <w:rFonts w:ascii="Calibri" w:cs="Calibri" w:eastAsia="Calibri" w:hAnsi="Calibri"/>
                <w:b w:val="false"/>
                <w:bCs w:val="false"/>
                <w:i w:val="false"/>
                <w:iCs w:val="false"/>
                <w:color w:val="C1121F"/>
                <w:sz w:val="22"/>
                <w:szCs w:val="22"/>
              </w:rPr>
              <w:t xml:space="preserve">http://secure-bank-login.net</w:t>
            </w:r>
          </w:p>
        </w:tc>
      </w:tr>
      <w:tr>
        <w:tc>
          <w:tcPr>
            <w:tcW w:type="dxa" w:w="2800"/>
            <w:tcBorders>
              <w:top w:val="single" w:color="CCD6E4" w:sz="4"/>
              <w:left w:val="single" w:color="CCD6E4" w:sz="4"/>
              <w:bottom w:val="single" w:color="CCD6E4" w:sz="4"/>
              <w:right w:val="single" w:color="CCD6E4" w:sz="4"/>
            </w:tcBorders>
            <w:shd w:fill="EAF0FA" w:val="clear"/>
            <w:tcMar>
              <w:top w:type="dxa" w:w="100"/>
              <w:left w:type="dxa" w:w="130"/>
              <w:bottom w:type="dxa" w:w="100"/>
              <w:right w:type="dxa" w:w="130"/>
            </w:tcMar>
            <w:vAlign w:val="center"/>
          </w:tcPr>
          <w:p>
            <w:pPr>
              <w:jc w:val="left"/>
            </w:pPr>
            <w:r>
              <w:rPr>
                <w:rFonts w:ascii="Calibri" w:cs="Calibri" w:eastAsia="Calibri" w:hAnsi="Calibri"/>
                <w:b/>
                <w:bCs/>
                <w:i w:val="false"/>
                <w:iCs w:val="false"/>
                <w:color w:val="000000"/>
                <w:sz w:val="22"/>
                <w:szCs w:val="22"/>
              </w:rPr>
              <w:t xml:space="preserve">Domain Spelling</w:t>
            </w:r>
          </w:p>
        </w:tc>
        <w:tc>
          <w:tcPr>
            <w:tcW w:type="dxa" w:w="3280"/>
            <w:tcBorders>
              <w:top w:val="single" w:color="CCD6E4" w:sz="4"/>
              <w:left w:val="single" w:color="CCD6E4" w:sz="4"/>
              <w:bottom w:val="single" w:color="CCD6E4" w:sz="4"/>
              <w:right w:val="single" w:color="CCD6E4" w:sz="4"/>
            </w:tcBorders>
            <w:shd w:fill="FFFFFF" w:val="clear"/>
            <w:tcMar>
              <w:top w:type="dxa" w:w="100"/>
              <w:left w:type="dxa" w:w="130"/>
              <w:bottom w:type="dxa" w:w="100"/>
              <w:right w:type="dxa" w:w="130"/>
            </w:tcMar>
            <w:vAlign w:val="center"/>
          </w:tcPr>
          <w:p>
            <w:pPr>
              <w:jc w:val="left"/>
            </w:pPr>
            <w:r>
              <w:rPr>
                <w:rFonts w:ascii="Calibri" w:cs="Calibri" w:eastAsia="Calibri" w:hAnsi="Calibri"/>
                <w:b w:val="false"/>
                <w:bCs w:val="false"/>
                <w:i w:val="false"/>
                <w:iCs w:val="false"/>
                <w:color w:val="000000"/>
                <w:sz w:val="22"/>
                <w:szCs w:val="22"/>
              </w:rPr>
              <w:t xml:space="preserve">Correct, fully-spelled official domain</w:t>
            </w:r>
          </w:p>
        </w:tc>
        <w:tc>
          <w:tcPr>
            <w:tcW w:type="dxa" w:w="3280"/>
            <w:tcBorders>
              <w:top w:val="single" w:color="CCD6E4" w:sz="4"/>
              <w:left w:val="single" w:color="CCD6E4" w:sz="4"/>
              <w:bottom w:val="single" w:color="CCD6E4" w:sz="4"/>
              <w:right w:val="single" w:color="CCD6E4" w:sz="4"/>
            </w:tcBorders>
            <w:shd w:fill="FFFFFF" w:val="clear"/>
            <w:tcMar>
              <w:top w:type="dxa" w:w="100"/>
              <w:left w:type="dxa" w:w="130"/>
              <w:bottom w:type="dxa" w:w="100"/>
              <w:right w:type="dxa" w:w="130"/>
            </w:tcMar>
            <w:vAlign w:val="center"/>
          </w:tcPr>
          <w:p>
            <w:pPr>
              <w:jc w:val="left"/>
            </w:pPr>
            <w:r>
              <w:rPr>
                <w:rFonts w:ascii="Calibri" w:cs="Calibri" w:eastAsia="Calibri" w:hAnsi="Calibri"/>
                <w:b w:val="false"/>
                <w:bCs w:val="false"/>
                <w:i w:val="false"/>
                <w:iCs w:val="false"/>
                <w:color w:val="000000"/>
                <w:sz w:val="22"/>
                <w:szCs w:val="22"/>
              </w:rPr>
              <w:t xml:space="preserve">Extra words / hyphens added to a look-alike domain</w:t>
            </w:r>
          </w:p>
        </w:tc>
      </w:tr>
      <w:tr>
        <w:tc>
          <w:tcPr>
            <w:tcW w:type="dxa" w:w="2800"/>
            <w:tcBorders>
              <w:top w:val="single" w:color="CCD6E4" w:sz="4"/>
              <w:left w:val="single" w:color="CCD6E4" w:sz="4"/>
              <w:bottom w:val="single" w:color="CCD6E4" w:sz="4"/>
              <w:right w:val="single" w:color="CCD6E4" w:sz="4"/>
            </w:tcBorders>
            <w:shd w:fill="EAF0FA" w:val="clear"/>
            <w:tcMar>
              <w:top w:type="dxa" w:w="100"/>
              <w:left w:type="dxa" w:w="130"/>
              <w:bottom w:type="dxa" w:w="100"/>
              <w:right w:type="dxa" w:w="130"/>
            </w:tcMar>
            <w:vAlign w:val="center"/>
          </w:tcPr>
          <w:p>
            <w:pPr>
              <w:jc w:val="left"/>
            </w:pPr>
            <w:r>
              <w:rPr>
                <w:rFonts w:ascii="Calibri" w:cs="Calibri" w:eastAsia="Calibri" w:hAnsi="Calibri"/>
                <w:b/>
                <w:bCs/>
                <w:i w:val="false"/>
                <w:iCs w:val="false"/>
                <w:color w:val="000000"/>
                <w:sz w:val="22"/>
                <w:szCs w:val="22"/>
              </w:rPr>
              <w:t xml:space="preserve">Connection Security</w:t>
            </w:r>
          </w:p>
        </w:tc>
        <w:tc>
          <w:tcPr>
            <w:tcW w:type="dxa" w:w="3280"/>
            <w:tcBorders>
              <w:top w:val="single" w:color="CCD6E4" w:sz="4"/>
              <w:left w:val="single" w:color="CCD6E4" w:sz="4"/>
              <w:bottom w:val="single" w:color="CCD6E4" w:sz="4"/>
              <w:right w:val="single" w:color="CCD6E4" w:sz="4"/>
            </w:tcBorders>
            <w:shd w:fill="FFFFFF" w:val="clear"/>
            <w:tcMar>
              <w:top w:type="dxa" w:w="100"/>
              <w:left w:type="dxa" w:w="130"/>
              <w:bottom w:type="dxa" w:w="100"/>
              <w:right w:type="dxa" w:w="130"/>
            </w:tcMar>
            <w:vAlign w:val="center"/>
          </w:tcPr>
          <w:p>
            <w:pPr>
              <w:jc w:val="left"/>
            </w:pPr>
            <w:r>
              <w:rPr>
                <w:rFonts w:ascii="Calibri" w:cs="Calibri" w:eastAsia="Calibri" w:hAnsi="Calibri"/>
                <w:b w:val="false"/>
                <w:bCs w:val="false"/>
                <w:i w:val="false"/>
                <w:iCs w:val="false"/>
                <w:color w:val="000000"/>
                <w:sz w:val="22"/>
                <w:szCs w:val="22"/>
              </w:rPr>
              <w:t xml:space="preserve">Valid HTTPS padlock and certificate</w:t>
            </w:r>
          </w:p>
        </w:tc>
        <w:tc>
          <w:tcPr>
            <w:tcW w:type="dxa" w:w="3280"/>
            <w:tcBorders>
              <w:top w:val="single" w:color="CCD6E4" w:sz="4"/>
              <w:left w:val="single" w:color="CCD6E4" w:sz="4"/>
              <w:bottom w:val="single" w:color="CCD6E4" w:sz="4"/>
              <w:right w:val="single" w:color="CCD6E4" w:sz="4"/>
            </w:tcBorders>
            <w:shd w:fill="FFFFFF" w:val="clear"/>
            <w:tcMar>
              <w:top w:type="dxa" w:w="100"/>
              <w:left w:type="dxa" w:w="130"/>
              <w:bottom w:type="dxa" w:w="100"/>
              <w:right w:type="dxa" w:w="130"/>
            </w:tcMar>
            <w:vAlign w:val="center"/>
          </w:tcPr>
          <w:p>
            <w:pPr>
              <w:jc w:val="left"/>
            </w:pPr>
            <w:r>
              <w:rPr>
                <w:rFonts w:ascii="Calibri" w:cs="Calibri" w:eastAsia="Calibri" w:hAnsi="Calibri"/>
                <w:b w:val="false"/>
                <w:bCs w:val="false"/>
                <w:i w:val="false"/>
                <w:iCs w:val="false"/>
                <w:color w:val="000000"/>
                <w:sz w:val="22"/>
                <w:szCs w:val="22"/>
              </w:rPr>
              <w:t xml:space="preserve">No HTTPS, or a padlock with an invalid certificate</w:t>
            </w:r>
          </w:p>
        </w:tc>
      </w:tr>
      <w:tr>
        <w:tc>
          <w:tcPr>
            <w:tcW w:type="dxa" w:w="2800"/>
            <w:tcBorders>
              <w:top w:val="single" w:color="CCD6E4" w:sz="4"/>
              <w:left w:val="single" w:color="CCD6E4" w:sz="4"/>
              <w:bottom w:val="single" w:color="CCD6E4" w:sz="4"/>
              <w:right w:val="single" w:color="CCD6E4" w:sz="4"/>
            </w:tcBorders>
            <w:shd w:fill="EAF0FA" w:val="clear"/>
            <w:tcMar>
              <w:top w:type="dxa" w:w="100"/>
              <w:left w:type="dxa" w:w="130"/>
              <w:bottom w:type="dxa" w:w="100"/>
              <w:right w:type="dxa" w:w="130"/>
            </w:tcMar>
            <w:vAlign w:val="center"/>
          </w:tcPr>
          <w:p>
            <w:pPr>
              <w:jc w:val="left"/>
            </w:pPr>
            <w:r>
              <w:rPr>
                <w:rFonts w:ascii="Calibri" w:cs="Calibri" w:eastAsia="Calibri" w:hAnsi="Calibri"/>
                <w:b/>
                <w:bCs/>
                <w:i w:val="false"/>
                <w:iCs w:val="false"/>
                <w:color w:val="000000"/>
                <w:sz w:val="22"/>
                <w:szCs w:val="22"/>
              </w:rPr>
              <w:t xml:space="preserve">Design &amp; Behavior</w:t>
            </w:r>
          </w:p>
        </w:tc>
        <w:tc>
          <w:tcPr>
            <w:tcW w:type="dxa" w:w="3280"/>
            <w:tcBorders>
              <w:top w:val="single" w:color="CCD6E4" w:sz="4"/>
              <w:left w:val="single" w:color="CCD6E4" w:sz="4"/>
              <w:bottom w:val="single" w:color="CCD6E4" w:sz="4"/>
              <w:right w:val="single" w:color="CCD6E4" w:sz="4"/>
            </w:tcBorders>
            <w:shd w:fill="FFFFFF" w:val="clear"/>
            <w:tcMar>
              <w:top w:type="dxa" w:w="100"/>
              <w:left w:type="dxa" w:w="130"/>
              <w:bottom w:type="dxa" w:w="100"/>
              <w:right w:type="dxa" w:w="130"/>
            </w:tcMar>
            <w:vAlign w:val="center"/>
          </w:tcPr>
          <w:p>
            <w:pPr>
              <w:jc w:val="left"/>
            </w:pPr>
            <w:r>
              <w:rPr>
                <w:rFonts w:ascii="Calibri" w:cs="Calibri" w:eastAsia="Calibri" w:hAnsi="Calibri"/>
                <w:b w:val="false"/>
                <w:bCs w:val="false"/>
                <w:i w:val="false"/>
                <w:iCs w:val="false"/>
                <w:color w:val="000000"/>
                <w:sz w:val="22"/>
                <w:szCs w:val="22"/>
              </w:rPr>
              <w:t xml:space="preserve">Consistent branding, working links, no pop-up demands</w:t>
            </w:r>
          </w:p>
        </w:tc>
        <w:tc>
          <w:tcPr>
            <w:tcW w:type="dxa" w:w="3280"/>
            <w:tcBorders>
              <w:top w:val="single" w:color="CCD6E4" w:sz="4"/>
              <w:left w:val="single" w:color="CCD6E4" w:sz="4"/>
              <w:bottom w:val="single" w:color="CCD6E4" w:sz="4"/>
              <w:right w:val="single" w:color="CCD6E4" w:sz="4"/>
            </w:tcBorders>
            <w:shd w:fill="FFFFFF" w:val="clear"/>
            <w:tcMar>
              <w:top w:type="dxa" w:w="100"/>
              <w:left w:type="dxa" w:w="130"/>
              <w:bottom w:type="dxa" w:w="100"/>
              <w:right w:type="dxa" w:w="130"/>
            </w:tcMar>
            <w:vAlign w:val="center"/>
          </w:tcPr>
          <w:p>
            <w:pPr>
              <w:jc w:val="left"/>
            </w:pPr>
            <w:r>
              <w:rPr>
                <w:rFonts w:ascii="Calibri" w:cs="Calibri" w:eastAsia="Calibri" w:hAnsi="Calibri"/>
                <w:b w:val="false"/>
                <w:bCs w:val="false"/>
                <w:i w:val="false"/>
                <w:iCs w:val="false"/>
                <w:color w:val="000000"/>
                <w:sz w:val="22"/>
                <w:szCs w:val="22"/>
              </w:rPr>
              <w:t xml:space="preserve">Poor design, urgent pop-ups demanding full card and PIN</w:t>
            </w:r>
          </w:p>
        </w:tc>
      </w:tr>
    </w:tbl>
    <w:p>
      <w:pPr>
        <w:spacing w:before="200"/>
      </w:pPr>
      <w:r>
        <w:rPr>
          <w:rFonts w:ascii="Calibri" w:cs="Calibri" w:eastAsia="Calibri" w:hAnsi="Calibri"/>
          <w:b/>
          <w:bCs/>
          <w:sz w:val="23"/>
          <w:szCs w:val="23"/>
        </w:rPr>
        <w:t xml:space="preserve">Verification Checklist:</w:t>
      </w:r>
    </w:p>
    <w:p>
      <w:pPr>
        <w:pStyle w:val="ListParagraph"/>
        <w:numPr>
          <w:ilvl w:val="0"/>
          <w:numId w:val="2"/>
        </w:numPr>
        <w:spacing w:after="90" w:line="290"/>
      </w:pPr>
      <w:r>
        <w:rPr>
          <w:rFonts w:ascii="Calibri" w:cs="Calibri" w:eastAsia="Calibri" w:hAnsi="Calibri"/>
          <w:sz w:val="23"/>
          <w:szCs w:val="23"/>
        </w:rPr>
        <w:t xml:space="preserve">Type the website address manually rather than clicking a link from an email or text message.</w:t>
      </w:r>
    </w:p>
    <w:p>
      <w:pPr>
        <w:pStyle w:val="ListParagraph"/>
        <w:numPr>
          <w:ilvl w:val="0"/>
          <w:numId w:val="2"/>
        </w:numPr>
        <w:spacing w:after="90" w:line="290"/>
      </w:pPr>
      <w:r>
        <w:rPr>
          <w:rFonts w:ascii="Calibri" w:cs="Calibri" w:eastAsia="Calibri" w:hAnsi="Calibri"/>
          <w:sz w:val="23"/>
          <w:szCs w:val="23"/>
        </w:rPr>
        <w:t xml:space="preserve">Read the URL character-by-character, watching for swapped letters or inserted words.</w:t>
      </w:r>
    </w:p>
    <w:p>
      <w:pPr>
        <w:pStyle w:val="ListParagraph"/>
        <w:numPr>
          <w:ilvl w:val="0"/>
          <w:numId w:val="2"/>
        </w:numPr>
        <w:spacing w:after="90" w:line="290"/>
      </w:pPr>
      <w:r>
        <w:rPr>
          <w:rFonts w:ascii="Calibri" w:cs="Calibri" w:eastAsia="Calibri" w:hAnsi="Calibri"/>
          <w:sz w:val="23"/>
          <w:szCs w:val="23"/>
        </w:rPr>
        <w:t xml:space="preserve">Do not rely on HTTPS alone as proof of legitimacy.</w:t>
      </w:r>
    </w:p>
    <w:p>
      <w:pPr>
        <w:pStyle w:val="ListParagraph"/>
        <w:numPr>
          <w:ilvl w:val="0"/>
          <w:numId w:val="2"/>
        </w:numPr>
        <w:spacing w:after="90" w:line="290"/>
      </w:pPr>
      <w:r>
        <w:rPr>
          <w:rFonts w:ascii="Calibri" w:cs="Calibri" w:eastAsia="Calibri" w:hAnsi="Calibri"/>
          <w:sz w:val="23"/>
          <w:szCs w:val="23"/>
        </w:rPr>
        <w:t xml:space="preserve">Hover over links to preview the real destination before clicking.</w:t>
      </w:r>
    </w:p>
    <w:p>
      <w:pPr>
        <w:pStyle w:val="ListParagraph"/>
        <w:numPr>
          <w:ilvl w:val="0"/>
          <w:numId w:val="2"/>
        </w:numPr>
        <w:spacing w:after="90" w:line="290"/>
      </w:pPr>
      <w:r>
        <w:rPr>
          <w:rFonts w:ascii="Calibri" w:cs="Calibri" w:eastAsia="Calibri" w:hAnsi="Calibri"/>
          <w:sz w:val="23"/>
          <w:szCs w:val="23"/>
        </w:rPr>
        <w:t xml:space="preserve">Look for a genuine “About” page and verifiable contact details.</w:t>
      </w:r>
    </w:p>
    <w:p>
      <w:r>
        <w:br w:type="page"/>
      </w:r>
    </w:p>
    <w:p>
      <w:pPr>
        <w:pStyle w:val="Heading1"/>
      </w:pPr>
      <w:r>
        <w:t xml:space="preserve">7. Quiz Section</w:t>
      </w:r>
    </w:p>
    <w:p>
      <w:pPr>
        <w:spacing w:after="160" w:line="300"/>
      </w:pPr>
      <w:r>
        <w:rPr>
          <w:rFonts w:ascii="Calibri" w:cs="Calibri" w:eastAsia="Calibri" w:hAnsi="Calibri"/>
          <w:sz w:val="23"/>
          <w:szCs w:val="23"/>
        </w:rPr>
        <w:t xml:space="preserve">The following six multiple-choice questions were designed to reinforce the training material and can be used as a live, discussion-based activity (as presented in the accompanying slide deck) or as a written self-assessment. The correct answer and a short rationale are provided for each question below.</w:t>
      </w:r>
    </w:p>
    <w:p>
      <w:pPr>
        <w:spacing w:after="60" w:before="200"/>
      </w:pPr>
      <w:r>
        <w:rPr>
          <w:rFonts w:ascii="Calibri" w:cs="Calibri" w:eastAsia="Calibri" w:hAnsi="Calibri"/>
          <w:b/>
          <w:bCs/>
          <w:sz w:val="23"/>
          <w:szCs w:val="23"/>
        </w:rPr>
        <w:t xml:space="preserve">Q1. What is the main goal of a phishing attack?</w:t>
      </w:r>
    </w:p>
    <w:p>
      <w:pPr>
        <w:spacing w:after="40"/>
        <w:ind w:left="360"/>
      </w:pPr>
      <w:r>
        <w:rPr>
          <w:rFonts w:ascii="Calibri" w:cs="Calibri" w:eastAsia="Calibri" w:hAnsi="Calibri"/>
          <w:b w:val="false"/>
          <w:bCs w:val="false"/>
          <w:color w:val="000000"/>
          <w:sz w:val="22"/>
          <w:szCs w:val="22"/>
        </w:rPr>
        <w:t xml:space="preserve">A. Improve internet speed</w:t>
      </w:r>
    </w:p>
    <w:p>
      <w:pPr>
        <w:spacing w:after="40"/>
        <w:ind w:left="360"/>
      </w:pPr>
      <w:r>
        <w:rPr>
          <w:rFonts w:ascii="Calibri" w:cs="Calibri" w:eastAsia="Calibri" w:hAnsi="Calibri"/>
          <w:b/>
          <w:bCs/>
          <w:color w:val="0E7C7B"/>
          <w:sz w:val="22"/>
          <w:szCs w:val="22"/>
        </w:rPr>
        <w:t xml:space="preserve">B. Steal sensitive personal or financial data  ✓ Correct Answer</w:t>
      </w:r>
    </w:p>
    <w:p>
      <w:pPr>
        <w:spacing w:after="40"/>
        <w:ind w:left="360"/>
      </w:pPr>
      <w:r>
        <w:rPr>
          <w:rFonts w:ascii="Calibri" w:cs="Calibri" w:eastAsia="Calibri" w:hAnsi="Calibri"/>
          <w:b w:val="false"/>
          <w:bCs w:val="false"/>
          <w:color w:val="000000"/>
          <w:sz w:val="22"/>
          <w:szCs w:val="22"/>
        </w:rPr>
        <w:t xml:space="preserve">C. Update software automatically</w:t>
      </w:r>
    </w:p>
    <w:p>
      <w:pPr>
        <w:spacing w:after="40"/>
        <w:ind w:left="360"/>
      </w:pPr>
      <w:r>
        <w:rPr>
          <w:rFonts w:ascii="Calibri" w:cs="Calibri" w:eastAsia="Calibri" w:hAnsi="Calibri"/>
          <w:b w:val="false"/>
          <w:bCs w:val="false"/>
          <w:color w:val="000000"/>
          <w:sz w:val="22"/>
          <w:szCs w:val="22"/>
        </w:rPr>
        <w:t xml:space="preserve">D. Repair a damaged device</w:t>
      </w:r>
    </w:p>
    <w:p>
      <w:pPr>
        <w:spacing w:after="160"/>
        <w:ind w:left="360"/>
      </w:pPr>
      <w:r>
        <w:rPr>
          <w:rFonts w:ascii="Calibri" w:cs="Calibri" w:eastAsia="Calibri" w:hAnsi="Calibri"/>
          <w:i/>
          <w:iCs/>
          <w:color w:val="5C6B82"/>
          <w:sz w:val="21"/>
          <w:szCs w:val="21"/>
        </w:rPr>
        <w:t xml:space="preserve">Rationale: Phishing exists to extract valuable information — credentials, financial data, or personal details — or to deliver malware, not to perform any legitimate technical service.</w:t>
      </w:r>
    </w:p>
    <w:p>
      <w:pPr>
        <w:spacing w:after="60" w:before="200"/>
      </w:pPr>
      <w:r>
        <w:rPr>
          <w:rFonts w:ascii="Calibri" w:cs="Calibri" w:eastAsia="Calibri" w:hAnsi="Calibri"/>
          <w:b/>
          <w:bCs/>
          <w:sz w:val="23"/>
          <w:szCs w:val="23"/>
        </w:rPr>
        <w:t xml:space="preserve">Q2. Which of these is a common phishing email red flag?</w:t>
      </w:r>
    </w:p>
    <w:p>
      <w:pPr>
        <w:spacing w:after="40"/>
        <w:ind w:left="360"/>
      </w:pPr>
      <w:r>
        <w:rPr>
          <w:rFonts w:ascii="Calibri" w:cs="Calibri" w:eastAsia="Calibri" w:hAnsi="Calibri"/>
          <w:b w:val="false"/>
          <w:bCs w:val="false"/>
          <w:color w:val="000000"/>
          <w:sz w:val="22"/>
          <w:szCs w:val="22"/>
        </w:rPr>
        <w:t xml:space="preserve">A. Personalized greeting with your full name</w:t>
      </w:r>
    </w:p>
    <w:p>
      <w:pPr>
        <w:spacing w:after="40"/>
        <w:ind w:left="360"/>
      </w:pPr>
      <w:r>
        <w:rPr>
          <w:rFonts w:ascii="Calibri" w:cs="Calibri" w:eastAsia="Calibri" w:hAnsi="Calibri"/>
          <w:b/>
          <w:bCs/>
          <w:color w:val="0E7C7B"/>
          <w:sz w:val="22"/>
          <w:szCs w:val="22"/>
        </w:rPr>
        <w:t xml:space="preserve">B. Urgent threats with a tight deadline  ✓ Correct Answer</w:t>
      </w:r>
    </w:p>
    <w:p>
      <w:pPr>
        <w:spacing w:after="40"/>
        <w:ind w:left="360"/>
      </w:pPr>
      <w:r>
        <w:rPr>
          <w:rFonts w:ascii="Calibri" w:cs="Calibri" w:eastAsia="Calibri" w:hAnsi="Calibri"/>
          <w:b w:val="false"/>
          <w:bCs w:val="false"/>
          <w:color w:val="000000"/>
          <w:sz w:val="22"/>
          <w:szCs w:val="22"/>
        </w:rPr>
        <w:t xml:space="preserve">C. A verified company domain</w:t>
      </w:r>
    </w:p>
    <w:p>
      <w:pPr>
        <w:spacing w:after="40"/>
        <w:ind w:left="360"/>
      </w:pPr>
      <w:r>
        <w:rPr>
          <w:rFonts w:ascii="Calibri" w:cs="Calibri" w:eastAsia="Calibri" w:hAnsi="Calibri"/>
          <w:b w:val="false"/>
          <w:bCs w:val="false"/>
          <w:color w:val="000000"/>
          <w:sz w:val="22"/>
          <w:szCs w:val="22"/>
        </w:rPr>
        <w:t xml:space="preserve">D. No links or attachments at all</w:t>
      </w:r>
    </w:p>
    <w:p>
      <w:pPr>
        <w:spacing w:after="160"/>
        <w:ind w:left="360"/>
      </w:pPr>
      <w:r>
        <w:rPr>
          <w:rFonts w:ascii="Calibri" w:cs="Calibri" w:eastAsia="Calibri" w:hAnsi="Calibri"/>
          <w:i/>
          <w:iCs/>
          <w:color w:val="5C6B82"/>
          <w:sz w:val="21"/>
          <w:szCs w:val="21"/>
        </w:rPr>
        <w:t xml:space="preserve">Rationale: Manufactured urgency is a hallmark social-engineering tactic used to pressure victims into acting before they can think critically.</w:t>
      </w:r>
    </w:p>
    <w:p>
      <w:pPr>
        <w:spacing w:after="60" w:before="200"/>
      </w:pPr>
      <w:r>
        <w:rPr>
          <w:rFonts w:ascii="Calibri" w:cs="Calibri" w:eastAsia="Calibri" w:hAnsi="Calibri"/>
          <w:b/>
          <w:bCs/>
          <w:sz w:val="23"/>
          <w:szCs w:val="23"/>
        </w:rPr>
        <w:t xml:space="preserve">Q3. What is “smishing”?</w:t>
      </w:r>
    </w:p>
    <w:p>
      <w:pPr>
        <w:spacing w:after="40"/>
        <w:ind w:left="360"/>
      </w:pPr>
      <w:r>
        <w:rPr>
          <w:rFonts w:ascii="Calibri" w:cs="Calibri" w:eastAsia="Calibri" w:hAnsi="Calibri"/>
          <w:b w:val="false"/>
          <w:bCs w:val="false"/>
          <w:color w:val="000000"/>
          <w:sz w:val="22"/>
          <w:szCs w:val="22"/>
        </w:rPr>
        <w:t xml:space="preserve">A. Phishing through social media</w:t>
      </w:r>
    </w:p>
    <w:p>
      <w:pPr>
        <w:spacing w:after="40"/>
        <w:ind w:left="360"/>
      </w:pPr>
      <w:r>
        <w:rPr>
          <w:rFonts w:ascii="Calibri" w:cs="Calibri" w:eastAsia="Calibri" w:hAnsi="Calibri"/>
          <w:b/>
          <w:bCs/>
          <w:color w:val="0E7C7B"/>
          <w:sz w:val="22"/>
          <w:szCs w:val="22"/>
        </w:rPr>
        <w:t xml:space="preserve">B. Phishing through SMS text messages  ✓ Correct Answer</w:t>
      </w:r>
    </w:p>
    <w:p>
      <w:pPr>
        <w:spacing w:after="40"/>
        <w:ind w:left="360"/>
      </w:pPr>
      <w:r>
        <w:rPr>
          <w:rFonts w:ascii="Calibri" w:cs="Calibri" w:eastAsia="Calibri" w:hAnsi="Calibri"/>
          <w:b w:val="false"/>
          <w:bCs w:val="false"/>
          <w:color w:val="000000"/>
          <w:sz w:val="22"/>
          <w:szCs w:val="22"/>
        </w:rPr>
        <w:t xml:space="preserve">C. Phishing through phone calls</w:t>
      </w:r>
    </w:p>
    <w:p>
      <w:pPr>
        <w:spacing w:after="40"/>
        <w:ind w:left="360"/>
      </w:pPr>
      <w:r>
        <w:rPr>
          <w:rFonts w:ascii="Calibri" w:cs="Calibri" w:eastAsia="Calibri" w:hAnsi="Calibri"/>
          <w:b w:val="false"/>
          <w:bCs w:val="false"/>
          <w:color w:val="000000"/>
          <w:sz w:val="22"/>
          <w:szCs w:val="22"/>
        </w:rPr>
        <w:t xml:space="preserve">D. Phishing through fax machines</w:t>
      </w:r>
    </w:p>
    <w:p>
      <w:pPr>
        <w:spacing w:after="160"/>
        <w:ind w:left="360"/>
      </w:pPr>
      <w:r>
        <w:rPr>
          <w:rFonts w:ascii="Calibri" w:cs="Calibri" w:eastAsia="Calibri" w:hAnsi="Calibri"/>
          <w:i/>
          <w:iCs/>
          <w:color w:val="5C6B82"/>
          <w:sz w:val="21"/>
          <w:szCs w:val="21"/>
        </w:rPr>
        <w:t xml:space="preserve">Rationale: Smishing combines “SMS” and “phishing” — it specifically refers to phishing attacks delivered via text message.</w:t>
      </w:r>
    </w:p>
    <w:p>
      <w:pPr>
        <w:spacing w:after="60" w:before="200"/>
      </w:pPr>
      <w:r>
        <w:rPr>
          <w:rFonts w:ascii="Calibri" w:cs="Calibri" w:eastAsia="Calibri" w:hAnsi="Calibri"/>
          <w:b/>
          <w:bCs/>
          <w:sz w:val="23"/>
          <w:szCs w:val="23"/>
        </w:rPr>
        <w:t xml:space="preserve">Q4. What is the single best defense if your password is ever stolen?</w:t>
      </w:r>
    </w:p>
    <w:p>
      <w:pPr>
        <w:spacing w:after="40"/>
        <w:ind w:left="360"/>
      </w:pPr>
      <w:r>
        <w:rPr>
          <w:rFonts w:ascii="Calibri" w:cs="Calibri" w:eastAsia="Calibri" w:hAnsi="Calibri"/>
          <w:b w:val="false"/>
          <w:bCs w:val="false"/>
          <w:color w:val="000000"/>
          <w:sz w:val="22"/>
          <w:szCs w:val="22"/>
        </w:rPr>
        <w:t xml:space="preserve">A. Using the same password everywhere</w:t>
      </w:r>
    </w:p>
    <w:p>
      <w:pPr>
        <w:spacing w:after="40"/>
        <w:ind w:left="360"/>
      </w:pPr>
      <w:r>
        <w:rPr>
          <w:rFonts w:ascii="Calibri" w:cs="Calibri" w:eastAsia="Calibri" w:hAnsi="Calibri"/>
          <w:b/>
          <w:bCs/>
          <w:color w:val="0E7C7B"/>
          <w:sz w:val="22"/>
          <w:szCs w:val="22"/>
        </w:rPr>
        <w:t xml:space="preserve">B. Multi-Factor Authentication (MFA)  ✓ Correct Answer</w:t>
      </w:r>
    </w:p>
    <w:p>
      <w:pPr>
        <w:spacing w:after="40"/>
        <w:ind w:left="360"/>
      </w:pPr>
      <w:r>
        <w:rPr>
          <w:rFonts w:ascii="Calibri" w:cs="Calibri" w:eastAsia="Calibri" w:hAnsi="Calibri"/>
          <w:b w:val="false"/>
          <w:bCs w:val="false"/>
          <w:color w:val="000000"/>
          <w:sz w:val="22"/>
          <w:szCs w:val="22"/>
        </w:rPr>
        <w:t xml:space="preserve">C. Turning off your antivirus</w:t>
      </w:r>
    </w:p>
    <w:p>
      <w:pPr>
        <w:spacing w:after="40"/>
        <w:ind w:left="360"/>
      </w:pPr>
      <w:r>
        <w:rPr>
          <w:rFonts w:ascii="Calibri" w:cs="Calibri" w:eastAsia="Calibri" w:hAnsi="Calibri"/>
          <w:b w:val="false"/>
          <w:bCs w:val="false"/>
          <w:color w:val="000000"/>
          <w:sz w:val="22"/>
          <w:szCs w:val="22"/>
        </w:rPr>
        <w:t xml:space="preserve">D. Ignoring the account afterward</w:t>
      </w:r>
    </w:p>
    <w:p>
      <w:pPr>
        <w:spacing w:after="160"/>
        <w:ind w:left="360"/>
      </w:pPr>
      <w:r>
        <w:rPr>
          <w:rFonts w:ascii="Calibri" w:cs="Calibri" w:eastAsia="Calibri" w:hAnsi="Calibri"/>
          <w:i/>
          <w:iCs/>
          <w:color w:val="5C6B82"/>
          <w:sz w:val="21"/>
          <w:szCs w:val="21"/>
        </w:rPr>
        <w:t xml:space="preserve">Rationale: MFA requires a second verification step beyond the password, meaning a stolen password alone is not enough for an attacker to gain access.</w:t>
      </w:r>
    </w:p>
    <w:p>
      <w:pPr>
        <w:spacing w:after="60" w:before="200"/>
      </w:pPr>
      <w:r>
        <w:rPr>
          <w:rFonts w:ascii="Calibri" w:cs="Calibri" w:eastAsia="Calibri" w:hAnsi="Calibri"/>
          <w:b/>
          <w:bCs/>
          <w:sz w:val="23"/>
          <w:szCs w:val="23"/>
        </w:rPr>
        <w:t xml:space="preserve">Q5. Which social engineering technique relies on impersonating a person of authority, such as a manager or government official?</w:t>
      </w:r>
    </w:p>
    <w:p>
      <w:pPr>
        <w:spacing w:after="40"/>
        <w:ind w:left="360"/>
      </w:pPr>
      <w:r>
        <w:rPr>
          <w:rFonts w:ascii="Calibri" w:cs="Calibri" w:eastAsia="Calibri" w:hAnsi="Calibri"/>
          <w:b w:val="false"/>
          <w:bCs w:val="false"/>
          <w:color w:val="000000"/>
          <w:sz w:val="22"/>
          <w:szCs w:val="22"/>
        </w:rPr>
        <w:t xml:space="preserve">A. Curiosity</w:t>
      </w:r>
    </w:p>
    <w:p>
      <w:pPr>
        <w:spacing w:after="40"/>
        <w:ind w:left="360"/>
      </w:pPr>
      <w:r>
        <w:rPr>
          <w:rFonts w:ascii="Calibri" w:cs="Calibri" w:eastAsia="Calibri" w:hAnsi="Calibri"/>
          <w:b/>
          <w:bCs/>
          <w:color w:val="0E7C7B"/>
          <w:sz w:val="22"/>
          <w:szCs w:val="22"/>
        </w:rPr>
        <w:t xml:space="preserve">B. Authority  ✓ Correct Answer</w:t>
      </w:r>
    </w:p>
    <w:p>
      <w:pPr>
        <w:spacing w:after="40"/>
        <w:ind w:left="360"/>
      </w:pPr>
      <w:r>
        <w:rPr>
          <w:rFonts w:ascii="Calibri" w:cs="Calibri" w:eastAsia="Calibri" w:hAnsi="Calibri"/>
          <w:b w:val="false"/>
          <w:bCs w:val="false"/>
          <w:color w:val="000000"/>
          <w:sz w:val="22"/>
          <w:szCs w:val="22"/>
        </w:rPr>
        <w:t xml:space="preserve">C. Trust &amp; Familiarity</w:t>
      </w:r>
    </w:p>
    <w:p>
      <w:pPr>
        <w:spacing w:after="40"/>
        <w:ind w:left="360"/>
      </w:pPr>
      <w:r>
        <w:rPr>
          <w:rFonts w:ascii="Calibri" w:cs="Calibri" w:eastAsia="Calibri" w:hAnsi="Calibri"/>
          <w:b w:val="false"/>
          <w:bCs w:val="false"/>
          <w:color w:val="000000"/>
          <w:sz w:val="22"/>
          <w:szCs w:val="22"/>
        </w:rPr>
        <w:t xml:space="preserve">D. Pretexting</w:t>
      </w:r>
    </w:p>
    <w:p>
      <w:pPr>
        <w:spacing w:after="160"/>
        <w:ind w:left="360"/>
      </w:pPr>
      <w:r>
        <w:rPr>
          <w:rFonts w:ascii="Calibri" w:cs="Calibri" w:eastAsia="Calibri" w:hAnsi="Calibri"/>
          <w:i/>
          <w:iCs/>
          <w:color w:val="5C6B82"/>
          <w:sz w:val="21"/>
          <w:szCs w:val="21"/>
        </w:rPr>
        <w:t xml:space="preserve">Rationale: The Authority technique specifically works by making a request feel mandatory because it appears to come from someone with power or legitimacy.</w:t>
      </w:r>
    </w:p>
    <w:p>
      <w:pPr>
        <w:spacing w:after="60" w:before="200"/>
      </w:pPr>
      <w:r>
        <w:rPr>
          <w:rFonts w:ascii="Calibri" w:cs="Calibri" w:eastAsia="Calibri" w:hAnsi="Calibri"/>
          <w:b/>
          <w:bCs/>
          <w:sz w:val="23"/>
          <w:szCs w:val="23"/>
        </w:rPr>
        <w:t xml:space="preserve">Q6. What is the safest way to check whether a link in a message is genuine before clicking it?</w:t>
      </w:r>
    </w:p>
    <w:p>
      <w:pPr>
        <w:spacing w:after="40"/>
        <w:ind w:left="360"/>
      </w:pPr>
      <w:r>
        <w:rPr>
          <w:rFonts w:ascii="Calibri" w:cs="Calibri" w:eastAsia="Calibri" w:hAnsi="Calibri"/>
          <w:b w:val="false"/>
          <w:bCs w:val="false"/>
          <w:color w:val="000000"/>
          <w:sz w:val="22"/>
          <w:szCs w:val="22"/>
        </w:rPr>
        <w:t xml:space="preserve">A. Click it quickly before it expires</w:t>
      </w:r>
    </w:p>
    <w:p>
      <w:pPr>
        <w:spacing w:after="40"/>
        <w:ind w:left="360"/>
      </w:pPr>
      <w:r>
        <w:rPr>
          <w:rFonts w:ascii="Calibri" w:cs="Calibri" w:eastAsia="Calibri" w:hAnsi="Calibri"/>
          <w:b/>
          <w:bCs/>
          <w:color w:val="0E7C7B"/>
          <w:sz w:val="22"/>
          <w:szCs w:val="22"/>
        </w:rPr>
        <w:t xml:space="preserve">B. Hover over the link to preview the destination URL  ✓ Correct Answer</w:t>
      </w:r>
    </w:p>
    <w:p>
      <w:pPr>
        <w:spacing w:after="40"/>
        <w:ind w:left="360"/>
      </w:pPr>
      <w:r>
        <w:rPr>
          <w:rFonts w:ascii="Calibri" w:cs="Calibri" w:eastAsia="Calibri" w:hAnsi="Calibri"/>
          <w:b w:val="false"/>
          <w:bCs w:val="false"/>
          <w:color w:val="000000"/>
          <w:sz w:val="22"/>
          <w:szCs w:val="22"/>
        </w:rPr>
        <w:t xml:space="preserve">C. Forward it to a friend for their opinion</w:t>
      </w:r>
    </w:p>
    <w:p>
      <w:pPr>
        <w:spacing w:after="40"/>
        <w:ind w:left="360"/>
      </w:pPr>
      <w:r>
        <w:rPr>
          <w:rFonts w:ascii="Calibri" w:cs="Calibri" w:eastAsia="Calibri" w:hAnsi="Calibri"/>
          <w:b w:val="false"/>
          <w:bCs w:val="false"/>
          <w:color w:val="000000"/>
          <w:sz w:val="22"/>
          <w:szCs w:val="22"/>
        </w:rPr>
        <w:t xml:space="preserve">D. Reply to the sender asking if it is real</w:t>
      </w:r>
    </w:p>
    <w:p>
      <w:pPr>
        <w:spacing w:after="160"/>
        <w:ind w:left="360"/>
      </w:pPr>
      <w:r>
        <w:rPr>
          <w:rFonts w:ascii="Calibri" w:cs="Calibri" w:eastAsia="Calibri" w:hAnsi="Calibri"/>
          <w:i/>
          <w:iCs/>
          <w:color w:val="5C6B82"/>
          <w:sz w:val="21"/>
          <w:szCs w:val="21"/>
        </w:rPr>
        <w:t xml:space="preserve">Rationale: Hovering over a link reveals its true destination URL without triggering it, allowing a safe check for mismatches or suspicious domains.</w:t>
      </w:r>
    </w:p>
    <w:p>
      <w:pPr>
        <w:pStyle w:val="Heading2"/>
      </w:pPr>
      <w:r>
        <w:t xml:space="preserve">7.1 Scoring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D6E4" w:sz="4"/>
              <w:left w:val="single" w:color="CCD6E4" w:sz="4"/>
              <w:bottom w:val="single" w:color="CCD6E4" w:sz="4"/>
              <w:right w:val="single" w:color="CCD6E4" w:sz="4"/>
            </w:tcBorders>
            <w:shd w:fill="0B132B" w:val="clear"/>
            <w:tcMar>
              <w:top w:type="dxa" w:w="100"/>
              <w:left w:type="dxa" w:w="130"/>
              <w:bottom w:type="dxa" w:w="100"/>
              <w:right w:type="dxa" w:w="130"/>
            </w:tcMar>
            <w:vAlign w:val="center"/>
          </w:tcPr>
          <w:p>
            <w:pPr>
              <w:jc w:val="left"/>
            </w:pPr>
            <w:r>
              <w:rPr>
                <w:rFonts w:ascii="Calibri" w:cs="Calibri" w:eastAsia="Calibri" w:hAnsi="Calibri"/>
                <w:b/>
                <w:bCs/>
                <w:i w:val="false"/>
                <w:iCs w:val="false"/>
                <w:color w:val="FFFFFF"/>
                <w:sz w:val="22"/>
                <w:szCs w:val="22"/>
              </w:rPr>
              <w:t xml:space="preserve">Score</w:t>
            </w:r>
          </w:p>
        </w:tc>
        <w:tc>
          <w:tcPr>
            <w:tcW w:type="dxa" w:w="6240"/>
            <w:tcBorders>
              <w:top w:val="single" w:color="CCD6E4" w:sz="4"/>
              <w:left w:val="single" w:color="CCD6E4" w:sz="4"/>
              <w:bottom w:val="single" w:color="CCD6E4" w:sz="4"/>
              <w:right w:val="single" w:color="CCD6E4" w:sz="4"/>
            </w:tcBorders>
            <w:shd w:fill="0B132B" w:val="clear"/>
            <w:tcMar>
              <w:top w:type="dxa" w:w="100"/>
              <w:left w:type="dxa" w:w="130"/>
              <w:bottom w:type="dxa" w:w="100"/>
              <w:right w:type="dxa" w:w="130"/>
            </w:tcMar>
            <w:vAlign w:val="center"/>
          </w:tcPr>
          <w:p>
            <w:pPr>
              <w:jc w:val="left"/>
            </w:pPr>
            <w:r>
              <w:rPr>
                <w:rFonts w:ascii="Calibri" w:cs="Calibri" w:eastAsia="Calibri" w:hAnsi="Calibri"/>
                <w:b/>
                <w:bCs/>
                <w:i w:val="false"/>
                <w:iCs w:val="false"/>
                <w:color w:val="FFFFFF"/>
                <w:sz w:val="22"/>
                <w:szCs w:val="22"/>
              </w:rPr>
              <w:t xml:space="preserve">Interpretation</w:t>
            </w:r>
          </w:p>
        </w:tc>
      </w:tr>
      <w:tr>
        <w:tc>
          <w:tcPr>
            <w:tcW w:type="dxa" w:w="3120"/>
            <w:tcBorders>
              <w:top w:val="single" w:color="CCD6E4" w:sz="4"/>
              <w:left w:val="single" w:color="CCD6E4" w:sz="4"/>
              <w:bottom w:val="single" w:color="CCD6E4" w:sz="4"/>
              <w:right w:val="single" w:color="CCD6E4" w:sz="4"/>
            </w:tcBorders>
            <w:shd w:fill="E6F4F3" w:val="clear"/>
            <w:tcMar>
              <w:top w:type="dxa" w:w="100"/>
              <w:left w:type="dxa" w:w="130"/>
              <w:bottom w:type="dxa" w:w="100"/>
              <w:right w:type="dxa" w:w="130"/>
            </w:tcMar>
            <w:vAlign w:val="center"/>
          </w:tcPr>
          <w:p>
            <w:pPr>
              <w:jc w:val="left"/>
            </w:pPr>
            <w:r>
              <w:rPr>
                <w:rFonts w:ascii="Calibri" w:cs="Calibri" w:eastAsia="Calibri" w:hAnsi="Calibri"/>
                <w:b/>
                <w:bCs/>
                <w:i w:val="false"/>
                <w:iCs w:val="false"/>
                <w:color w:val="000000"/>
                <w:sz w:val="22"/>
                <w:szCs w:val="22"/>
              </w:rPr>
              <w:t xml:space="preserve">5 – 6 correct</w:t>
            </w:r>
          </w:p>
        </w:tc>
        <w:tc>
          <w:tcPr>
            <w:tcW w:type="dxa" w:w="6240"/>
            <w:tcBorders>
              <w:top w:val="single" w:color="CCD6E4" w:sz="4"/>
              <w:left w:val="single" w:color="CCD6E4" w:sz="4"/>
              <w:bottom w:val="single" w:color="CCD6E4" w:sz="4"/>
              <w:right w:val="single" w:color="CCD6E4" w:sz="4"/>
            </w:tcBorders>
            <w:shd w:fill="FFFFFF" w:val="clear"/>
            <w:tcMar>
              <w:top w:type="dxa" w:w="100"/>
              <w:left w:type="dxa" w:w="130"/>
              <w:bottom w:type="dxa" w:w="100"/>
              <w:right w:type="dxa" w:w="130"/>
            </w:tcMar>
            <w:vAlign w:val="center"/>
          </w:tcPr>
          <w:p>
            <w:pPr>
              <w:jc w:val="left"/>
            </w:pPr>
            <w:r>
              <w:rPr>
                <w:rFonts w:ascii="Calibri" w:cs="Calibri" w:eastAsia="Calibri" w:hAnsi="Calibri"/>
                <w:b w:val="false"/>
                <w:bCs w:val="false"/>
                <w:i w:val="false"/>
                <w:iCs w:val="false"/>
                <w:color w:val="000000"/>
                <w:sz w:val="22"/>
                <w:szCs w:val="22"/>
              </w:rPr>
              <w:t xml:space="preserve">Excellent phishing awareness — ready to help train others.</w:t>
            </w:r>
          </w:p>
        </w:tc>
      </w:tr>
      <w:tr>
        <w:tc>
          <w:tcPr>
            <w:tcW w:type="dxa" w:w="3120"/>
            <w:tcBorders>
              <w:top w:val="single" w:color="CCD6E4" w:sz="4"/>
              <w:left w:val="single" w:color="CCD6E4" w:sz="4"/>
              <w:bottom w:val="single" w:color="CCD6E4" w:sz="4"/>
              <w:right w:val="single" w:color="CCD6E4" w:sz="4"/>
            </w:tcBorders>
            <w:shd w:fill="EAF0FA" w:val="clear"/>
            <w:tcMar>
              <w:top w:type="dxa" w:w="100"/>
              <w:left w:type="dxa" w:w="130"/>
              <w:bottom w:type="dxa" w:w="100"/>
              <w:right w:type="dxa" w:w="130"/>
            </w:tcMar>
            <w:vAlign w:val="center"/>
          </w:tcPr>
          <w:p>
            <w:pPr>
              <w:jc w:val="left"/>
            </w:pPr>
            <w:r>
              <w:rPr>
                <w:rFonts w:ascii="Calibri" w:cs="Calibri" w:eastAsia="Calibri" w:hAnsi="Calibri"/>
                <w:b/>
                <w:bCs/>
                <w:i w:val="false"/>
                <w:iCs w:val="false"/>
                <w:color w:val="000000"/>
                <w:sz w:val="22"/>
                <w:szCs w:val="22"/>
              </w:rPr>
              <w:t xml:space="preserve">3 – 4 correct</w:t>
            </w:r>
          </w:p>
        </w:tc>
        <w:tc>
          <w:tcPr>
            <w:tcW w:type="dxa" w:w="6240"/>
            <w:tcBorders>
              <w:top w:val="single" w:color="CCD6E4" w:sz="4"/>
              <w:left w:val="single" w:color="CCD6E4" w:sz="4"/>
              <w:bottom w:val="single" w:color="CCD6E4" w:sz="4"/>
              <w:right w:val="single" w:color="CCD6E4" w:sz="4"/>
            </w:tcBorders>
            <w:shd w:fill="FFFFFF" w:val="clear"/>
            <w:tcMar>
              <w:top w:type="dxa" w:w="100"/>
              <w:left w:type="dxa" w:w="130"/>
              <w:bottom w:type="dxa" w:w="100"/>
              <w:right w:type="dxa" w:w="130"/>
            </w:tcMar>
            <w:vAlign w:val="center"/>
          </w:tcPr>
          <w:p>
            <w:pPr>
              <w:jc w:val="left"/>
            </w:pPr>
            <w:r>
              <w:rPr>
                <w:rFonts w:ascii="Calibri" w:cs="Calibri" w:eastAsia="Calibri" w:hAnsi="Calibri"/>
                <w:b w:val="false"/>
                <w:bCs w:val="false"/>
                <w:i w:val="false"/>
                <w:iCs w:val="false"/>
                <w:color w:val="000000"/>
                <w:sz w:val="22"/>
                <w:szCs w:val="22"/>
              </w:rPr>
              <w:t xml:space="preserve">Good awareness — review the missed topics before moving on.</w:t>
            </w:r>
          </w:p>
        </w:tc>
      </w:tr>
      <w:tr>
        <w:tc>
          <w:tcPr>
            <w:tcW w:type="dxa" w:w="3120"/>
            <w:tcBorders>
              <w:top w:val="single" w:color="CCD6E4" w:sz="4"/>
              <w:left w:val="single" w:color="CCD6E4" w:sz="4"/>
              <w:bottom w:val="single" w:color="CCD6E4" w:sz="4"/>
              <w:right w:val="single" w:color="CCD6E4" w:sz="4"/>
            </w:tcBorders>
            <w:shd w:fill="FBEAEC" w:val="clear"/>
            <w:tcMar>
              <w:top w:type="dxa" w:w="100"/>
              <w:left w:type="dxa" w:w="130"/>
              <w:bottom w:type="dxa" w:w="100"/>
              <w:right w:type="dxa" w:w="130"/>
            </w:tcMar>
            <w:vAlign w:val="center"/>
          </w:tcPr>
          <w:p>
            <w:pPr>
              <w:jc w:val="left"/>
            </w:pPr>
            <w:r>
              <w:rPr>
                <w:rFonts w:ascii="Calibri" w:cs="Calibri" w:eastAsia="Calibri" w:hAnsi="Calibri"/>
                <w:b/>
                <w:bCs/>
                <w:i w:val="false"/>
                <w:iCs w:val="false"/>
                <w:color w:val="000000"/>
                <w:sz w:val="22"/>
                <w:szCs w:val="22"/>
              </w:rPr>
              <w:t xml:space="preserve">0 – 2 correct</w:t>
            </w:r>
          </w:p>
        </w:tc>
        <w:tc>
          <w:tcPr>
            <w:tcW w:type="dxa" w:w="6240"/>
            <w:tcBorders>
              <w:top w:val="single" w:color="CCD6E4" w:sz="4"/>
              <w:left w:val="single" w:color="CCD6E4" w:sz="4"/>
              <w:bottom w:val="single" w:color="CCD6E4" w:sz="4"/>
              <w:right w:val="single" w:color="CCD6E4" w:sz="4"/>
            </w:tcBorders>
            <w:shd w:fill="FFFFFF" w:val="clear"/>
            <w:tcMar>
              <w:top w:type="dxa" w:w="100"/>
              <w:left w:type="dxa" w:w="130"/>
              <w:bottom w:type="dxa" w:w="100"/>
              <w:right w:type="dxa" w:w="130"/>
            </w:tcMar>
            <w:vAlign w:val="center"/>
          </w:tcPr>
          <w:p>
            <w:pPr>
              <w:jc w:val="left"/>
            </w:pPr>
            <w:r>
              <w:rPr>
                <w:rFonts w:ascii="Calibri" w:cs="Calibri" w:eastAsia="Calibri" w:hAnsi="Calibri"/>
                <w:b w:val="false"/>
                <w:bCs w:val="false"/>
                <w:i w:val="false"/>
                <w:iCs w:val="false"/>
                <w:color w:val="000000"/>
                <w:sz w:val="22"/>
                <w:szCs w:val="22"/>
              </w:rPr>
              <w:t xml:space="preserve">Needs further training — revisit Sections 5.4 (Signs of Phishing Emails) and 5.7 (Prevention Methods).</w:t>
            </w:r>
          </w:p>
        </w:tc>
      </w:tr>
    </w:tbl>
    <w:p>
      <w:pPr>
        <w:pStyle w:val="Heading1"/>
      </w:pPr>
      <w:r>
        <w:t xml:space="preserve">8. Results</w:t>
      </w:r>
    </w:p>
    <w:p>
      <w:pPr>
        <w:spacing w:after="160" w:line="300"/>
      </w:pPr>
      <w:r>
        <w:rPr>
          <w:rFonts w:ascii="Calibri" w:cs="Calibri" w:eastAsia="Calibri" w:hAnsi="Calibri"/>
          <w:sz w:val="23"/>
          <w:szCs w:val="23"/>
        </w:rPr>
        <w:t xml:space="preserve">This project successfully produced a complete, internally consistent phishing awareness training package consisting of a ten-slide presentation, this written report, and a supporting README, all sharing the same terminology, visual identity, and example set. Cross-checking the quiz answer key against the corresponding training sections confirmed that every question maps directly to material explicitly covered in Sections 5 and 6, meaning a learner who reviews the full training module should be able to answer all six questions correctly.</w:t>
      </w:r>
    </w:p>
    <w:p>
      <w:pPr>
        <w:spacing w:after="160" w:line="300"/>
      </w:pPr>
      <w:r>
        <w:rPr>
          <w:rFonts w:ascii="Calibri" w:cs="Calibri" w:eastAsia="Calibri" w:hAnsi="Calibri"/>
          <w:sz w:val="23"/>
          <w:szCs w:val="23"/>
        </w:rPr>
        <w:t xml:space="preserve">A deliberate effort was made to keep every illustrative example — the phishing email, the smishing message, and the spoofed website — entirely fictional, with no references to real companies, brands, or individuals. This was verified during review and ensures the material is ethically sound and safe to share publicly, including on GitHub and LinkedIn as required by the CodeAlpha submission guidelines.</w:t>
      </w:r>
    </w:p>
    <w:p>
      <w:pPr>
        <w:spacing w:after="160" w:line="300"/>
      </w:pPr>
      <w:r>
        <w:rPr>
          <w:rFonts w:ascii="Calibri" w:cs="Calibri" w:eastAsia="Calibri" w:hAnsi="Calibri"/>
          <w:sz w:val="23"/>
          <w:szCs w:val="23"/>
        </w:rPr>
        <w:t xml:space="preserve">The key outcomes of the project can be summarized as follows:</w:t>
      </w:r>
    </w:p>
    <w:p>
      <w:pPr>
        <w:pStyle w:val="ListParagraph"/>
        <w:numPr>
          <w:ilvl w:val="0"/>
          <w:numId w:val="2"/>
        </w:numPr>
        <w:spacing w:after="90" w:line="290"/>
      </w:pPr>
      <w:r>
        <w:rPr>
          <w:rFonts w:ascii="Calibri" w:cs="Calibri" w:eastAsia="Calibri" w:hAnsi="Calibri"/>
          <w:sz w:val="23"/>
          <w:szCs w:val="23"/>
        </w:rPr>
        <w:t xml:space="preserve">A clear, beginner-friendly explanation of phishing and its underlying psychology was produced and validated against established cybersecurity awareness concepts.</w:t>
      </w:r>
    </w:p>
    <w:p>
      <w:pPr>
        <w:pStyle w:val="ListParagraph"/>
        <w:numPr>
          <w:ilvl w:val="0"/>
          <w:numId w:val="2"/>
        </w:numPr>
        <w:spacing w:after="90" w:line="290"/>
      </w:pPr>
      <w:r>
        <w:rPr>
          <w:rFonts w:ascii="Calibri" w:cs="Calibri" w:eastAsia="Calibri" w:hAnsi="Calibri"/>
          <w:sz w:val="23"/>
          <w:szCs w:val="23"/>
        </w:rPr>
        <w:t xml:space="preserve">Three realistic but fictional examples were created, each annotated with specific, identifiable red flags.</w:t>
      </w:r>
    </w:p>
    <w:p>
      <w:pPr>
        <w:pStyle w:val="ListParagraph"/>
        <w:numPr>
          <w:ilvl w:val="0"/>
          <w:numId w:val="2"/>
        </w:numPr>
        <w:spacing w:after="90" w:line="290"/>
      </w:pPr>
      <w:r>
        <w:rPr>
          <w:rFonts w:ascii="Calibri" w:cs="Calibri" w:eastAsia="Calibri" w:hAnsi="Calibri"/>
          <w:sz w:val="23"/>
          <w:szCs w:val="23"/>
        </w:rPr>
        <w:t xml:space="preserve">Eight concrete prevention practices were documented, with Multi-Factor Authentication highlighted as the single highest-impact control.</w:t>
      </w:r>
    </w:p>
    <w:p>
      <w:pPr>
        <w:pStyle w:val="ListParagraph"/>
        <w:numPr>
          <w:ilvl w:val="0"/>
          <w:numId w:val="2"/>
        </w:numPr>
        <w:spacing w:after="90" w:line="290"/>
      </w:pPr>
      <w:r>
        <w:rPr>
          <w:rFonts w:ascii="Calibri" w:cs="Calibri" w:eastAsia="Calibri" w:hAnsi="Calibri"/>
          <w:sz w:val="23"/>
          <w:szCs w:val="23"/>
        </w:rPr>
        <w:t xml:space="preserve">A six-question interactive quiz with a complete answer key and scoring guide was developed to measure comprehension.</w:t>
      </w:r>
    </w:p>
    <w:p>
      <w:pPr>
        <w:pStyle w:val="ListParagraph"/>
        <w:numPr>
          <w:ilvl w:val="0"/>
          <w:numId w:val="2"/>
        </w:numPr>
        <w:spacing w:after="90" w:line="290"/>
      </w:pPr>
      <w:r>
        <w:rPr>
          <w:rFonts w:ascii="Calibri" w:cs="Calibri" w:eastAsia="Calibri" w:hAnsi="Calibri"/>
          <w:sz w:val="23"/>
          <w:szCs w:val="23"/>
        </w:rPr>
        <w:t xml:space="preserve">All deliverables were formatted to a professional standard suitable for university-level internship submission.</w:t>
      </w:r>
    </w:p>
    <w:p>
      <w:pPr>
        <w:pStyle w:val="Heading1"/>
      </w:pPr>
      <w:r>
        <w:t xml:space="preserve">9. Conclusion</w:t>
      </w:r>
    </w:p>
    <w:p>
      <w:pPr>
        <w:spacing w:after="160" w:line="300"/>
      </w:pPr>
      <w:r>
        <w:rPr>
          <w:rFonts w:ascii="Calibri" w:cs="Calibri" w:eastAsia="Calibri" w:hAnsi="Calibri"/>
          <w:sz w:val="23"/>
          <w:szCs w:val="23"/>
        </w:rPr>
        <w:t xml:space="preserve">Phishing remains one of the most common and effective cyberattacks in use today, not because of weak technology, but because it deliberately targets human trust and predictable psychological reactions such as urgency, fear, and curiosity. This project has demonstrated that a clear, example-driven training module — covering definitions, attack mechanics, attack variants, red-flag recognition, social engineering psychology, and concrete prevention habits — can make these abstract security concepts concrete, memorable, and actionable for a non-technical audience.</w:t>
      </w:r>
    </w:p>
    <w:p>
      <w:pPr>
        <w:spacing w:after="160" w:line="300"/>
      </w:pPr>
      <w:r>
        <w:rPr>
          <w:rFonts w:ascii="Calibri" w:cs="Calibri" w:eastAsia="Calibri" w:hAnsi="Calibri"/>
          <w:sz w:val="23"/>
          <w:szCs w:val="23"/>
        </w:rPr>
        <w:t xml:space="preserve">The central message of this training can be summarized in a single guiding principle: “Stay alert. Verify before you trust. Think before you click.” Consistently pausing before reacting to urgent or emotionally charged messages, independently verifying senders and links, enabling Multi-Factor Authentication, and reporting suspicious activity together form a strong, layered defense that does not require advanced technical expertise to apply.</w:t>
      </w:r>
    </w:p>
    <w:p>
      <w:pPr>
        <w:spacing w:after="160" w:line="300"/>
      </w:pPr>
      <w:r>
        <w:rPr>
          <w:rFonts w:ascii="Calibri" w:cs="Calibri" w:eastAsia="Calibri" w:hAnsi="Calibri"/>
          <w:sz w:val="23"/>
          <w:szCs w:val="23"/>
        </w:rPr>
        <w:t xml:space="preserve">This report, together with the accompanying presentation and README documentation, fulfills the requirements of Task 2: Phishing Awareness Training under the CodeAlpha Cyber Security Internship. Future extensions of this work could include a live simulated phishing exercise, an auto-graded online version of the quiz, or a video walkthrough to further increase engagement and measurable learning impact.</w:t>
      </w:r>
    </w:p>
    <w:p>
      <w:pPr>
        <w:pStyle w:val="Heading1"/>
      </w:pPr>
      <w:r>
        <w:t xml:space="preserve">10. References</w:t>
      </w:r>
    </w:p>
    <w:p>
      <w:pPr>
        <w:spacing w:after="120"/>
        <w:ind w:left="360" w:hanging="360"/>
      </w:pPr>
      <w:r>
        <w:rPr>
          <w:rFonts w:ascii="Calibri" w:cs="Calibri" w:eastAsia="Calibri" w:hAnsi="Calibri"/>
          <w:sz w:val="22"/>
          <w:szCs w:val="22"/>
        </w:rPr>
        <w:t xml:space="preserve">Cybersecurity &amp; Infrastructure Security Agency (CISA) — Phishing guidance and resources.  </w:t>
      </w:r>
      <w:hyperlink w:history="1" r:id="rIdk86nvlkowdv8gkpx8wi84">
        <w:r>
          <w:rPr>
            <w:rStyle w:val="Hyperlink"/>
            <w:rFonts w:ascii="Calibri" w:cs="Calibri" w:eastAsia="Calibri" w:hAnsi="Calibri"/>
            <w:sz w:val="22"/>
            <w:szCs w:val="22"/>
          </w:rPr>
          <w:t xml:space="preserve">https://www.cisa.gov</w:t>
        </w:r>
      </w:hyperlink>
    </w:p>
    <w:p>
      <w:pPr>
        <w:spacing w:after="120"/>
        <w:ind w:left="360" w:hanging="360"/>
      </w:pPr>
      <w:r>
        <w:rPr>
          <w:rFonts w:ascii="Calibri" w:cs="Calibri" w:eastAsia="Calibri" w:hAnsi="Calibri"/>
          <w:sz w:val="22"/>
          <w:szCs w:val="22"/>
        </w:rPr>
        <w:t xml:space="preserve">Federal Trade Commission (FTC) — How to Recognize and Avoid Phishing Scams.  </w:t>
      </w:r>
      <w:hyperlink w:history="1" r:id="rId0ktmtds0nxgo76rvjjui3">
        <w:r>
          <w:rPr>
            <w:rStyle w:val="Hyperlink"/>
            <w:rFonts w:ascii="Calibri" w:cs="Calibri" w:eastAsia="Calibri" w:hAnsi="Calibri"/>
            <w:sz w:val="22"/>
            <w:szCs w:val="22"/>
          </w:rPr>
          <w:t xml:space="preserve">https://consumer.ftc.gov</w:t>
        </w:r>
      </w:hyperlink>
    </w:p>
    <w:p>
      <w:pPr>
        <w:spacing w:after="120"/>
        <w:ind w:left="360" w:hanging="360"/>
      </w:pPr>
      <w:r>
        <w:rPr>
          <w:rFonts w:ascii="Calibri" w:cs="Calibri" w:eastAsia="Calibri" w:hAnsi="Calibri"/>
          <w:sz w:val="22"/>
          <w:szCs w:val="22"/>
        </w:rPr>
        <w:t xml:space="preserve">National Institute of Standards and Technology (NIST) — Phishing awareness resources.  </w:t>
      </w:r>
      <w:hyperlink w:history="1" r:id="rIdq36txc6c2pw7palaa9zko">
        <w:r>
          <w:rPr>
            <w:rStyle w:val="Hyperlink"/>
            <w:rFonts w:ascii="Calibri" w:cs="Calibri" w:eastAsia="Calibri" w:hAnsi="Calibri"/>
            <w:sz w:val="22"/>
            <w:szCs w:val="22"/>
          </w:rPr>
          <w:t xml:space="preserve">https://www.nist.gov</w:t>
        </w:r>
      </w:hyperlink>
    </w:p>
    <w:p>
      <w:pPr>
        <w:spacing w:after="120"/>
        <w:ind w:left="360" w:hanging="360"/>
      </w:pPr>
      <w:r>
        <w:rPr>
          <w:rFonts w:ascii="Calibri" w:cs="Calibri" w:eastAsia="Calibri" w:hAnsi="Calibri"/>
          <w:sz w:val="22"/>
          <w:szCs w:val="22"/>
        </w:rPr>
        <w:t xml:space="preserve">Verizon — Data Breach Investigations Report (DBIR), annual industry research on breach causes.  </w:t>
      </w:r>
      <w:hyperlink w:history="1" r:id="rIdsclzqfheft71ufkygbdw0">
        <w:r>
          <w:rPr>
            <w:rStyle w:val="Hyperlink"/>
            <w:rFonts w:ascii="Calibri" w:cs="Calibri" w:eastAsia="Calibri" w:hAnsi="Calibri"/>
            <w:sz w:val="22"/>
            <w:szCs w:val="22"/>
          </w:rPr>
          <w:t xml:space="preserve">https://www.verizon.com/business/resources/reports/dbir/</w:t>
        </w:r>
      </w:hyperlink>
    </w:p>
    <w:p>
      <w:pPr>
        <w:spacing w:after="120"/>
        <w:ind w:left="360" w:hanging="360"/>
      </w:pPr>
      <w:r>
        <w:rPr>
          <w:rFonts w:ascii="Calibri" w:cs="Calibri" w:eastAsia="Calibri" w:hAnsi="Calibri"/>
          <w:sz w:val="22"/>
          <w:szCs w:val="22"/>
        </w:rPr>
        <w:t xml:space="preserve">Anti-Phishing Working Group (APWG) — Global coalition publishing phishing trend reports.  </w:t>
      </w:r>
      <w:hyperlink w:history="1" r:id="rIddfdjwps_zqrho_fxhi14w">
        <w:r>
          <w:rPr>
            <w:rStyle w:val="Hyperlink"/>
            <w:rFonts w:ascii="Calibri" w:cs="Calibri" w:eastAsia="Calibri" w:hAnsi="Calibri"/>
            <w:sz w:val="22"/>
            <w:szCs w:val="22"/>
          </w:rPr>
          <w:t xml:space="preserve">https://apwg.org</w:t>
        </w:r>
      </w:hyperlink>
    </w:p>
    <w:p>
      <w:pPr>
        <w:spacing w:after="120"/>
        <w:ind w:left="360" w:hanging="360"/>
      </w:pPr>
      <w:r>
        <w:rPr>
          <w:rFonts w:ascii="Calibri" w:cs="Calibri" w:eastAsia="Calibri" w:hAnsi="Calibri"/>
          <w:sz w:val="22"/>
          <w:szCs w:val="22"/>
        </w:rPr>
        <w:t xml:space="preserve">OWASP Foundation — Resources on social engineering and web application security.  </w:t>
      </w:r>
      <w:hyperlink w:history="1" r:id="rIdzqi9saq01ldox8q_ntup8">
        <w:r>
          <w:rPr>
            <w:rStyle w:val="Hyperlink"/>
            <w:rFonts w:ascii="Calibri" w:cs="Calibri" w:eastAsia="Calibri" w:hAnsi="Calibri"/>
            <w:sz w:val="22"/>
            <w:szCs w:val="22"/>
          </w:rPr>
          <w:t xml:space="preserve">https://owasp.org</w:t>
        </w:r>
      </w:hyperlink>
    </w:p>
    <w:p>
      <w:pPr>
        <w:spacing w:after="120"/>
        <w:ind w:left="360" w:hanging="360"/>
      </w:pPr>
      <w:r>
        <w:rPr>
          <w:rFonts w:ascii="Calibri" w:cs="Calibri" w:eastAsia="Calibri" w:hAnsi="Calibri"/>
          <w:sz w:val="22"/>
          <w:szCs w:val="22"/>
        </w:rPr>
        <w:t xml:space="preserve">CodeAlpha — Cyber Security Internship Task List and Instructions.  </w:t>
      </w:r>
      <w:hyperlink w:history="1" r:id="rIdl6y74omrpt4k1ddv186ro">
        <w:r>
          <w:rPr>
            <w:rStyle w:val="Hyperlink"/>
            <w:rFonts w:ascii="Calibri" w:cs="Calibri" w:eastAsia="Calibri" w:hAnsi="Calibri"/>
            <w:sz w:val="22"/>
            <w:szCs w:val="22"/>
          </w:rPr>
          <w:t xml:space="preserve">https://www.codealpha.tech</w:t>
        </w:r>
      </w:hyperlink>
    </w:p>
    <w:p>
      <w:pPr>
        <w:spacing w:before="200"/>
      </w:pPr>
      <w:r>
        <w:rPr>
          <w:rFonts w:ascii="Calibri" w:cs="Calibri" w:eastAsia="Calibri" w:hAnsi="Calibri"/>
          <w:i/>
          <w:iCs/>
          <w:color w:val="5C6B82"/>
          <w:sz w:val="20"/>
          <w:szCs w:val="20"/>
        </w:rPr>
        <w:t xml:space="preserve">Note: The phishing email, smishing message, and website examples in Section 6 are original, fictional illustrations created by the author for training purposes and are not drawn from any external source.</w:t>
      </w:r>
    </w:p>
    <w:sectPr>
      <w:headerReference w:type="default" r:id="rId7"/>
      <w:footerReference w:type="default" r:id="rId8"/>
      <w:pgSz w:w="12240" w:h="15840" w:orient="portrait"/>
      <w:pgMar w:top="1350" w:right="1440" w:bottom="135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Calibri" w:cs="Calibri" w:eastAsia="Calibri" w:hAnsi="Calibri"/>
        <w:color w:val="5C6B82"/>
        <w:sz w:val="16"/>
        <w:szCs w:val="16"/>
      </w:rPr>
      <w:t xml:space="preserve">Malaika Rizwan</w:t>
    </w:r>
    <w:r>
      <w:rPr>
        <w:rFonts w:ascii="Calibri" w:cs="Calibri" w:eastAsia="Calibri" w:hAnsi="Calibri"/>
        <w:color w:val="5C6B82"/>
        <w:sz w:val="16"/>
        <w:szCs w:val="16"/>
      </w:rPr>
      <w:t xml:space="preserve">	Page </w:t>
    </w:r>
    <w:r>
      <w:rPr>
        <w:rFonts w:ascii="Calibri" w:cs="Calibri" w:eastAsia="Calibri" w:hAnsi="Calibri"/>
        <w:color w:val="5C6B82"/>
        <w:sz w:val="16"/>
        <w:szCs w:val="16"/>
      </w:rPr>
      <w:fldChar w:fldCharType="begin"/>
      <w:instrText xml:space="preserve">PAGE</w:instrText>
      <w:fldChar w:fldCharType="separate"/>
      <w:fldChar w:fldCharType="end"/>
    </w:r>
    <w:r>
      <w:rPr>
        <w:rFonts w:ascii="Calibri" w:cs="Calibri" w:eastAsia="Calibri" w:hAnsi="Calibri"/>
        <w:color w:val="5C6B82"/>
        <w:sz w:val="16"/>
        <w:szCs w:val="16"/>
      </w:rPr>
      <w:t xml:space="preserve"> of </w:t>
    </w:r>
    <w:r>
      <w:rPr>
        <w:rFonts w:ascii="Calibri" w:cs="Calibri" w:eastAsia="Calibri" w:hAnsi="Calibri"/>
        <w:color w:val="5C6B82"/>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C6B82"/>
        <w:sz w:val="16"/>
        <w:szCs w:val="16"/>
      </w:rPr>
      <w:t xml:space="preserve">CodeAlpha Cyber Security Internship — Task 2: Phishing Awareness Training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270"/>
      </w:pPr>
    </w:lvl>
  </w:abstractNum>
  <w:abstractNum w:abstractNumId="4"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CD6E4" w:sz="6" w:space="4"/>
      </w:pBdr>
      <w:spacing w:after="200" w:before="360"/>
      <w:outlineLvl w:val="0"/>
    </w:pPr>
    <w:rPr>
      <w:rFonts w:ascii="Cambria" w:cs="Cambria" w:eastAsia="Cambria" w:hAnsi="Cambria"/>
      <w:b/>
      <w:bCs/>
      <w:color w:val="0B132B"/>
      <w:sz w:val="30"/>
      <w:szCs w:val="30"/>
    </w:rPr>
  </w:style>
  <w:style w:type="paragraph" w:styleId="Heading2">
    <w:name w:val="Heading 2"/>
    <w:basedOn w:val="Normal"/>
    <w:next w:val="Normal"/>
    <w:qFormat/>
    <w:pPr>
      <w:spacing w:after="140" w:before="260"/>
      <w:outlineLvl w:val="1"/>
    </w:pPr>
    <w:rPr>
      <w:rFonts w:ascii="Cambria" w:cs="Cambria" w:eastAsia="Cambria" w:hAnsi="Cambria"/>
      <w:b/>
      <w:bCs/>
      <w:color w:val="0E7C7B"/>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k86nvlkowdv8gkpx8wi84" Type="http://schemas.openxmlformats.org/officeDocument/2006/relationships/hyperlink" Target="https://www.cisa.gov" TargetMode="External"/><Relationship Id="rId0ktmtds0nxgo76rvjjui3" Type="http://schemas.openxmlformats.org/officeDocument/2006/relationships/hyperlink" Target="https://consumer.ftc.gov" TargetMode="External"/><Relationship Id="rIdq36txc6c2pw7palaa9zko" Type="http://schemas.openxmlformats.org/officeDocument/2006/relationships/hyperlink" Target="https://www.nist.gov" TargetMode="External"/><Relationship Id="rIdsclzqfheft71ufkygbdw0" Type="http://schemas.openxmlformats.org/officeDocument/2006/relationships/hyperlink" Target="https://www.verizon.com/business/resources/reports/dbir/" TargetMode="External"/><Relationship Id="rIddfdjwps_zqrho_fxhi14w" Type="http://schemas.openxmlformats.org/officeDocument/2006/relationships/hyperlink" Target="https://apwg.org" TargetMode="External"/><Relationship Id="rIdzqi9saq01ldox8q_ntup8" Type="http://schemas.openxmlformats.org/officeDocument/2006/relationships/hyperlink" Target="https://owasp.org" TargetMode="External"/><Relationship Id="rIdl6y74omrpt4k1ddv186ro" Type="http://schemas.openxmlformats.org/officeDocument/2006/relationships/hyperlink" Target="https://www.codealpha.tech" TargetMode="External"/><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Phishing Awareness Training - Internship Report</dc:title>
  <dc:creator>Malaika Rizwan</dc:creator>
  <cp:lastModifiedBy>Un-named</cp:lastModifiedBy>
  <cp:revision>1</cp:revision>
  <dcterms:created xsi:type="dcterms:W3CDTF">2026-06-19T17:02:52.268Z</dcterms:created>
  <dcterms:modified xsi:type="dcterms:W3CDTF">2026-06-19T17:02:52.279Z</dcterms:modified>
</cp:coreProperties>
</file>

<file path=docProps/custom.xml><?xml version="1.0" encoding="utf-8"?>
<Properties xmlns="http://schemas.openxmlformats.org/officeDocument/2006/custom-properties" xmlns:vt="http://schemas.openxmlformats.org/officeDocument/2006/docPropsVTypes"/>
</file>