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2"/>
          <w:szCs w:val="22"/>
        </w:rPr>
        <w:t xml:space="preserve">Malaika – 24i3098</w:t>
      </w:r>
    </w:p>
    <w:p>
      <w:pPr>
        <w:spacing w:after="200"/>
        <w:jc w:val="center"/>
      </w:pPr>
      <w:r>
        <w:rPr>
          <w:b/>
          <w:bCs/>
          <w:color w:val="000000"/>
          <w:sz w:val="22"/>
          <w:szCs w:val="22"/>
        </w:rPr>
        <w:t xml:space="preserve">Rehan Ahmed – 24i3012</w:t>
      </w:r>
    </w:p>
    <w:p>
      <w:pPr>
        <w:spacing w:after="60"/>
        <w:jc w:val="center"/>
      </w:pPr>
      <w:r>
        <w:rPr>
          <w:b/>
          <w:bCs/>
          <w:color w:val="000000"/>
          <w:sz w:val="26"/>
          <w:szCs w:val="26"/>
        </w:rPr>
        <w:t xml:space="preserve">SE3002 – Software Quality Engineering</w:t>
      </w:r>
    </w:p>
    <w:p>
      <w:pPr>
        <w:spacing w:after="60"/>
        <w:jc w:val="center"/>
      </w:pPr>
      <w:r>
        <w:rPr>
          <w:b/>
          <w:bCs/>
          <w:color w:val="000000"/>
          <w:sz w:val="26"/>
          <w:szCs w:val="26"/>
        </w:rPr>
        <w:t xml:space="preserve">Assignment 01 – Part 1: Requirement Scope and AI Assumptions</w:t>
      </w:r>
    </w:p>
    <w:p>
      <w:pPr>
        <w:spacing w:after="300"/>
        <w:jc w:val="center"/>
      </w:pPr>
      <w:r>
        <w:rPr>
          <w:color w:val="000000"/>
          <w:sz w:val="22"/>
          <w:szCs w:val="22"/>
        </w:rPr>
        <w:t xml:space="preserve">Project: Library Administration – System Administration Module</w:t>
      </w:r>
    </w:p>
    <w:p>
      <w:pPr>
        <w:pStyle w:val="Heading1"/>
        <w:spacing w:after="150" w:before="300"/>
      </w:pPr>
      <w:r>
        <w:rPr>
          <w:b/>
          <w:bCs/>
          <w:color w:val="000000"/>
        </w:rPr>
        <w:t xml:space="preserve">1. Selected SRS</w:t>
      </w:r>
    </w:p>
    <w:p>
      <w:pPr>
        <w:spacing w:after="150"/>
      </w:pPr>
      <w:r>
        <w:rPr>
          <w:b w:val="false"/>
          <w:bCs w:val="false"/>
          <w:i w:val="false"/>
          <w:iCs w:val="false"/>
          <w:color w:val="000000"/>
        </w:rPr>
        <w:t xml:space="preserve">Title: Software Requirements Specification for the System Administration of an Integrated Library System (Version 3.0 final)</w:t>
      </w:r>
    </w:p>
    <w:p>
      <w:pPr>
        <w:spacing w:after="150"/>
      </w:pPr>
      <w:r>
        <w:rPr>
          <w:b w:val="false"/>
          <w:bCs w:val="false"/>
          <w:i w:val="false"/>
          <w:iCs w:val="false"/>
          <w:color w:val="000000"/>
        </w:rPr>
        <w:t xml:space="preserve">Prepared by: Lori Ayre and Lucien Kress, Galecia Group</w:t>
      </w:r>
    </w:p>
    <w:p>
      <w:pPr>
        <w:spacing w:after="150"/>
      </w:pPr>
      <w:r>
        <w:rPr>
          <w:b w:val="false"/>
          <w:bCs w:val="false"/>
          <w:i w:val="false"/>
          <w:iCs w:val="false"/>
          <w:color w:val="000000"/>
        </w:rPr>
        <w:t xml:space="preserve">Date: January 28, 2009</w:t>
      </w:r>
    </w:p>
    <w:p>
      <w:pPr>
        <w:spacing w:after="150"/>
      </w:pPr>
      <w:r>
        <w:rPr>
          <w:b w:val="false"/>
          <w:bCs w:val="false"/>
          <w:i w:val="false"/>
          <w:iCs w:val="false"/>
          <w:color w:val="000000"/>
        </w:rPr>
        <w:t xml:space="preserve">Scope note: This SRS covers the System Administration Module of a King County Library System Integrated Library System (ILS) – i.e. server, database, account, security, monitoring, and reporting administration. It explicitly excludes Circulation, Acquisitions, Cataloging, and OPAC/patron-facing modules, which are separate SRS documents.</w:t>
      </w:r>
    </w:p>
    <w:p>
      <w:pPr>
        <w:pStyle w:val="Heading1"/>
        <w:spacing w:after="150" w:before="300"/>
      </w:pPr>
      <w:r>
        <w:rPr>
          <w:b/>
          <w:bCs/>
          <w:color w:val="000000"/>
        </w:rPr>
        <w:t xml:space="preserve">2. Requirement Scope (7 FR + 3 NFR)</w:t>
      </w:r>
    </w:p>
    <w:p>
      <w:pPr>
        <w:spacing w:after="150"/>
      </w:pPr>
      <w:r>
        <w:rPr>
          <w:b w:val="false"/>
          <w:bCs w:val="false"/>
          <w:i w:val="false"/>
          <w:iCs w:val="false"/>
          <w:color w:val="000000"/>
        </w:rPr>
        <w:t xml:space="preserve">The following table lists the 10 selected requirements (7 Functional, 3 Non-Functional), preserving original SRS requirement IDs and wording. Only one of the seven FRs (Staff account setup, 2420) is a CRUD-type requirement, in compliance with the 3-CRUD limit.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000"/>
        <w:gridCol w:w="2600"/>
        <w:gridCol w:w="2600"/>
        <w:gridCol w:w="2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tcPr>
          <w:p>
            <w:r>
              <w:rPr>
                <w:b/>
                <w:bCs/>
                <w:color w:val="000000"/>
                <w:sz w:val="20"/>
                <w:szCs w:val="20"/>
              </w:rPr>
              <w:t xml:space="preserve">Req. ID</w:t>
            </w:r>
          </w:p>
        </w:tc>
        <w:tc>
          <w:tcPr>
            <w:tcW w:type="dxa" w:w="700"/>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tcPr>
          <w:p>
            <w:r>
              <w:rPr>
                <w:b/>
                <w:bCs/>
                <w:color w:val="000000"/>
                <w:sz w:val="20"/>
                <w:szCs w:val="20"/>
              </w:rPr>
              <w:t xml:space="preserve">Type</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tcPr>
          <w:p>
            <w:r>
              <w:rPr>
                <w:b/>
                <w:bCs/>
                <w:color w:val="000000"/>
                <w:sz w:val="20"/>
                <w:szCs w:val="20"/>
              </w:rPr>
              <w:t xml:space="preserve">Requirement (brief)</w:t>
            </w:r>
          </w:p>
        </w:tc>
        <w:tc>
          <w:tcPr>
            <w:tcW w:type="dxa" w:w="2600"/>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tcPr>
          <w:p>
            <w:r>
              <w:rPr>
                <w:b/>
                <w:bCs/>
                <w:color w:val="000000"/>
                <w:sz w:val="20"/>
                <w:szCs w:val="20"/>
              </w:rPr>
              <w:t xml:space="preserve">Why selected / risk</w:t>
            </w:r>
          </w:p>
        </w:tc>
        <w:tc>
          <w:tcPr>
            <w:tcW w:type="dxa" w:w="2600"/>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tcPr>
          <w:p>
            <w:r>
              <w:rPr>
                <w:b/>
                <w:bCs/>
                <w:color w:val="000000"/>
                <w:sz w:val="20"/>
                <w:szCs w:val="20"/>
              </w:rPr>
              <w:t xml:space="preserve">AI assumption</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tcPr>
          <w:p>
            <w:r>
              <w:rPr>
                <w:b/>
                <w:bCs/>
                <w:color w:val="000000"/>
                <w:sz w:val="20"/>
                <w:szCs w:val="20"/>
              </w:rPr>
              <w:t xml:space="preserve">Defence / basis</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5057</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Loan rules – system allows creation/modification of rules that allow or disallow check-out, calculate loan periods, and determine renewal limits based on patron type, item status, and other criteria.</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because it represents core business-rule logic (not CRUD) with clear, testable boundaries (e.g. max renewals, unavailable item status). Risk: incorrect rule evaluation could allow checkout of restricted items.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per-patron-type defaults seeded in code (Adult: 15 items/21 days/2 renewals; Juvenile: 8/14/1; Student: 10/28/3; fallback: 5/14/1), with field-level defaults of 10 items/21 days/2 renewals applied only if a rule omits a value. AI also invented the rule-resolution order (most specific patron+item match wins, tie-broken by a priority field) and the default blocked-for-checkout statuses (LOST, DAMAGED, IN_REPAIR, WITHDRAWN), none of which the SRS specifies.</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unsupported</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5190</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Requesting rules – system allows creation/modification of rules determining whether a patron can place a hold on an item, evaluating patron type, current holds, account balance, and item status.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for meaningful conditional/permission logic and staff-override behaviour. Risk: incorrect precedence between patron-level and item-level rules.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scoped hold limits per patron account (not per branch) and defined the blocking conditions as: inactive patron account, item status in a blocked list (default LOST, WITHDRAWN), account balance exceeding a per-patron-type cap (Adult $50, Juvenile $20, Student $30, fallback $10), and active hold count exceeding a per-type cap (Adult 10, Juvenile 5, Student 8, fallback 3). Staff override requires a non-empty reason and is permanently logged for audit. None of these scopes, values, or the override design are specified in the SRS.</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unsupported</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2445</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Business rules – system supports restrictions based on business rules, e.g. restricting deletion of item records that are checked out, or bibliographic records with existing holds.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as a validation/decision requirement that directly prevents data-integrity violations. Risk: deletion restriction logic may be bypassed via indirect operations (e.g. bulk delete).</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blocks item deletion based on any open (unreturned) checkout row, independent of the item's status field, and blocks bib deletion only when an ACTIVE hold references the bib. Item-level holds (pinned to one specific copy) were not enforced as a deletion block — only bib-level active holds block bib deletion — narrowing the two example conditions the SRS gives ('e.g.') to a specific, testable implementation.</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design decision</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5278</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Suppression rules – customizable rules specifying whether patrons and staff can view authority, bibliographic, order, and item records in staff and public interfaces.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for its role-based visibility logic across multiple interfaces. Risk: incorrect suppression scope could expose restricted records to patrons.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three suppression scopes: WORKGROUP (visible only to staff in the matching workgroup), LOCATION (visible only at the matching location), and ALL (hidden from everyone, staff and patrons). The SRS's 'specific location' wording was read as restricting visibility to that location, mirroring the workgroup rule, rather than hiding it from that location — an interpretation call flagged in code, not an explicit SRS statement. Suppression is demonstrated via a check-visibility endpoint rather than a live OPAC search, since no catalog search UI was in scope.</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SRS / design decision</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6513 / 7302</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Record lock management – staff can identify where a patron/item record is in use (location, user, time) and unlock one or more locked records from a single console.</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as a complete workflow (view + unlock) counted as one FR, involving concurrency-aware state management. Risk: unlocking a record mid-edit by another user could cause data loss.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a default lock timeout of 15 minutes (configurable at runtime), with stale locks auto-expired lazily on the next read/acquire rather than by a background timer (8-second UI polling makes this feel live, but a stale lock only flips in the DB when next touched). Force-unlock requires a 'manageLocks' privilege and records who unlocked it and why (defaulting to 'Manually unlocked by staff' if no reason given); only one active lock per record is allowed. The 15-minute default and the lazy-expiry mechanism are invented, since the SRS requires a configurable threshold but specifies neither a default nor an expiry mechanism.</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unsupported</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6501</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System monitoring – system monitors resources (disk, CPU, memory, processes, interfaces) with configurable alert thresholds sent via dashboard, email, and text message.</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for threshold-based decision logic and multi-channel alerting behaviour. Risk: incorrect threshold logic could cause missed or excessive alerts.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dashboard and email alert channels; SMS/text alerting was skipped as out of scope due to third-party gateway cost/complexity (email falls back to console logging if no SMTP server is configured). AI also invented the specific metrics monitored (CPU load, memory used, DB connections, disk free), their warning/critical thresholds (e.g. CPU 70%/90%, memory 75%/90%, DB connections 15/25, disk free 20%/10%), a 10-second sampling interval, and a 5-minute alert-cooldown per metric+level to stop duplicate alerts — none of which the SRS specifies.</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design decision / unsupported</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2420</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Staff account setup – dedicated interface for creating new staff accounts with configurable templates and granular privileges for creation, modification, and deletion.</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as the pair's single CRUD-type requirement (within the 3-CRUD limit), needed as the foundation for role/privilege-based access used by other FRs. Risk: privilege assignment errors could grant excess access.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four role templates (Administrator, Circulation Supervisor, Cataloger, Reference Staff), each with a different split across nine invented granular privilege keys (e.g. manageStaff, manageLoanRules, deleteRecords, manageLocks, overrideHolds). An account's privileges are copied from its template at creation and can be individually overridden afterward; changing a template later does not retroactively update existing accounts. Minimum password length (8 characters) and username rules (3–30 alphanumeric/._- characters) were also invented, since the SRS requires configurable templates and privileges but names neither the templates, the privilege set, nor any password/username policy.</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unsupported</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6510</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NFR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Patron data security – patron data is secure in all transfers to and from the system.</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as a directly testable security NFR relevant to every module that handles patron data.</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password hashing via bcrypt (cost factor 10) so passwords are never stored or logged in plaintext, and transport encryption via an auto-generated self-signed TLS certificate (2048-bit RSA, 825-day validity) served over HTTPS — flagged in code as dev-grade and needing a CA-signed certificate before production. These mechanisms were chosen as the concrete implementation of the SRS's general 'secure' requirement, which specifies no mechanism.</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design decision</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6511</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NFR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Secure protocol support – system supports secure protocols including SFTP, SSL, and SSH, with SFTP supported in active and passive modes.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as a concrete, inspectable security requirement with explicit protocol names, allowing direct verification in configuration/code.</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HTTPS/TLS only for the API, with a plain HTTP listener that exists solely to redirect to HTTPS, and session auth via bearer JWT over that channel. SFTP and SSH were not implemented at all, since the system has no file-transfer or remote-shell surface for them to apply to. CORS is also left wide open (no origin restriction) — fine for local development but a gap worth flagging under 'secure protocol' territory. Dropping SFTP/SSH entirely has no explicit SRS or documented design basis.</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unsupported</w:t>
            </w:r>
          </w:p>
        </w:tc>
      </w:tr>
      <w:tr>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bCs/>
                <w:color w:val="000000"/>
                <w:sz w:val="20"/>
                <w:szCs w:val="20"/>
              </w:rPr>
              <w:t xml:space="preserve">5615</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NFR</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Real-time processing – the system provides real-time processing, e.g. pull lists and reports reflect current data at the time of viewing.</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 xml:space="preserve">Selected as a testable performance NFR directly tied to data freshness and responsiveness of the selected FRs.</w:t>
            </w:r>
          </w:p>
        </w:tc>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AI implemented real-time processing as no caching anywhere: no cache layer (Redis/memory-cache/etc.) exists, every route queries Postgres directly, every HTTP response carries no-store/no-cache headers, and every frontend fetch uses cache:'no-store'. The Dashboard, Monitoring, and Locks screens additionally poll every 8–10 seconds so the UI feels live. This fresh-fetch-per-request design was chosen since the SRS describes the real-time behaviour but gives no numeric response-time threshold.</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b w:val="false"/>
                <w:bCs w:val="false"/>
                <w:color w:val="000000"/>
                <w:sz w:val="20"/>
                <w:szCs w:val="20"/>
              </w:rPr>
              <w:t>design decision</w:t>
            </w:r>
          </w:p>
        </w:tc>
      </w:tr>
    </w:tbl>
    <w:p>
      <w:pPr>
        <w:pStyle w:val="Heading1"/>
        <w:spacing w:after="150" w:before="300"/>
      </w:pPr>
      <w:r>
        <w:rPr>
          <w:b/>
          <w:bCs/>
          <w:color w:val="000000"/>
        </w:rPr>
        <w:t xml:space="preserve">3. AI Assumption Basis – Summary</w:t>
      </w:r>
    </w:p>
    <w:p>
      <w:pPr>
        <w:spacing w:after="150"/>
      </w:pPr>
      <w:r>
        <w:rPr>
          <w:b w:val="false"/>
          <w:bCs w:val="false"/>
          <w:i w:val="false"/>
          <w:iCs w:val="false"/>
          <w:color w:val="000000"/>
        </w:rPr>
        <w:t xml:space="preserve">Each material assumption introduced during AI-assisted development is classified below as (a) supported by the SRS, (b) justified by an explicit design decision, or (c) unsupported. Unsupported assumptions are disclosed rather than hidden, per assignment requirements.</w:t>
      </w:r>
    </w:p>
    <w:p>
      <w:pPr>
        <w:pStyle w:val="Heading2"/>
        <w:spacing w:after="100" w:before="200"/>
      </w:pPr>
      <w:r>
        <w:rPr>
          <w:b/>
          <w:bCs/>
          <w:color w:val="000000"/>
        </w:rPr>
        <w:t xml:space="preserve">(a) Supported by the SRS</w:t>
      </w:r>
    </w:p>
    <w:p>
      <w:pPr>
        <w:pStyle w:val="ListParagraph"/>
        <w:numPr>
          <w:ilvl w:val="0"/>
          <w:numId w:val="1"/>
        </w:numPr>
        <w:spacing w:after="60"/>
      </w:pPr>
      <w:r>
        <w:rPr>
          <w:color w:val="000000"/>
        </w:rPr>
        <w:t>5278 – Suppression rules: the three visibility scopes (workgroup, location, all) match those listed in the SRS text.</w:t>
      </w:r>
    </w:p>
    <w:p>
      <w:pPr>
        <w:pStyle w:val="Heading2"/>
        <w:spacing w:after="100" w:before="200"/>
      </w:pPr>
      <w:r>
        <w:rPr>
          <w:b/>
          <w:bCs/>
          <w:color w:val="000000"/>
        </w:rPr>
        <w:t xml:space="preserve">(b) Justified by an explicit design decision</w:t>
      </w:r>
    </w:p>
    <w:p>
      <w:pPr>
        <w:pStyle w:val="ListParagraph"/>
        <w:numPr>
          <w:ilvl w:val="0"/>
          <w:numId w:val="1"/>
        </w:numPr>
        <w:spacing w:after="60"/>
      </w:pPr>
      <w:r>
        <w:rPr>
          <w:color w:val="000000"/>
        </w:rPr>
        <w:t>2445 – Business rules: item-deletion blocked by any open checkout, bib-deletion blocked by active holds — narrows the SRS's two examples ('e.g.') to a specific, testable implementation.</w:t>
      </w:r>
    </w:p>
    <w:p>
      <w:pPr>
        <w:pStyle w:val="ListParagraph"/>
        <w:numPr>
          <w:ilvl w:val="0"/>
          <w:numId w:val="1"/>
        </w:numPr>
        <w:spacing w:after="60"/>
      </w:pPr>
      <w:r>
        <w:rPr>
          <w:color w:val="000000"/>
        </w:rPr>
        <w:t>6501 – System monitoring: dashboard and email channels implemented; SMS/text alerting excluded from the baseline due to third-party gateway cost/complexity.</w:t>
      </w:r>
    </w:p>
    <w:p>
      <w:pPr>
        <w:pStyle w:val="ListParagraph"/>
        <w:numPr>
          <w:ilvl w:val="0"/>
          <w:numId w:val="1"/>
        </w:numPr>
        <w:spacing w:after="60"/>
      </w:pPr>
      <w:r>
        <w:rPr>
          <w:color w:val="000000"/>
        </w:rPr>
        <w:t>6510 – Patron data security: bcrypt password hashing and a self-signed TLS certificate chosen as the concrete mechanism for the SRS's general 'secure' requirement.</w:t>
      </w:r>
    </w:p>
    <w:p>
      <w:pPr>
        <w:pStyle w:val="ListParagraph"/>
        <w:numPr>
          <w:ilvl w:val="0"/>
          <w:numId w:val="1"/>
        </w:numPr>
        <w:spacing w:after="60"/>
      </w:pPr>
      <w:r>
        <w:rPr>
          <w:color w:val="000000"/>
        </w:rPr>
        <w:t>5615 – Real-time processing: implemented as no-cache, fresh-fetch-per-request (verified by construction), with 8–10s UI polling on data-sensitive screens.</w:t>
      </w:r>
    </w:p>
    <w:p>
      <w:pPr>
        <w:pStyle w:val="Heading2"/>
        <w:spacing w:after="100" w:before="200"/>
      </w:pPr>
      <w:r>
        <w:rPr>
          <w:b/>
          <w:bCs/>
          <w:color w:val="000000"/>
        </w:rPr>
        <w:t xml:space="preserve">(c) Unsupported</w:t>
      </w:r>
    </w:p>
    <w:p>
      <w:pPr>
        <w:pStyle w:val="ListParagraph"/>
        <w:numPr>
          <w:ilvl w:val="0"/>
          <w:numId w:val="1"/>
        </w:numPr>
        <w:spacing w:after="60"/>
      </w:pPr>
      <w:r>
        <w:rPr>
          <w:color w:val="000000"/>
        </w:rPr>
        <w:t>5057 – Loan rules: per-patron-type numeric defaults, the rule-resolution precedence, and the blocked-status list are all invented, with no SRS basis.</w:t>
      </w:r>
    </w:p>
    <w:p>
      <w:pPr>
        <w:pStyle w:val="ListParagraph"/>
        <w:numPr>
          <w:ilvl w:val="0"/>
          <w:numId w:val="1"/>
        </w:numPr>
        <w:spacing w:after="60"/>
      </w:pPr>
      <w:r>
        <w:rPr>
          <w:color w:val="000000"/>
        </w:rPr>
        <w:t>5190 – Requesting rules: per-patron-account scope and the per-type balance/hold-count limits are invented, with no SRS basis.</w:t>
      </w:r>
    </w:p>
    <w:p>
      <w:pPr>
        <w:pStyle w:val="ListParagraph"/>
        <w:numPr>
          <w:ilvl w:val="0"/>
          <w:numId w:val="1"/>
        </w:numPr>
        <w:spacing w:after="60"/>
      </w:pPr>
      <w:r>
        <w:rPr>
          <w:color w:val="000000"/>
        </w:rPr>
        <w:t>6513 / 7302 – Record lock management: the 15-minute default timeout and the lazy-expiry mechanism are invented defaults.</w:t>
      </w:r>
    </w:p>
    <w:p>
      <w:pPr>
        <w:pStyle w:val="ListParagraph"/>
        <w:numPr>
          <w:ilvl w:val="0"/>
          <w:numId w:val="1"/>
        </w:numPr>
        <w:spacing w:after="60"/>
      </w:pPr>
      <w:r>
        <w:rPr>
          <w:color w:val="000000"/>
        </w:rPr>
        <w:t>2420 – Staff account setup: the four named account templates and the nine granular privilege keys are invented wholesale; the SRS requires templates but names none.</w:t>
      </w:r>
    </w:p>
    <w:p>
      <w:pPr>
        <w:pStyle w:val="ListParagraph"/>
        <w:numPr>
          <w:ilvl w:val="0"/>
          <w:numId w:val="1"/>
        </w:numPr>
        <w:spacing w:after="60"/>
      </w:pPr>
      <w:r>
        <w:rPr>
          <w:color w:val="000000"/>
        </w:rPr>
        <w:t>6511 – Secure protocol support: SFTP/SSH support was dropped from the baseline entirely without an explicit, documented design justification.</w:t>
      </w:r>
    </w:p>
    <w:p>
      <w:pPr>
        <w:pStyle w:val="ListParagraph"/>
        <w:numPr>
          <w:ilvl w:val="0"/>
          <w:numId w:val="1"/>
        </w:numPr>
        <w:spacing w:after="60"/>
      </w:pPr>
      <w:r>
        <w:rPr>
          <w:color w:val="000000"/>
        </w:rPr>
        <w:t>5278 – Suppression rules: reading ‘specific location’ as restricting-to (rather than hiding-from) that location is an interpretation call flagged in code, not an explicit SRS statement.</w:t>
      </w:r>
    </w:p>
    <w:p>
      <w:pPr>
        <w:pStyle w:val="ListParagraph"/>
        <w:numPr>
          <w:ilvl w:val="0"/>
          <w:numId w:val="1"/>
        </w:numPr>
        <w:spacing w:after="60"/>
      </w:pPr>
      <w:r>
        <w:rPr>
          <w:color w:val="000000"/>
        </w:rPr>
        <w:t>6501 – System monitoring: the specific metrics monitored and their warning/critical thresholds are invented; the SRS specifies neither.</w:t>
      </w:r>
    </w:p>
    <w:p>
      <w:pPr>
        <w:pStyle w:val="Heading1"/>
        <w:spacing w:after="150" w:before="300"/>
      </w:pPr>
      <w:r>
        <w:rPr>
          <w:b/>
          <w:bCs/>
          <w:color w:val="000000"/>
        </w:rPr>
        <w:t xml:space="preserve">4. Notes on Requirement Selection</w:t>
      </w:r>
    </w:p>
    <w:p>
      <w:pPr>
        <w:spacing w:after="150"/>
      </w:pPr>
      <w:r>
        <w:rPr>
          <w:b w:val="false"/>
          <w:bCs w:val="false"/>
          <w:i w:val="false"/>
          <w:iCs w:val="false"/>
          <w:color w:val="000000"/>
        </w:rPr>
        <w:t xml:space="preserve">Six of the seven selected FRs (5057, 5190, 2445, 5278, 6513/7302, 6501) represent business rules, validation logic, permissions, or workflows rather than plain data management, satisfying the requirement that FRs beyond the CRUD allowance reflect meaningful behaviour. The three NFRs (6510, 6511, 5615) were selected because they are independently testable through a combination of SonarQube evidence (security-related findings) and targeted manual/structural testing (real-time data freshness), consistent with Part 3A of the assignment.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2026-09-11T10:33:46.974Z</dcterms:created>
  <dcterms:modified xsi:type="dcterms:W3CDTF">2026-09-11T10:33:46.985Z</dcterms:modified>
</cp:coreProperties>
</file>

<file path=docProps/custom.xml><?xml version="1.0" encoding="utf-8"?>
<Properties xmlns="http://schemas.openxmlformats.org/officeDocument/2006/custom-properties" xmlns:vt="http://schemas.openxmlformats.org/officeDocument/2006/docPropsVTypes"/>
</file>