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Regulatory Fit Report: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 Kafeel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Syndicate)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Kafeel (The Syndicate)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Regulated Entity Category: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Ancillary Service Provider (AISP &amp; PISP)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Jurisdiction: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Kingdom of Bahrain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Primary Regulator: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Central Bank of Bahrain (CBB)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Regulatory Context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Under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Bahrain Open Banking Framework (OBF)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Kafeel operates as a dual-role service provider. The name "Kafeel" (Guarantor/Sponsor) reflects our core mission: acting as a digital sponsor for the user’s financial reputation within the Kingdom's banking ecosystem.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AISP Role (Account Information Service Provider)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Kafeel acts as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AISP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fetch "Read-Only" transaction data from the user’s retail bank accounts.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identify recurring bill payments (EWA, Schools, Telecom, and Subscriptions) and calculate the proprietary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"Kafeel Reliability Index."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 API connection via a licensed aggregator (e.g., Tarabut Gateway) using OAuth 2.0 protocols.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the "Alternative Credit Score" engine that vouches for "thin-file" individuals (expats, students, fresh grads) to the institutional banking sector.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PISP Role (Payment Initiation Service Provider)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Kafeel acts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PISP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execute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"Auto-Settle"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feature.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consolidate and initiate bill payments directly from the user's bank account to the merchant’s account.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user provides a "Standing Mandate" for the platform to move funds specifically for verified, aggregated bills.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Ensures 100% collection rates for merchants and eliminates late fees for members of the Kafeel network.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PDPL Compliance (Personal Data Protection Law)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Kafeel handles sensitive financial data with the absolute discretion and security required of a high-level institution, strictly adhering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Bahrain PDPL (Law No. 30 of 2018)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Data Residency &amp; Storage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user data is hosted within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AWS Middle East (Bahrain) Region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ensure national sovereignty and compliance with CBB data residency mandates.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Encryption: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 at rest is encrypted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AES-256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ensuring that the internal records of the "Syndicate" remain private and impenetrable.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Principles of Data Processing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Purpose Limitation: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 is processed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exclusively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bill aggregation and credit scoring. No data is shared with third parties without explicit, one-time consent for a specific loan application.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Consent Management: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Kafeel implements a "Granular Consent" model. Users maintain full ownership of their data and can revoke access instantly, triggering a total cryptographic purge.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CBB Regulatory Sandbox Strategy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Kafeel is designed to enter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CBB Regulatory Sandbox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prove its algorithmic reliability.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Testing Parameters: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will test the "Kafeel Reliability Index" against a control group of 500 users to demonstrate that utility and subscription payment history is a statistically valid predictor of loan repayment behavior.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Exit 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Upon successful validation of the scoring engine, Kafeel will transition to a full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Ancillary Service Provider License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Security &amp; AML Standards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e-KYC: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Integration with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iGA e-Key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for seamless biometric authentication and identity verification.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AML Screening: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Automated real-time screening against the CBB’s Sanctions List to ensure no illicit funds enter the ecosystem.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 Trail: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payment initiation and data pull is logged in an immutable audit trail for CBB oversight.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Summary of Regulatory Alignment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Kafeel Implementation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Open Banking Compliance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Uses CBB-Standard APIs (AISP/PISP).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Consumer Privacy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Full PDPL compliance with "Inner-Circle" level encryption.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Financial Stability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Reduces NPLs for banks, supporting CBB stability goals.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Identity Verification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Uses national e-Key (Biometric) infrastructure.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