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Stakeholder Value Proposition Map: Kafeel (Bahrain)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map outlines the strategic value exchange between the Kafeel platform and its four primary stakeholder groups. It demonstrates how the platform creates a "circular economy" of data and trust.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Consumers (The "Thin-File" &amp; Expats)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fragmentation of bills and "Invisible Credit" (paying bills on time doesn't help get a car loan).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Received: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 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Ability to generate a "Reliability Score" accepted by Bahraini retail banks without having a high salary.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 Relief: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single "Smart TV" dashboard for local (EWA, Schools) and international (Netflix, Gym) obligations.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Savings: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 to exclusive "On-Time Rewards" and discounts on subscription renewals.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Given: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Permissioned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Consent to access bank transaction history via Open Banking.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Platform Loyalty: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Recurring monthly usage for all financial settlements.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Retail Banks &amp; Lenders (The Profit Drivers)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Inability to accurately assess the risk of expats or young Bahrainis who don't have existing loans.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Received: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Alternative Credit Scoring (ACS):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 behavioral insights (e.g., "User hasn't missed a school fee payment in 3 years").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Lower Customer Acquisition Cost (CAC):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Pre-qualified leads who are already "financially disciplined."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NPL Reduction: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15-20% drop in bad loans by using real-time liquidity data instead of outdated salary certificates.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Given: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Fees: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Payment for every "Score Pull" or risk report generated.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 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Offering pre-approved credit products directly within the Kafeel app.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Merchants &amp; Government (The Billers)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cost of collections, manual reconciliation, and late payments for EWA, Schools, and Telcos.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Received: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Guaranteed Liquidity: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"Salary-Day Sweeping" ensures bills are paid the second the income hits the account.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reconciliation directly into their ERP/accounting systems.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Customer Satisfaction: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Reduced friction—no more parents queuing at school cashiers or searching for EWA account numbers.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Given: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 Fees: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small percentage of the transaction for the convenience of automated collection.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Connectivity: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Providing secure API endpoints for bill presentation.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Regulator - Central Bank of Bahrain (The "Guardian")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Driving the "National Open Banking Framework" and protecting consumer data (PDPL).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Received: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Innovation Proof-Point: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successful local case study for the CBB Regulatory Sandbox.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 Inclusion: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Moving Bahrain closer to its Vision 2030 goal of a cashless, inclusive digital economy.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RegTech 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platform that enforces PDPL standards by giving users full control over their data sharing.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 Given: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Regulatory Guidance: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 to the Sandbox and the Ancillary Service Provider license.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Ensuring the platform maintains high cybersecurity and AML standards.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"Value Exchange" Matrix (Summary)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Provides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Kafeel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Receives from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Kafeel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Bank Data &amp; Consent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Credit Score &amp; Convenience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Revenue (API Fees)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Lower Risk &amp; New 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Schools/Telcos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Bill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Guaranteed On-Time Cash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CBB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Licensing &amp; Oversight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National Financial Inclusion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