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Plataforma de Gestão Integrada</w:t>
      </w:r>
    </w:p>
    <w:p>
      <w:pPr>
        <w:spacing w:after="400"/>
      </w:pPr>
      <w:r>
        <w:rPr>
          <w:i/>
          <w:iCs/>
          <w:sz w:val="26"/>
          <w:szCs w:val="26"/>
        </w:rPr>
        <w:t xml:space="preserve">Plano de Desenvolvimento — Office, CRM, ERP Arquitetura e FF&amp;E para um estúdio de arquitetura e design de interiores</w:t>
      </w:r>
    </w:p>
    <w:p>
      <w:pPr>
        <w:spacing w:after="160"/>
      </w:pPr>
      <w:r>
        <w:rPr>
          <w:b w:val="false"/>
          <w:bCs w:val="false"/>
          <w:i w:val="false"/>
          <w:iCs w:val="false"/>
        </w:rPr>
        <w:t xml:space="preserve">Preparado para: Giulia — novo estúdio de arquitetura e design de interiores</w:t>
      </w:r>
    </w:p>
    <w:p>
      <w:pPr>
        <w:spacing w:after="160"/>
      </w:pPr>
      <w:r>
        <w:rPr>
          <w:b w:val="false"/>
          <w:bCs w:val="false"/>
          <w:i w:val="false"/>
          <w:iCs w:val="false"/>
        </w:rPr>
        <w:t xml:space="preserve">Preparado por: Matheus Malaquias</w:t>
      </w:r>
    </w:p>
    <w:p>
      <w:pPr>
        <w:spacing w:after="160"/>
      </w:pPr>
      <w:r>
        <w:rPr>
          <w:b w:val="false"/>
          <w:bCs w:val="false"/>
          <w:i w:val="false"/>
          <w:iCs w:val="false"/>
        </w:rPr>
        <w:t xml:space="preserve">Data: Agosto de 2026</w:t>
      </w:r>
    </w:p>
    <w:p>
      <w:r>
        <w:br w:type="page"/>
      </w:r>
    </w:p>
    <w:p>
      <w:pPr>
        <w:pStyle w:val="Heading1"/>
        <w:spacing w:after="160" w:before="360"/>
      </w:pPr>
      <w:r>
        <w:t xml:space="preserve">Sumário Executivo</w:t>
      </w:r>
    </w:p>
    <w:p>
      <w:pPr>
        <w:spacing w:after="160"/>
      </w:pPr>
      <w:r>
        <w:rPr>
          <w:b w:val="false"/>
          <w:bCs w:val="false"/>
          <w:i w:val="false"/>
          <w:iCs w:val="false"/>
        </w:rPr>
        <w:t xml:space="preserve">A Giulia está estruturando um novo estúdio de arquitetura com foco em design de interiores. Este documento propõe uma plataforma de gestão própria, construída sob medida, que integre ao máximo as áreas de relacionamento com clientes, gestão de projetos e financeiro do escritório, e especificação de mobiliário e objetos (FF&amp;E) — sem tentar cobrir acompanhamento de obras, OS&amp;E (operational supplies &amp; equipment) ou procurement geral, que permanecem deliberadamente fora do escopo inicial.</w:t>
      </w:r>
    </w:p>
    <w:p>
      <w:pPr>
        <w:spacing w:after="160"/>
      </w:pPr>
      <w:r>
        <w:rPr>
          <w:b w:val="false"/>
          <w:bCs w:val="false"/>
          <w:i w:val="false"/>
          <w:iCs w:val="false"/>
        </w:rPr>
        <w:t xml:space="preserve">A plataforma se organiza em quatro módulos: Office, que permanece resolvido pelo Google Workspace já adotado, com integrações em vez de substituição; CRM, para captação e relacionamento com clientes; ERP Arquitetura, para gestão de projetos, equipe e financeiro do escritório, já nascendo com as particularidades fiscais brasileiras (NFS-e, Simples Nacional, Fator R) que nenhum concorrente internacional resolve; e FF&amp;E, para especificação, apresentação e orçamento de mobiliário e objetos — incluindo captura automática de produtos (web scraper), fichas de produto (tear sheets) e o carrinho de compras/planilha de itens e valores para o cliente, mas sem executar a compra em si.</w:t>
      </w:r>
    </w:p>
    <w:p>
      <w:pPr>
        <w:spacing w:after="160"/>
      </w:pPr>
      <w:r>
        <w:rPr>
          <w:b w:val="false"/>
          <w:bCs w:val="false"/>
          <w:i w:val="false"/>
          <w:iCs w:val="false"/>
        </w:rPr>
        <w:t xml:space="preserve">Depois de pesquisar 24 ferramentas de mercado (as ferramentas citadas como referência — com o Deltek pesquisado em suas duas linhas relevantes, Vantagepoint e Ajera —, mais outras identificadas ao longo da pesquisa, incluindo a própria Canoa Supply em profundidade e 7 concorrentes brasileiros), a conclusão central é que nenhuma ferramenta hoje cobre os quatro módulos do jeito que foram definidos aqui: as plataformas de ERP para arquitetura (Deltek, BQE, Monograph, Factor A/E, Milient, if.team) não têm nenhuma funcionalidade de FF&amp;E; as plataformas de FF&amp;E internacionais (Fohlio, DesignSpec, Studio Designer) empacotam especificação com um procurement bem mais pesado do que o desejado; e nenhuma das ferramentas pesquisadas — nem as citadas como referência, nem a própria Canoa Supply já usada pela Giulia — é brasileira. Isso confirma que o corte de escopo proposto é viável (tem precedente direto na forma como a Houzz Pro separa 'seleção' de 'pedido de compra', e na forma como a própria Canoa para no orçamento estimado), e que construir essa plataforma ocupa um espaço real e hoje desatendido no mercado brasileiro.</w:t>
      </w:r>
    </w:p>
    <w:p>
      <w:pPr>
        <w:spacing w:after="160"/>
      </w:pPr>
      <w:r>
        <w:rPr>
          <w:b w:val="false"/>
          <w:bCs w:val="false"/>
          <w:i w:val="false"/>
          <w:iCs w:val="false"/>
        </w:rPr>
        <w:t xml:space="preserve">Diante da decisão de construir uma plataforma própria, sem depender de SaaS de terceiros além do Google Workspace, com um horizonte de longo prazo (6 a 12+ meses, projeto estruturado com equipe dedicada), este documento apresenta a arquitetura proposta, a especificação completa de funcionalidades por módulo, um roadmap de desenvolvimento em fases e — no arquivo complementar em Excel — a matriz comparativa de funcionalidades entre a plataforma proposta e as 24 ferramentas de mercado pesquisadas.</w:t>
      </w:r>
    </w:p>
    <w:p>
      <w:pPr>
        <w:pStyle w:val="Heading1"/>
        <w:spacing w:after="160" w:before="360"/>
      </w:pPr>
      <w:r>
        <w:t xml:space="preserve">Escopo do Projeto</w:t>
      </w:r>
    </w:p>
    <w:p>
      <w:pPr>
        <w:pStyle w:val="Heading2"/>
        <w:spacing w:after="120" w:before="240"/>
      </w:pPr>
      <w:r>
        <w:t xml:space="preserve">Dentro do escopo</w:t>
      </w:r>
    </w:p>
    <w:p>
      <w:pPr>
        <w:pStyle w:val="ListParagraph"/>
        <w:numPr>
          <w:ilvl w:val="0"/>
          <w:numId w:val="2"/>
        </w:numPr>
        <w:spacing w:after="80"/>
      </w:pPr>
      <w:r>
        <w:t xml:space="preserve">Office: integração com o Google Workspace já usado (não substituição)</w:t>
      </w:r>
    </w:p>
    <w:p>
      <w:pPr>
        <w:pStyle w:val="ListParagraph"/>
        <w:numPr>
          <w:ilvl w:val="0"/>
          <w:numId w:val="2"/>
        </w:numPr>
        <w:spacing w:after="80"/>
      </w:pPr>
      <w:r>
        <w:t xml:space="preserve">CRM: captação de leads, relacionamento e propostas comerciais</w:t>
      </w:r>
    </w:p>
    <w:p>
      <w:pPr>
        <w:pStyle w:val="ListParagraph"/>
        <w:numPr>
          <w:ilvl w:val="0"/>
          <w:numId w:val="2"/>
        </w:numPr>
        <w:spacing w:after="80"/>
      </w:pPr>
      <w:r>
        <w:t xml:space="preserve">ERP Arquitetura: gestão de projetos, equipe, cronograma, financeiro e fiscal do escritório</w:t>
      </w:r>
    </w:p>
    <w:p>
      <w:pPr>
        <w:pStyle w:val="ListParagraph"/>
        <w:numPr>
          <w:ilvl w:val="0"/>
          <w:numId w:val="2"/>
        </w:numPr>
        <w:spacing w:after="80"/>
      </w:pPr>
      <w:r>
        <w:t xml:space="preserve">FF&amp;E: especificação, apresentação e orçamento de mobiliário e objetos — incluindo web scraper, tear sheets e carrinho de compras/planilha de itens e valores</w:t>
      </w:r>
    </w:p>
    <w:p>
      <w:pPr>
        <w:pStyle w:val="Heading2"/>
        <w:spacing w:after="120" w:before="240"/>
      </w:pPr>
      <w:r>
        <w:t xml:space="preserve">Fora do escopo</w:t>
      </w:r>
    </w:p>
    <w:p>
      <w:pPr>
        <w:pStyle w:val="ListParagraph"/>
        <w:numPr>
          <w:ilvl w:val="0"/>
          <w:numId w:val="2"/>
        </w:numPr>
        <w:spacing w:after="80"/>
      </w:pPr>
      <w:r>
        <w:t xml:space="preserve">Acompanhamento de obras/canteiro (diário de obra, visitas, fotos, checklists de execução)</w:t>
      </w:r>
    </w:p>
    <w:p>
      <w:pPr>
        <w:pStyle w:val="ListParagraph"/>
        <w:numPr>
          <w:ilvl w:val="0"/>
          <w:numId w:val="2"/>
        </w:numPr>
        <w:spacing w:after="80"/>
      </w:pPr>
      <w:r>
        <w:t xml:space="preserve">OS&amp;E (operational supplies &amp; equipment)</w:t>
      </w:r>
    </w:p>
    <w:p>
      <w:pPr>
        <w:pStyle w:val="ListParagraph"/>
        <w:numPr>
          <w:ilvl w:val="0"/>
          <w:numId w:val="2"/>
        </w:numPr>
        <w:spacing w:after="80"/>
      </w:pPr>
      <w:r>
        <w:t xml:space="preserve">Procurement geral: emissão formal de pedido de compra ao fornecedor, RFQ/cotação de compra, aprovação multi-etapa de compra, rastreio de embarque/entrega pós-pedido, reconciliação de nota fiscal de fornecedor, gestão de estoque/inventário</w:t>
      </w:r>
    </w:p>
    <w:p>
      <w:pPr>
        <w:pStyle w:val="ListParagraph"/>
        <w:numPr>
          <w:ilvl w:val="0"/>
          <w:numId w:val="2"/>
        </w:numPr>
        <w:spacing w:after="80"/>
      </w:pPr>
      <w:r>
        <w:t xml:space="preserve">Dentro do próprio FF&amp;E: a execução da compra em si — o sistema monta o carrinho/planilha de itens e valores para o cliente, mas não emite pedido a fornecedor nem acompanha entrega</w:t>
      </w:r>
    </w:p>
    <w:p>
      <w:pPr>
        <w:pStyle w:val="Heading2"/>
        <w:spacing w:after="120" w:before="240"/>
      </w:pPr>
      <w:r>
        <w:t xml:space="preserve">Fronteira do módulo FF&amp;E</w:t>
      </w:r>
    </w:p>
    <w:p>
      <w:pPr>
        <w:spacing w:after="160"/>
      </w:pPr>
      <w:r>
        <w:rPr>
          <w:b w:val="false"/>
          <w:bCs w:val="false"/>
          <w:i w:val="false"/>
          <w:iCs w:val="false"/>
        </w:rPr>
        <w:t xml:space="preserve">A fronteira do módulo FF&amp;E foi confirmada explicitamente: é preciso montar o carrinho de compras para o cliente (web scraper, tear sheet, planilha com itens e valores) — a parte de orçamento é realizada; o que não é feito é a parte da compra em si. Essa é, coincidentemente, quase a mesma linha que a Houzz Pro traça entre 'Selection' (especificação + aprovação) e 'Purchase Order' (procurement), e o ponto exato onde a Canoa Supply já para hoje.</w:t>
      </w:r>
    </w:p>
    <w:p>
      <w:pPr>
        <w:pStyle w:val="Heading1"/>
        <w:spacing w:after="160" w:before="360"/>
      </w:pPr>
      <w:r>
        <w:t xml:space="preserve">Achados da Pesquisa de Mercado</w:t>
      </w:r>
    </w:p>
    <w:p>
      <w:pPr>
        <w:pStyle w:val="ListParagraph"/>
        <w:numPr>
          <w:ilvl w:val="0"/>
          <w:numId w:val="2"/>
        </w:numPr>
        <w:spacing w:after="80"/>
      </w:pPr>
      <w:r>
        <w:t xml:space="preserve">Nenhuma das ferramentas citadas como referência é brasileira: Deltek, BQE, Monograph, Factor A/E, Houzz Pro e Fohlio são americanas; Studio Designer tem origem nos EUA com operação também no Canadá; DesignSpec é canadense; Milient é um grupo nórdico/europeu; if.team parece ter raízes no Leste Europeu; zygn e dzylo são indianas; Programa é australiana; Planify é polonesa; e o Paymo é uma ferramenta global, sem uma nacionalidade clara declarada. A própria Canoa Supply, já usada pela Giulia, também é uma empresa americana (Brooklyn, NY) — o que não impede o uso, mas é bom ter claro que não há localização brasileira em nenhuma dessas ferramentas.</w:t>
      </w:r>
    </w:p>
    <w:p>
      <w:pPr>
        <w:pStyle w:val="ListParagraph"/>
        <w:numPr>
          <w:ilvl w:val="0"/>
          <w:numId w:val="2"/>
        </w:numPr>
        <w:spacing w:after="80"/>
      </w:pPr>
      <w:r>
        <w:t xml:space="preserve">As ferramentas de ERP para arquitetura (Deltek, BQE, Monograph, Factor A/E, Milient, if.team) têm zero funcionalidade de FF&amp;E — são fortes em CRM, projeto, financeiro e equipe, mas não tocam em especificação de mobiliário.</w:t>
      </w:r>
    </w:p>
    <w:p>
      <w:pPr>
        <w:pStyle w:val="ListParagraph"/>
        <w:numPr>
          <w:ilvl w:val="0"/>
          <w:numId w:val="2"/>
        </w:numPr>
        <w:spacing w:after="80"/>
      </w:pPr>
      <w:r>
        <w:t xml:space="preserve">As ferramentas de FF&amp;E internacionais mais robustas (Fohlio, DesignSpec, Studio Designer) vendem especificação e procurement como pacote único e inseparável — nenhuma oferece, publicamente, uma versão 'só especificação' mais barata.</w:t>
      </w:r>
    </w:p>
    <w:p>
      <w:pPr>
        <w:pStyle w:val="ListParagraph"/>
        <w:numPr>
          <w:ilvl w:val="0"/>
          <w:numId w:val="2"/>
        </w:numPr>
        <w:spacing w:after="80"/>
      </w:pPr>
      <w:r>
        <w:t xml:space="preserve">Duas referências validam diretamente o corte de escopo proposto: a Houzz Pro separa com clareza 'Selection Boards' (especificação + aprovação do cliente) de 'Purchase Order + Selections Tracker' (procurement); e a própria Canoa Supply, sem módulo de compra, para exatamente no orçamento estimado (ROM) — o mesmo ponto em que a plataforma da Giulia deve parar.</w:t>
      </w:r>
    </w:p>
    <w:p>
      <w:pPr>
        <w:pStyle w:val="ListParagraph"/>
        <w:numPr>
          <w:ilvl w:val="0"/>
          <w:numId w:val="2"/>
        </w:numPr>
        <w:spacing w:after="80"/>
      </w:pPr>
      <w:r>
        <w:t xml:space="preserve">O mercado brasileiro tem pelo menos 7 concorrentes diretos não citados pela Giulia — Braxio, ArqProject, Projetools, Plana Software, FlowUp, Sole e Vobi — todos vendendo CRM, projetos e financeiro como pacote único, a maioria incluindo módulo de acompanhamento de obra, e nenhum com um módulo de especificação visual de FF&amp;E à altura de Programa, Planify ou Canoa.</w:t>
      </w:r>
    </w:p>
    <w:p>
      <w:pPr>
        <w:pStyle w:val="ListParagraph"/>
        <w:numPr>
          <w:ilvl w:val="0"/>
          <w:numId w:val="2"/>
        </w:numPr>
        <w:spacing w:after="80"/>
      </w:pPr>
      <w:r>
        <w:t xml:space="preserve">Excluir acompanhamento de obras é, portanto, uma escolha deliberada de posicionamento — vai contra o padrão dominante no mercado brasileiro, onde a maioria dos concorrentes empacota isso por padrão.</w:t>
      </w:r>
    </w:p>
    <w:p>
      <w:pPr>
        <w:pStyle w:val="ListParagraph"/>
        <w:numPr>
          <w:ilvl w:val="0"/>
          <w:numId w:val="2"/>
        </w:numPr>
        <w:spacing w:after="80"/>
      </w:pPr>
      <w:r>
        <w:t xml:space="preserve">Um módulo de FF&amp;E de especificação (não só procurement/obra) é o maior espaço em branco real identificado no mercado brasileiro — nenhum concorrente nacional pesquisado tem algo parecido com o que Programa, Planify ou Canoa fazem.</w:t>
      </w:r>
    </w:p>
    <w:p>
      <w:pPr>
        <w:pStyle w:val="ListParagraph"/>
        <w:numPr>
          <w:ilvl w:val="0"/>
          <w:numId w:val="2"/>
        </w:numPr>
        <w:spacing w:after="80"/>
      </w:pPr>
      <w:r>
        <w:t xml:space="preserve">A pesquisa também levantou particularidades fiscais brasileiras relevantes para o módulo ERP financeiro: enquadramento no Simples Nacional (Anexo III via Fator R, ou Anexo V), MEI não se aplica à atividade central de arquitetura/design de interiores, NFS-e Nacional obrigatória desde janeiro de 2026, e a Reforma Tributária (IBS/CBS) em fase de testes justamente em 2026 — nenhum concorrente pesquisado, nacional ou internacional, oferece hoje uma simulação de Fator R, o que é uma oportunidade real de diferenciação.</w:t>
      </w:r>
    </w:p>
    <w:p>
      <w:pPr>
        <w:pStyle w:val="Heading1"/>
        <w:spacing w:after="160" w:before="360"/>
      </w:pPr>
      <w:r>
        <w:t xml:space="preserve">Princípios de Arquitetura do Sistema</w:t>
      </w:r>
    </w:p>
    <w:p>
      <w:pPr>
        <w:pStyle w:val="Heading3"/>
        <w:spacing w:after="100" w:before="200"/>
      </w:pPr>
      <w:r>
        <w:t xml:space="preserve">Integração máxima, sem redigitação</w:t>
      </w:r>
    </w:p>
    <w:p>
      <w:pPr>
        <w:spacing w:after="160"/>
      </w:pPr>
      <w:r>
        <w:rPr>
          <w:b w:val="false"/>
          <w:bCs w:val="false"/>
          <w:i w:val="false"/>
          <w:iCs w:val="false"/>
        </w:rPr>
        <w:t xml:space="preserve">Um lead que vira cliente no CRM converte-se automaticamente em projeto no ERP Arquitetura; a especificação aprovada no FF&amp;E gera diretamente o orçamento e a lista de itens; nenhum dado é digitado duas vezes entre módulos.</w:t>
      </w:r>
    </w:p>
    <w:p>
      <w:pPr>
        <w:pStyle w:val="Heading3"/>
        <w:spacing w:after="100" w:before="200"/>
      </w:pPr>
      <w:r>
        <w:t xml:space="preserve">Não substituir o que já funciona</w:t>
      </w:r>
    </w:p>
    <w:p>
      <w:pPr>
        <w:spacing w:after="160"/>
      </w:pPr>
      <w:r>
        <w:rPr>
          <w:b w:val="false"/>
          <w:bCs w:val="false"/>
          <w:i w:val="false"/>
          <w:iCs w:val="false"/>
        </w:rPr>
        <w:t xml:space="preserve">O Google Workspace continua sendo o Office do escritório; AutoCAD, SketchUp, Enscape e Adobe continuam sendo as ferramentas de autoria de projeto e imagem. A plataforma se conecta a essas ferramentas — não tenta recriá-las.</w:t>
      </w:r>
    </w:p>
    <w:p>
      <w:pPr>
        <w:pStyle w:val="Heading3"/>
        <w:spacing w:after="100" w:before="200"/>
      </w:pPr>
      <w:r>
        <w:t xml:space="preserve">Fronteiras de escopo explícitas dentro do próprio produto</w:t>
      </w:r>
    </w:p>
    <w:p>
      <w:pPr>
        <w:spacing w:after="160"/>
      </w:pPr>
      <w:r>
        <w:rPr>
          <w:b w:val="false"/>
          <w:bCs w:val="false"/>
          <w:i w:val="false"/>
          <w:iCs w:val="false"/>
        </w:rPr>
        <w:t xml:space="preserve">O carrinho de compras do FF&amp;E termina visivelmente em uma planilha de itens e valores para o cliente — a interface deixa claro que a compra em si acontece fora da plataforma, sem ambiguidade para quem usa.</w:t>
      </w:r>
    </w:p>
    <w:p>
      <w:pPr>
        <w:pStyle w:val="Heading3"/>
        <w:spacing w:after="100" w:before="200"/>
      </w:pPr>
      <w:r>
        <w:t xml:space="preserve">Localização brasileira desde o primeiro dia</w:t>
      </w:r>
    </w:p>
    <w:p>
      <w:pPr>
        <w:spacing w:after="160"/>
      </w:pPr>
      <w:r>
        <w:rPr>
          <w:b w:val="false"/>
          <w:bCs w:val="false"/>
          <w:i w:val="false"/>
          <w:iCs w:val="false"/>
        </w:rPr>
        <w:t xml:space="preserve">Idioma, moeda, emissão de NFS-e, boleto e Pix, e regras do Simples Nacional (incluindo Fator R) fazem parte do modelo de dados desde a Fase 0 — não são adaptações posteriores.</w:t>
      </w:r>
    </w:p>
    <w:p>
      <w:pPr>
        <w:pStyle w:val="Heading3"/>
        <w:spacing w:after="100" w:before="200"/>
      </w:pPr>
      <w:r>
        <w:t xml:space="preserve">Arquitetura extensível</w:t>
      </w:r>
    </w:p>
    <w:p>
      <w:pPr>
        <w:spacing w:after="160"/>
      </w:pPr>
      <w:r>
        <w:rPr>
          <w:b w:val="false"/>
          <w:bCs w:val="false"/>
          <w:i w:val="false"/>
          <w:iCs w:val="false"/>
        </w:rPr>
        <w:t xml:space="preserve">Dados organizados por conta/empresa e API própria desde o início, para permitir no futuro (fora deste projeto) módulos adicionais como Procurement ou Obras, sem redesenho estrutural.</w:t>
      </w:r>
    </w:p>
    <w:p>
      <w:pPr>
        <w:pStyle w:val="Heading3"/>
        <w:spacing w:after="100" w:before="200"/>
      </w:pPr>
      <w:r>
        <w:t xml:space="preserve">Acessível de qualquer lugar</w:t>
      </w:r>
    </w:p>
    <w:p>
      <w:pPr>
        <w:spacing w:after="160"/>
      </w:pPr>
      <w:r>
        <w:rPr>
          <w:b w:val="false"/>
          <w:bCs w:val="false"/>
          <w:i w:val="false"/>
          <w:iCs w:val="false"/>
        </w:rPr>
        <w:t xml:space="preserve">Aplicação web responsiva como prioridade; aplicativo mobile nativo é opcional e fica para uma fase avançada, priorizando apontamento de horas e aprovação de FF&amp;E em campo.</w:t>
      </w:r>
    </w:p>
    <w:p>
      <w:pPr>
        <w:pStyle w:val="Heading1"/>
        <w:spacing w:after="160" w:before="360"/>
      </w:pPr>
      <w:r>
        <w:t xml:space="preserve">Arquitetura da Plataforma</w:t>
      </w:r>
    </w:p>
    <w:p>
      <w:pPr>
        <w:spacing w:after="160"/>
      </w:pPr>
      <w:r>
        <w:rPr>
          <w:b w:val="false"/>
          <w:bCs w:val="false"/>
          <w:i w:val="false"/>
          <w:iCs w:val="false"/>
        </w:rPr>
        <w:t xml:space="preserve">Os quatro módulos trocam dados entre si automaticamente, evitando redigitação. O fluxo principal de informação segue a tabela abaixo.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527"/>
        <w:gridCol w:w="4333"/>
      </w:tblGrid>
      <w:tr>
        <w:trPr>
          <w:tblHeader/>
        </w:trPr>
        <w:tc>
          <w:tcPr>
            <w:tcW w:type="dxa" w:w="2166"/>
            <w:shd w:fill="1F3864" w:color="auto" w:val="clear"/>
            <w:tcMar>
              <w:top w:type="dxa" w:w="80"/>
              <w:left w:type="dxa" w:w="110"/>
              <w:bottom w:type="dxa" w:w="80"/>
              <w:right w:type="dxa" w:w="110"/>
            </w:tcMar>
            <w:vAlign w:val="center"/>
          </w:tcPr>
          <w:p>
            <w:r>
              <w:rPr>
                <w:b/>
                <w:bCs/>
                <w:color w:val="FFFFFF"/>
                <w:sz w:val="19"/>
                <w:szCs w:val="19"/>
              </w:rPr>
              <w:t xml:space="preserve">De</w:t>
            </w:r>
          </w:p>
        </w:tc>
        <w:tc>
          <w:tcPr>
            <w:tcW w:type="dxa" w:w="2527"/>
            <w:shd w:fill="1F3864" w:color="auto" w:val="clear"/>
            <w:tcMar>
              <w:top w:type="dxa" w:w="80"/>
              <w:left w:type="dxa" w:w="110"/>
              <w:bottom w:type="dxa" w:w="80"/>
              <w:right w:type="dxa" w:w="110"/>
            </w:tcMar>
            <w:vAlign w:val="center"/>
          </w:tcPr>
          <w:p>
            <w:r>
              <w:rPr>
                <w:b/>
                <w:bCs/>
                <w:color w:val="FFFFFF"/>
                <w:sz w:val="19"/>
                <w:szCs w:val="19"/>
              </w:rPr>
              <w:t xml:space="preserve">Para</w:t>
            </w:r>
          </w:p>
        </w:tc>
        <w:tc>
          <w:tcPr>
            <w:tcW w:type="dxa" w:w="4333"/>
            <w:shd w:fill="1F3864" w:color="auto" w:val="clear"/>
            <w:tcMar>
              <w:top w:type="dxa" w:w="80"/>
              <w:left w:type="dxa" w:w="110"/>
              <w:bottom w:type="dxa" w:w="80"/>
              <w:right w:type="dxa" w:w="110"/>
            </w:tcMar>
            <w:vAlign w:val="center"/>
          </w:tcPr>
          <w:p>
            <w:r>
              <w:rPr>
                <w:b/>
                <w:bCs/>
                <w:color w:val="FFFFFF"/>
                <w:sz w:val="19"/>
                <w:szCs w:val="19"/>
              </w:rPr>
              <w:t xml:space="preserve">O que flui automaticamente</w:t>
            </w:r>
          </w:p>
        </w:tc>
      </w:tr>
      <w:tr>
        <w:tc>
          <w:tcPr>
            <w:tcW w:type="dxa" w:w="2166"/>
            <w:tcMar>
              <w:top w:type="dxa" w:w="80"/>
              <w:left w:type="dxa" w:w="110"/>
              <w:bottom w:type="dxa" w:w="80"/>
              <w:right w:type="dxa" w:w="110"/>
            </w:tcMar>
            <w:vAlign w:val="center"/>
          </w:tcPr>
          <w:p>
            <w:r>
              <w:rPr>
                <w:b w:val="false"/>
                <w:bCs w:val="false"/>
                <w:sz w:val="19"/>
                <w:szCs w:val="19"/>
              </w:rPr>
              <w:t xml:space="preserve">CRM</w:t>
            </w:r>
          </w:p>
        </w:tc>
        <w:tc>
          <w:tcPr>
            <w:tcW w:type="dxa" w:w="2527"/>
            <w:tcMar>
              <w:top w:type="dxa" w:w="80"/>
              <w:left w:type="dxa" w:w="110"/>
              <w:bottom w:type="dxa" w:w="80"/>
              <w:right w:type="dxa" w:w="110"/>
            </w:tcMar>
            <w:vAlign w:val="center"/>
          </w:tcPr>
          <w:p>
            <w:r>
              <w:rPr>
                <w:b w:val="false"/>
                <w:bCs w:val="false"/>
                <w:sz w:val="19"/>
                <w:szCs w:val="19"/>
              </w:rPr>
              <w:t xml:space="preserve">ERP Arquitetura</w:t>
            </w:r>
          </w:p>
        </w:tc>
        <w:tc>
          <w:tcPr>
            <w:tcW w:type="dxa" w:w="4333"/>
            <w:tcMar>
              <w:top w:type="dxa" w:w="80"/>
              <w:left w:type="dxa" w:w="110"/>
              <w:bottom w:type="dxa" w:w="80"/>
              <w:right w:type="dxa" w:w="110"/>
            </w:tcMar>
            <w:vAlign w:val="center"/>
          </w:tcPr>
          <w:p>
            <w:r>
              <w:rPr>
                <w:b w:val="false"/>
                <w:bCs w:val="false"/>
                <w:sz w:val="19"/>
                <w:szCs w:val="19"/>
              </w:rPr>
              <w:t xml:space="preserve">Oportunidade ganha converte-se em projeto, com cliente, equipe e honorário já preenchidos</w:t>
            </w:r>
          </w:p>
        </w:tc>
      </w:tr>
      <w:tr>
        <w:tc>
          <w:tcPr>
            <w:tcW w:type="dxa" w:w="2166"/>
            <w:shd w:fill="F2F2F2" w:color="auto" w:val="clear"/>
            <w:tcMar>
              <w:top w:type="dxa" w:w="80"/>
              <w:left w:type="dxa" w:w="110"/>
              <w:bottom w:type="dxa" w:w="80"/>
              <w:right w:type="dxa" w:w="110"/>
            </w:tcMar>
            <w:vAlign w:val="center"/>
          </w:tcPr>
          <w:p>
            <w:r>
              <w:rPr>
                <w:b w:val="false"/>
                <w:bCs w:val="false"/>
                <w:sz w:val="19"/>
                <w:szCs w:val="19"/>
              </w:rPr>
              <w:t xml:space="preserve">ERP Arquitetura</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FF&amp;E</w:t>
            </w:r>
          </w:p>
        </w:tc>
        <w:tc>
          <w:tcPr>
            <w:tcW w:type="dxa" w:w="4333"/>
            <w:shd w:fill="F2F2F2" w:color="auto" w:val="clear"/>
            <w:tcMar>
              <w:top w:type="dxa" w:w="80"/>
              <w:left w:type="dxa" w:w="110"/>
              <w:bottom w:type="dxa" w:w="80"/>
              <w:right w:type="dxa" w:w="110"/>
            </w:tcMar>
            <w:vAlign w:val="center"/>
          </w:tcPr>
          <w:p>
            <w:r>
              <w:rPr>
                <w:b w:val="false"/>
                <w:bCs w:val="false"/>
                <w:sz w:val="19"/>
                <w:szCs w:val="19"/>
              </w:rPr>
              <w:t xml:space="preserve">Projeto aberto disponibiliza ambientes/áreas para especificação</w:t>
            </w:r>
          </w:p>
        </w:tc>
      </w:tr>
      <w:tr>
        <w:tc>
          <w:tcPr>
            <w:tcW w:type="dxa" w:w="2166"/>
            <w:tcMar>
              <w:top w:type="dxa" w:w="80"/>
              <w:left w:type="dxa" w:w="110"/>
              <w:bottom w:type="dxa" w:w="80"/>
              <w:right w:type="dxa" w:w="110"/>
            </w:tcMar>
            <w:vAlign w:val="center"/>
          </w:tcPr>
          <w:p>
            <w:r>
              <w:rPr>
                <w:b w:val="false"/>
                <w:bCs w:val="false"/>
                <w:sz w:val="19"/>
                <w:szCs w:val="19"/>
              </w:rPr>
              <w:t xml:space="preserve">FF&amp;E</w:t>
            </w:r>
          </w:p>
        </w:tc>
        <w:tc>
          <w:tcPr>
            <w:tcW w:type="dxa" w:w="2527"/>
            <w:tcMar>
              <w:top w:type="dxa" w:w="80"/>
              <w:left w:type="dxa" w:w="110"/>
              <w:bottom w:type="dxa" w:w="80"/>
              <w:right w:type="dxa" w:w="110"/>
            </w:tcMar>
            <w:vAlign w:val="center"/>
          </w:tcPr>
          <w:p>
            <w:r>
              <w:rPr>
                <w:b w:val="false"/>
                <w:bCs w:val="false"/>
                <w:sz w:val="19"/>
                <w:szCs w:val="19"/>
              </w:rPr>
              <w:t xml:space="preserve">ERP Arquitetura</w:t>
            </w:r>
          </w:p>
        </w:tc>
        <w:tc>
          <w:tcPr>
            <w:tcW w:type="dxa" w:w="4333"/>
            <w:tcMar>
              <w:top w:type="dxa" w:w="80"/>
              <w:left w:type="dxa" w:w="110"/>
              <w:bottom w:type="dxa" w:w="80"/>
              <w:right w:type="dxa" w:w="110"/>
            </w:tcMar>
            <w:vAlign w:val="center"/>
          </w:tcPr>
          <w:p>
            <w:r>
              <w:rPr>
                <w:b w:val="false"/>
                <w:bCs w:val="false"/>
                <w:sz w:val="19"/>
                <w:szCs w:val="19"/>
              </w:rPr>
              <w:t xml:space="preserve">Carrinho de compras aprovado gera a lista de itens e valores para o orçamento/fatura do projeto</w:t>
            </w:r>
          </w:p>
        </w:tc>
      </w:tr>
      <w:tr>
        <w:tc>
          <w:tcPr>
            <w:tcW w:type="dxa" w:w="2166"/>
            <w:shd w:fill="F2F2F2" w:color="auto" w:val="clear"/>
            <w:tcMar>
              <w:top w:type="dxa" w:w="80"/>
              <w:left w:type="dxa" w:w="110"/>
              <w:bottom w:type="dxa" w:w="80"/>
              <w:right w:type="dxa" w:w="110"/>
            </w:tcMar>
            <w:vAlign w:val="center"/>
          </w:tcPr>
          <w:p>
            <w:r>
              <w:rPr>
                <w:b w:val="false"/>
                <w:bCs w:val="false"/>
                <w:sz w:val="19"/>
                <w:szCs w:val="19"/>
              </w:rPr>
              <w:t xml:space="preserve">Office (Google Workspace)</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Todos os módulos</w:t>
            </w:r>
          </w:p>
        </w:tc>
        <w:tc>
          <w:tcPr>
            <w:tcW w:type="dxa" w:w="4333"/>
            <w:shd w:fill="F2F2F2" w:color="auto" w:val="clear"/>
            <w:tcMar>
              <w:top w:type="dxa" w:w="80"/>
              <w:left w:type="dxa" w:w="110"/>
              <w:bottom w:type="dxa" w:w="80"/>
              <w:right w:type="dxa" w:w="110"/>
            </w:tcMar>
            <w:vAlign w:val="center"/>
          </w:tcPr>
          <w:p>
            <w:r>
              <w:rPr>
                <w:b w:val="false"/>
                <w:bCs w:val="false"/>
                <w:sz w:val="19"/>
                <w:szCs w:val="19"/>
              </w:rPr>
              <w:t xml:space="preserve">Arquivos do Drive, e-mails do Gmail e prazos do Calendar ficam vinculados a clientes e projetos</w:t>
            </w:r>
          </w:p>
        </w:tc>
      </w:tr>
    </w:tbl>
    <w:p>
      <w:pPr>
        <w:spacing w:after="160"/>
      </w:pPr>
    </w:p>
    <w:p>
      <w:pPr>
        <w:pStyle w:val="Heading1"/>
        <w:spacing w:after="160" w:before="360"/>
      </w:pPr>
      <w:r>
        <w:t xml:space="preserve">Módulo: Office</w:t>
      </w:r>
    </w:p>
    <w:p>
      <w:pPr>
        <w:spacing w:after="160"/>
      </w:pPr>
      <w:r>
        <w:rPr>
          <w:b w:val="false"/>
          <w:bCs w:val="false"/>
          <w:i/>
          <w:iCs/>
        </w:rPr>
        <w:t xml:space="preserve">Integração com o Google Workspace — não substituição</w:t>
      </w:r>
    </w:p>
    <w:p>
      <w:pPr>
        <w:spacing w:after="160"/>
      </w:pPr>
      <w:r>
        <w:rPr>
          <w:b w:val="false"/>
          <w:bCs w:val="false"/>
          <w:i w:val="false"/>
          <w:iCs w:val="false"/>
        </w:rPr>
        <w:t xml:space="preserve">O Google Workspace já atende bem armazenamento, e-mail, conversa entre pares, Word/Excel/PPT. A plataforma não deve recriar nada disso: deve se conectar a ele.</w:t>
      </w:r>
    </w:p>
    <w:p>
      <w:pPr>
        <w:pStyle w:val="ListParagraph"/>
        <w:numPr>
          <w:ilvl w:val="0"/>
          <w:numId w:val="2"/>
        </w:numPr>
        <w:spacing w:after="80"/>
      </w:pPr>
      <w:r>
        <w:t xml:space="preserve">Login único (SSO) via conta Google Workspace</w:t>
      </w:r>
    </w:p>
    <w:p>
      <w:pPr>
        <w:pStyle w:val="ListParagraph"/>
        <w:numPr>
          <w:ilvl w:val="0"/>
          <w:numId w:val="2"/>
        </w:numPr>
        <w:spacing w:after="80"/>
      </w:pPr>
      <w:r>
        <w:t xml:space="preserve">Painel de arquivos com pastas do Google Drive vinculadas automaticamente a cada projeto e cliente, com pré-visualização e link direto de abertura</w:t>
      </w:r>
    </w:p>
    <w:p>
      <w:pPr>
        <w:pStyle w:val="ListParagraph"/>
        <w:numPr>
          <w:ilvl w:val="0"/>
          <w:numId w:val="2"/>
        </w:numPr>
        <w:spacing w:after="80"/>
      </w:pPr>
      <w:r>
        <w:t xml:space="preserve">Captura de e-mails relevantes do Gmail para o histórico do cliente/projeto dentro da plataforma (caixa de entrada inteligente, no estilo do que ferramentas como Monograph oferecem)</w:t>
      </w:r>
    </w:p>
    <w:p>
      <w:pPr>
        <w:pStyle w:val="ListParagraph"/>
        <w:numPr>
          <w:ilvl w:val="0"/>
          <w:numId w:val="2"/>
        </w:numPr>
        <w:spacing w:after="80"/>
      </w:pPr>
      <w:r>
        <w:t xml:space="preserve">Sincronização de marcos e prazos de projeto com o Google Calendar (nos dois sentidos)</w:t>
      </w:r>
    </w:p>
    <w:p>
      <w:pPr>
        <w:pStyle w:val="ListParagraph"/>
        <w:numPr>
          <w:ilvl w:val="0"/>
          <w:numId w:val="2"/>
        </w:numPr>
        <w:spacing w:after="80"/>
      </w:pPr>
      <w:r>
        <w:t xml:space="preserve">Vínculo de convites e gravações do Google Meet ao registro do projeto</w:t>
      </w:r>
    </w:p>
    <w:p>
      <w:pPr>
        <w:pStyle w:val="ListParagraph"/>
        <w:numPr>
          <w:ilvl w:val="0"/>
          <w:numId w:val="2"/>
        </w:numPr>
        <w:spacing w:after="80"/>
      </w:pPr>
      <w:r>
        <w:t xml:space="preserve">Geração de propostas, relatórios e orçamentos exportáveis/editáveis como Google Docs, Sheets ou Slides</w:t>
      </w:r>
    </w:p>
    <w:p>
      <w:pPr>
        <w:pStyle w:val="ListParagraph"/>
        <w:numPr>
          <w:ilvl w:val="0"/>
          <w:numId w:val="2"/>
        </w:numPr>
        <w:spacing w:after="80"/>
      </w:pPr>
      <w:r>
        <w:t xml:space="preserve">Sincronização de contatos com o Google Contacts</w:t>
      </w:r>
    </w:p>
    <w:p>
      <w:pPr>
        <w:pStyle w:val="Heading1"/>
        <w:spacing w:after="160" w:before="360"/>
      </w:pPr>
      <w:r>
        <w:t xml:space="preserve">Módulo: CRM</w:t>
      </w:r>
    </w:p>
    <w:p>
      <w:pPr>
        <w:spacing w:after="160"/>
      </w:pPr>
      <w:r>
        <w:rPr>
          <w:b w:val="false"/>
          <w:bCs w:val="false"/>
          <w:i/>
          <w:iCs/>
        </w:rPr>
        <w:t xml:space="preserve">Captação e relacionamento com clientes</w:t>
      </w:r>
    </w:p>
    <w:p>
      <w:pPr>
        <w:pStyle w:val="ListParagraph"/>
        <w:numPr>
          <w:ilvl w:val="0"/>
          <w:numId w:val="2"/>
        </w:numPr>
        <w:spacing w:after="80"/>
      </w:pPr>
      <w:r>
        <w:t xml:space="preserve">Captura de leads multicanal: formulário do site, WhatsApp, Instagram/Meta Ads, indicação, e-mail e telefone, tudo centralizado</w:t>
      </w:r>
    </w:p>
    <w:p>
      <w:pPr>
        <w:pStyle w:val="ListParagraph"/>
        <w:numPr>
          <w:ilvl w:val="0"/>
          <w:numId w:val="2"/>
        </w:numPr>
        <w:spacing w:after="80"/>
      </w:pPr>
      <w:r>
        <w:t xml:space="preserve">Pipeline visual (kanban) de oportunidades, com estágios customizáveis</w:t>
      </w:r>
    </w:p>
    <w:p>
      <w:pPr>
        <w:pStyle w:val="ListParagraph"/>
        <w:numPr>
          <w:ilvl w:val="0"/>
          <w:numId w:val="2"/>
        </w:numPr>
        <w:spacing w:after="80"/>
      </w:pPr>
      <w:r>
        <w:t xml:space="preserve">Perfil 360º do cliente: dados, histórico de interações, projetos associados e documentos em um só lugar</w:t>
      </w:r>
    </w:p>
    <w:p>
      <w:pPr>
        <w:pStyle w:val="ListParagraph"/>
        <w:numPr>
          <w:ilvl w:val="0"/>
          <w:numId w:val="2"/>
        </w:numPr>
        <w:spacing w:after="80"/>
      </w:pPr>
      <w:r>
        <w:t xml:space="preserve">Qualificação e priorização simples de leads</w:t>
      </w:r>
    </w:p>
    <w:p>
      <w:pPr>
        <w:pStyle w:val="ListParagraph"/>
        <w:numPr>
          <w:ilvl w:val="0"/>
          <w:numId w:val="2"/>
        </w:numPr>
        <w:spacing w:after="80"/>
      </w:pPr>
      <w:r>
        <w:t xml:space="preserve">Builder de propostas comerciais com templates e geração a partir de dados históricos de projetos semelhantes (m² × valor, % sobre obra, hora técnica)</w:t>
      </w:r>
    </w:p>
    <w:p>
      <w:pPr>
        <w:pStyle w:val="ListParagraph"/>
        <w:numPr>
          <w:ilvl w:val="0"/>
          <w:numId w:val="2"/>
        </w:numPr>
        <w:spacing w:after="80"/>
      </w:pPr>
      <w:r>
        <w:t xml:space="preserve">Assinatura eletrônica de propostas e contratos</w:t>
      </w:r>
    </w:p>
    <w:p>
      <w:pPr>
        <w:pStyle w:val="ListParagraph"/>
        <w:numPr>
          <w:ilvl w:val="0"/>
          <w:numId w:val="2"/>
        </w:numPr>
        <w:spacing w:after="80"/>
      </w:pPr>
      <w:r>
        <w:t xml:space="preserve">Modelos de honorário configuráveis: percentual sobre custo estimado de obra (CUB), valor por m², hora técnica, valor fixo ou recorrente</w:t>
      </w:r>
    </w:p>
    <w:p>
      <w:pPr>
        <w:pStyle w:val="ListParagraph"/>
        <w:numPr>
          <w:ilvl w:val="0"/>
          <w:numId w:val="2"/>
        </w:numPr>
        <w:spacing w:after="80"/>
      </w:pPr>
      <w:r>
        <w:t xml:space="preserve">Follow-up e lembretes automáticos de propostas em aberto</w:t>
      </w:r>
    </w:p>
    <w:p>
      <w:pPr>
        <w:pStyle w:val="ListParagraph"/>
        <w:numPr>
          <w:ilvl w:val="0"/>
          <w:numId w:val="2"/>
        </w:numPr>
        <w:spacing w:after="80"/>
      </w:pPr>
      <w:r>
        <w:t xml:space="preserve">Portal do cliente na fase comercial, antes da assinatura do contrato</w:t>
      </w:r>
    </w:p>
    <w:p>
      <w:pPr>
        <w:pStyle w:val="ListParagraph"/>
        <w:numPr>
          <w:ilvl w:val="0"/>
          <w:numId w:val="2"/>
        </w:numPr>
        <w:spacing w:after="80"/>
      </w:pPr>
      <w:r>
        <w:t xml:space="preserve">Conversão automática de oportunidade ganha em projeto ativo, sem redigitação de dados</w:t>
      </w:r>
    </w:p>
    <w:p>
      <w:pPr>
        <w:pStyle w:val="ListParagraph"/>
        <w:numPr>
          <w:ilvl w:val="0"/>
          <w:numId w:val="2"/>
        </w:numPr>
        <w:spacing w:after="80"/>
      </w:pPr>
      <w:r>
        <w:t xml:space="preserve">Relatórios de funil, taxa de conversão e ciclo de vendas</w:t>
      </w:r>
    </w:p>
    <w:p>
      <w:pPr>
        <w:pStyle w:val="ListParagraph"/>
        <w:numPr>
          <w:ilvl w:val="0"/>
          <w:numId w:val="2"/>
        </w:numPr>
        <w:spacing w:after="80"/>
      </w:pPr>
      <w:r>
        <w:t xml:space="preserve">Registro de indicações e parcerias (fornecedores e outros profissionais que indicam e são indicados)</w:t>
      </w:r>
    </w:p>
    <w:p>
      <w:pPr>
        <w:pStyle w:val="Heading1"/>
        <w:spacing w:after="160" w:before="360"/>
      </w:pPr>
      <w:r>
        <w:t xml:space="preserve">Módulo: ERP Arquitetura</w:t>
      </w:r>
    </w:p>
    <w:p>
      <w:pPr>
        <w:spacing w:after="160"/>
      </w:pPr>
      <w:r>
        <w:rPr>
          <w:b w:val="false"/>
          <w:bCs w:val="false"/>
          <w:i/>
          <w:iCs/>
        </w:rPr>
        <w:t xml:space="preserve">Gestão de projetos, equipe e financeiro do escritório</w:t>
      </w:r>
    </w:p>
    <w:p>
      <w:pPr>
        <w:pStyle w:val="Heading2"/>
        <w:spacing w:after="120" w:before="240"/>
      </w:pPr>
      <w:r>
        <w:t xml:space="preserve">Gestão de Projetos</w:t>
      </w:r>
    </w:p>
    <w:p>
      <w:pPr>
        <w:pStyle w:val="ListParagraph"/>
        <w:numPr>
          <w:ilvl w:val="0"/>
          <w:numId w:val="2"/>
        </w:numPr>
        <w:spacing w:after="80"/>
      </w:pPr>
      <w:r>
        <w:t xml:space="preserve">Cadastro e gestão de projetos, com fases customizáveis (Estudo Preliminar, Anteprojeto, Projeto Executivo etc.)</w:t>
      </w:r>
    </w:p>
    <w:p>
      <w:pPr>
        <w:pStyle w:val="ListParagraph"/>
        <w:numPr>
          <w:ilvl w:val="0"/>
          <w:numId w:val="2"/>
        </w:numPr>
        <w:spacing w:after="80"/>
      </w:pPr>
      <w:r>
        <w:t xml:space="preserve">Cronograma em múltiplas visões (Gantt, Kanban, Calendário), com dependências entre tarefas e marcos</w:t>
      </w:r>
    </w:p>
    <w:p>
      <w:pPr>
        <w:pStyle w:val="ListParagraph"/>
        <w:numPr>
          <w:ilvl w:val="0"/>
          <w:numId w:val="2"/>
        </w:numPr>
        <w:spacing w:after="80"/>
      </w:pPr>
      <w:r>
        <w:t xml:space="preserve">Tarefas e responsáveis, com notificações automáticas</w:t>
      </w:r>
    </w:p>
    <w:p>
      <w:pPr>
        <w:pStyle w:val="ListParagraph"/>
        <w:numPr>
          <w:ilvl w:val="0"/>
          <w:numId w:val="2"/>
        </w:numPr>
        <w:spacing w:after="80"/>
      </w:pPr>
      <w:r>
        <w:t xml:space="preserve">Colaboração com consultores e parceiros externos, com compartilhamento de cronograma e tarefas específicas</w:t>
      </w:r>
    </w:p>
    <w:p>
      <w:pPr>
        <w:pStyle w:val="Heading2"/>
        <w:spacing w:after="120" w:before="240"/>
      </w:pPr>
      <w:r>
        <w:t xml:space="preserve">Apontamento de Horas (Timetracking)</w:t>
      </w:r>
    </w:p>
    <w:p>
      <w:pPr>
        <w:pStyle w:val="ListParagraph"/>
        <w:numPr>
          <w:ilvl w:val="0"/>
          <w:numId w:val="2"/>
        </w:numPr>
        <w:spacing w:after="80"/>
      </w:pPr>
      <w:r>
        <w:t xml:space="preserve">Lançamento de horas por colaborador, projeto e fase — manual, por cronômetro (start/stop) ou pelo aplicativo mobile</w:t>
      </w:r>
    </w:p>
    <w:p>
      <w:pPr>
        <w:pStyle w:val="ListParagraph"/>
        <w:numPr>
          <w:ilvl w:val="0"/>
          <w:numId w:val="2"/>
        </w:numPr>
        <w:spacing w:after="80"/>
      </w:pPr>
      <w:r>
        <w:t xml:space="preserve">Distinção entre horas faturáveis e não faturáveis, com categoria de atividade (projeto, administrativo, comercial)</w:t>
      </w:r>
    </w:p>
    <w:p>
      <w:pPr>
        <w:pStyle w:val="ListParagraph"/>
        <w:numPr>
          <w:ilvl w:val="0"/>
          <w:numId w:val="2"/>
        </w:numPr>
        <w:spacing w:after="80"/>
      </w:pPr>
      <w:r>
        <w:t xml:space="preserve">Aprovação de horas por gestor ou responsável antes do fechamento do período</w:t>
      </w:r>
    </w:p>
    <w:p>
      <w:pPr>
        <w:pStyle w:val="ListParagraph"/>
        <w:numPr>
          <w:ilvl w:val="0"/>
          <w:numId w:val="2"/>
        </w:numPr>
        <w:spacing w:after="80"/>
      </w:pPr>
      <w:r>
        <w:t xml:space="preserve">Alertas automáticos de horas não lançadas</w:t>
      </w:r>
    </w:p>
    <w:p>
      <w:pPr>
        <w:pStyle w:val="ListParagraph"/>
        <w:numPr>
          <w:ilvl w:val="0"/>
          <w:numId w:val="2"/>
        </w:numPr>
        <w:spacing w:after="80"/>
      </w:pPr>
      <w:r>
        <w:t xml:space="preserve">Vínculo automático das horas lançadas ao orçamento do projeto (orçado x realizado) e ao faturamento por hora técnica, quando esse for o modelo de honorário</w:t>
      </w:r>
    </w:p>
    <w:p>
      <w:pPr>
        <w:pStyle w:val="ListParagraph"/>
        <w:numPr>
          <w:ilvl w:val="0"/>
          <w:numId w:val="2"/>
        </w:numPr>
        <w:spacing w:after="80"/>
      </w:pPr>
      <w:r>
        <w:t xml:space="preserve">Relatórios de horas por colaborador, projeto, fase e cliente</w:t>
      </w:r>
    </w:p>
    <w:p>
      <w:pPr>
        <w:pStyle w:val="Heading2"/>
        <w:spacing w:after="120" w:before="240"/>
      </w:pPr>
      <w:r>
        <w:t xml:space="preserve">Equipe &amp; Recursos (People &amp; Resources)</w:t>
      </w:r>
    </w:p>
    <w:p>
      <w:pPr>
        <w:pStyle w:val="ListParagraph"/>
        <w:numPr>
          <w:ilvl w:val="0"/>
          <w:numId w:val="2"/>
        </w:numPr>
        <w:spacing w:after="80"/>
      </w:pPr>
      <w:r>
        <w:t xml:space="preserve">Cadastro de equipe com papel/cargo, especialidade e custo-hora</w:t>
      </w:r>
    </w:p>
    <w:p>
      <w:pPr>
        <w:pStyle w:val="ListParagraph"/>
        <w:numPr>
          <w:ilvl w:val="0"/>
          <w:numId w:val="2"/>
        </w:numPr>
        <w:spacing w:after="80"/>
      </w:pPr>
      <w:r>
        <w:t xml:space="preserve">Planejamento de capacidade e alocação (visão de quem está livre, sobrecarregado ou disponível em breve)</w:t>
      </w:r>
    </w:p>
    <w:p>
      <w:pPr>
        <w:pStyle w:val="ListParagraph"/>
        <w:numPr>
          <w:ilvl w:val="0"/>
          <w:numId w:val="2"/>
        </w:numPr>
        <w:spacing w:after="80"/>
      </w:pPr>
      <w:r>
        <w:t xml:space="preserve">Matching de competências: sugestão de quem alocar em um projeto/fase com base em especialidade e disponibilidade</w:t>
      </w:r>
    </w:p>
    <w:p>
      <w:pPr>
        <w:pStyle w:val="ListParagraph"/>
        <w:numPr>
          <w:ilvl w:val="0"/>
          <w:numId w:val="2"/>
        </w:numPr>
        <w:spacing w:after="80"/>
      </w:pPr>
      <w:r>
        <w:t xml:space="preserve">Calendário de férias, ausências e feriados, integrado à visão de capacidade da equipe</w:t>
      </w:r>
    </w:p>
    <w:p>
      <w:pPr>
        <w:pStyle w:val="ListParagraph"/>
        <w:numPr>
          <w:ilvl w:val="0"/>
          <w:numId w:val="2"/>
        </w:numPr>
        <w:spacing w:after="80"/>
      </w:pPr>
      <w:r>
        <w:t xml:space="preserve">Painel do colaborador com visão pessoal de tarefas, horas e prazos</w:t>
      </w:r>
    </w:p>
    <w:p>
      <w:pPr>
        <w:pStyle w:val="ListParagraph"/>
        <w:numPr>
          <w:ilvl w:val="0"/>
          <w:numId w:val="2"/>
        </w:numPr>
        <w:spacing w:after="80"/>
      </w:pPr>
      <w:r>
        <w:t xml:space="preserve">Gestão de freelancers eventuais (renderistas, desenhistas pontuais) com geração de RPA e cálculo de retenções (INSS, IRRF, ISS)</w:t>
      </w:r>
    </w:p>
    <w:p>
      <w:pPr>
        <w:pStyle w:val="ListParagraph"/>
        <w:numPr>
          <w:ilvl w:val="0"/>
          <w:numId w:val="2"/>
        </w:numPr>
        <w:spacing w:after="80"/>
      </w:pPr>
      <w:r>
        <w:t xml:space="preserve">Onboarding simples de novos colaboradores (checklist de acessos e ferramentas)</w:t>
      </w:r>
    </w:p>
    <w:p>
      <w:pPr>
        <w:pStyle w:val="Heading2"/>
        <w:spacing w:after="120" w:before="240"/>
      </w:pPr>
      <w:r>
        <w:t xml:space="preserve">Financeiro &amp; Fiscal</w:t>
      </w:r>
    </w:p>
    <w:p>
      <w:pPr>
        <w:pStyle w:val="ListParagraph"/>
        <w:numPr>
          <w:ilvl w:val="0"/>
          <w:numId w:val="2"/>
        </w:numPr>
        <w:spacing w:after="80"/>
      </w:pPr>
      <w:r>
        <w:t xml:space="preserve">Orçamento por projeto e por fase, com indicador de orçado x realizado e alerta de desvio</w:t>
      </w:r>
    </w:p>
    <w:p>
      <w:pPr>
        <w:pStyle w:val="ListParagraph"/>
        <w:numPr>
          <w:ilvl w:val="0"/>
          <w:numId w:val="2"/>
        </w:numPr>
        <w:spacing w:after="80"/>
      </w:pPr>
      <w:r>
        <w:t xml:space="preserve">Faturamento vinculado a marcos e fases, com parcelamento (entrada + parcelas)</w:t>
      </w:r>
    </w:p>
    <w:p>
      <w:pPr>
        <w:pStyle w:val="ListParagraph"/>
        <w:numPr>
          <w:ilvl w:val="0"/>
          <w:numId w:val="2"/>
        </w:numPr>
        <w:spacing w:after="80"/>
      </w:pPr>
      <w:r>
        <w:t xml:space="preserve">Emissão de NFS-e via integração com parceiro fiscal (ex.: Asaas, eNotas, NFE.io ou Focus NFe), já compatível com o padrão NFS-e Nacional obrigatório desde janeiro de 2026</w:t>
      </w:r>
    </w:p>
    <w:p>
      <w:pPr>
        <w:pStyle w:val="ListParagraph"/>
        <w:numPr>
          <w:ilvl w:val="0"/>
          <w:numId w:val="2"/>
        </w:numPr>
        <w:spacing w:after="80"/>
      </w:pPr>
      <w:r>
        <w:t xml:space="preserve">Emissão de boleto e cobrança via Pix</w:t>
      </w:r>
    </w:p>
    <w:p>
      <w:pPr>
        <w:pStyle w:val="ListParagraph"/>
        <w:numPr>
          <w:ilvl w:val="0"/>
          <w:numId w:val="2"/>
        </w:numPr>
        <w:spacing w:after="80"/>
      </w:pPr>
      <w:r>
        <w:t xml:space="preserve">Simulador de Fator R e enquadramento tributário (Anexo III x Anexo V do Simples Nacional), com alerta quando a folha se aproxima do limiar de 28%</w:t>
      </w:r>
    </w:p>
    <w:p>
      <w:pPr>
        <w:pStyle w:val="ListParagraph"/>
        <w:numPr>
          <w:ilvl w:val="0"/>
          <w:numId w:val="2"/>
        </w:numPr>
        <w:spacing w:after="80"/>
      </w:pPr>
      <w:r>
        <w:t xml:space="preserve">Contas a pagar e a receber, fluxo de caixa e DRE simplificado</w:t>
      </w:r>
    </w:p>
    <w:p>
      <w:pPr>
        <w:pStyle w:val="ListParagraph"/>
        <w:numPr>
          <w:ilvl w:val="0"/>
          <w:numId w:val="2"/>
        </w:numPr>
        <w:spacing w:after="80"/>
      </w:pPr>
      <w:r>
        <w:t xml:space="preserve">Suporte a ISS retido na fonte quando o tomador do serviço for responsável pela retenção</w:t>
      </w:r>
    </w:p>
    <w:p>
      <w:pPr>
        <w:pStyle w:val="Heading2"/>
        <w:spacing w:after="120" w:before="240"/>
      </w:pPr>
      <w:r>
        <w:t xml:space="preserve">Documentos &amp; Conformidade</w:t>
      </w:r>
    </w:p>
    <w:p>
      <w:pPr>
        <w:pStyle w:val="ListParagraph"/>
        <w:numPr>
          <w:ilvl w:val="0"/>
          <w:numId w:val="2"/>
        </w:numPr>
        <w:spacing w:after="80"/>
      </w:pPr>
      <w:r>
        <w:t xml:space="preserve">Checklist de RRT por projeto, com lembrete de emissão via SICCAU/CAU</w:t>
      </w:r>
    </w:p>
    <w:p>
      <w:pPr>
        <w:pStyle w:val="ListParagraph"/>
        <w:numPr>
          <w:ilvl w:val="0"/>
          <w:numId w:val="2"/>
        </w:numPr>
        <w:spacing w:after="80"/>
      </w:pPr>
      <w:r>
        <w:t xml:space="preserve">Repositório de documentos por projeto (contratos, propostas, ARTs/RRTs), vinculado às pastas do Google Drive</w:t>
      </w:r>
    </w:p>
    <w:p>
      <w:pPr>
        <w:pStyle w:val="ListParagraph"/>
        <w:numPr>
          <w:ilvl w:val="0"/>
          <w:numId w:val="2"/>
        </w:numPr>
        <w:spacing w:after="80"/>
      </w:pPr>
      <w:r>
        <w:t xml:space="preserve">Controle leve de versão de entregáveis (nome do arquivo, versão, data, responsável), sem tentar substituir o controle de revisão nativo do AutoCAD/BIM</w:t>
      </w:r>
    </w:p>
    <w:p>
      <w:pPr>
        <w:pStyle w:val="ListParagraph"/>
        <w:numPr>
          <w:ilvl w:val="0"/>
          <w:numId w:val="2"/>
        </w:numPr>
        <w:spacing w:after="80"/>
      </w:pPr>
      <w:r>
        <w:t xml:space="preserve">Conformidade com a LGPD no tratamento de dados pessoais de clientes e colaboradores</w:t>
      </w:r>
    </w:p>
    <w:p>
      <w:pPr>
        <w:pStyle w:val="Heading2"/>
        <w:spacing w:after="120" w:before="240"/>
      </w:pPr>
      <w:r>
        <w:t xml:space="preserve">Relatórios &amp; BI</w:t>
      </w:r>
    </w:p>
    <w:p>
      <w:pPr>
        <w:pStyle w:val="ListParagraph"/>
        <w:numPr>
          <w:ilvl w:val="0"/>
          <w:numId w:val="2"/>
        </w:numPr>
        <w:spacing w:after="80"/>
      </w:pPr>
      <w:r>
        <w:t xml:space="preserve">Dashboards de rentabilidade por projeto, cliente, fase e colaborador</w:t>
      </w:r>
    </w:p>
    <w:p>
      <w:pPr>
        <w:pStyle w:val="ListParagraph"/>
        <w:numPr>
          <w:ilvl w:val="0"/>
          <w:numId w:val="2"/>
        </w:numPr>
        <w:spacing w:after="80"/>
      </w:pPr>
      <w:r>
        <w:t xml:space="preserve">Relatórios financeiros e de desempenho da firma (receita por m², receita por colaborador etc.)</w:t>
      </w:r>
    </w:p>
    <w:p>
      <w:pPr>
        <w:pStyle w:val="Heading1"/>
        <w:spacing w:after="160" w:before="360"/>
      </w:pPr>
      <w:r>
        <w:t xml:space="preserve">Módulo: FF&amp;E</w:t>
      </w:r>
    </w:p>
    <w:p>
      <w:pPr>
        <w:spacing w:after="160"/>
      </w:pPr>
      <w:r>
        <w:rPr>
          <w:b w:val="false"/>
          <w:bCs w:val="false"/>
          <w:i/>
          <w:iCs/>
        </w:rPr>
        <w:t xml:space="preserve">Especificação, apresentação e orçamento de mobiliário e objetos</w:t>
      </w:r>
    </w:p>
    <w:p>
      <w:pPr>
        <w:spacing w:after="160"/>
      </w:pPr>
      <w:r>
        <w:rPr>
          <w:b w:val="false"/>
          <w:bCs w:val="false"/>
          <w:i w:val="false"/>
          <w:iCs w:val="false"/>
        </w:rPr>
        <w:t xml:space="preserve">O módulo vai até a montagem do carrinho de compras e da planilha de itens e valores para o cliente — a execução da compra em si (pedido formal ao fornecedor, rastreio de entrega, recebimento) fica fora do escopo.</w:t>
      </w:r>
    </w:p>
    <w:p>
      <w:pPr>
        <w:pStyle w:val="ListParagraph"/>
        <w:numPr>
          <w:ilvl w:val="0"/>
          <w:numId w:val="2"/>
        </w:numPr>
        <w:spacing w:after="80"/>
      </w:pPr>
      <w:r>
        <w:t xml:space="preserve">Biblioteca/catálogo de produtos com dados reais: preço, dimensão, acabamento, prazo e fornecedor</w:t>
      </w:r>
    </w:p>
    <w:p>
      <w:pPr>
        <w:pStyle w:val="ListParagraph"/>
        <w:numPr>
          <w:ilvl w:val="0"/>
          <w:numId w:val="2"/>
        </w:numPr>
        <w:spacing w:after="80"/>
      </w:pPr>
      <w:r>
        <w:t xml:space="preserve">Web scraper (captura automática de produtos direto de sites de fornecedores: nome, imagem, preço, dimensões e especificações)</w:t>
      </w:r>
    </w:p>
    <w:p>
      <w:pPr>
        <w:pStyle w:val="ListParagraph"/>
        <w:numPr>
          <w:ilvl w:val="0"/>
          <w:numId w:val="2"/>
        </w:numPr>
        <w:spacing w:after="80"/>
      </w:pPr>
      <w:r>
        <w:t xml:space="preserve">Geração de tear sheets (fichas técnicas de produto com marca do estúdio, prontas para apresentação ou impressão)</w:t>
      </w:r>
    </w:p>
    <w:p>
      <w:pPr>
        <w:pStyle w:val="ListParagraph"/>
        <w:numPr>
          <w:ilvl w:val="0"/>
          <w:numId w:val="2"/>
        </w:numPr>
        <w:spacing w:after="80"/>
      </w:pPr>
      <w:r>
        <w:t xml:space="preserve">Especificação por ambiente/área, com blocos vinculados à planta quando disponível (compatível com exportações do AutoCAD/SketchUp)</w:t>
      </w:r>
    </w:p>
    <w:p>
      <w:pPr>
        <w:pStyle w:val="ListParagraph"/>
        <w:numPr>
          <w:ilvl w:val="0"/>
          <w:numId w:val="2"/>
        </w:numPr>
        <w:spacing w:after="80"/>
      </w:pPr>
      <w:r>
        <w:t xml:space="preserve">Suporte a 'produto genérico' (placeholder) quando o SKU específico ainda não foi escolhido</w:t>
      </w:r>
    </w:p>
    <w:p>
      <w:pPr>
        <w:pStyle w:val="ListParagraph"/>
        <w:numPr>
          <w:ilvl w:val="0"/>
          <w:numId w:val="2"/>
        </w:numPr>
        <w:spacing w:after="80"/>
      </w:pPr>
      <w:r>
        <w:t xml:space="preserve">Moodboards e pranchas de apresentação visual</w:t>
      </w:r>
    </w:p>
    <w:p>
      <w:pPr>
        <w:pStyle w:val="ListParagraph"/>
        <w:numPr>
          <w:ilvl w:val="0"/>
          <w:numId w:val="2"/>
        </w:numPr>
        <w:spacing w:after="80"/>
      </w:pPr>
      <w:r>
        <w:t xml:space="preserve">Modo de apresentação ao cliente via link único, navegável, sem precisar exportar para PowerPoint</w:t>
      </w:r>
    </w:p>
    <w:p>
      <w:pPr>
        <w:pStyle w:val="ListParagraph"/>
        <w:numPr>
          <w:ilvl w:val="0"/>
          <w:numId w:val="2"/>
        </w:numPr>
        <w:spacing w:after="80"/>
      </w:pPr>
      <w:r>
        <w:t xml:space="preserve">Aprovação item a item pelo cliente, com comentários e controle de visibilidade de preço</w:t>
      </w:r>
    </w:p>
    <w:p>
      <w:pPr>
        <w:pStyle w:val="ListParagraph"/>
        <w:numPr>
          <w:ilvl w:val="0"/>
          <w:numId w:val="2"/>
        </w:numPr>
        <w:spacing w:after="80"/>
      </w:pPr>
      <w:r>
        <w:t xml:space="preserve">Carrinho de compras do cliente: lista consolidada dos itens especificados/aprovados, com quantidade e valor, exportável como planilha de itens e valores — o orçamento final de FF&amp;E</w:t>
      </w:r>
    </w:p>
    <w:p>
      <w:pPr>
        <w:pStyle w:val="ListParagraph"/>
        <w:numPr>
          <w:ilvl w:val="0"/>
          <w:numId w:val="2"/>
        </w:numPr>
        <w:spacing w:after="80"/>
      </w:pPr>
      <w:r>
        <w:t xml:space="preserve">Cálculo de orçamento com markup e desconto configuráveis por item e por projeto</w:t>
      </w:r>
    </w:p>
    <w:p>
      <w:pPr>
        <w:pStyle w:val="ListParagraph"/>
        <w:numPr>
          <w:ilvl w:val="0"/>
          <w:numId w:val="2"/>
        </w:numPr>
        <w:spacing w:after="80"/>
      </w:pPr>
      <w:r>
        <w:t xml:space="preserve">Reaproveitamento de especificações entre projetos (biblioteca de padrões do escritório)</w:t>
      </w:r>
    </w:p>
    <w:p>
      <w:pPr>
        <w:pStyle w:val="ListParagraph"/>
        <w:numPr>
          <w:ilvl w:val="0"/>
          <w:numId w:val="2"/>
        </w:numPr>
        <w:spacing w:after="80"/>
      </w:pPr>
      <w:r>
        <w:t xml:space="preserve">Exportação para Excel, PDF, CSV, CAD (DWG/DXF) e Revit</w:t>
      </w:r>
    </w:p>
    <w:p>
      <w:pPr>
        <w:pStyle w:val="ListParagraph"/>
        <w:numPr>
          <w:ilvl w:val="0"/>
          <w:numId w:val="2"/>
        </w:numPr>
        <w:spacing w:after="80"/>
      </w:pPr>
      <w:r>
        <w:t xml:space="preserve">Indicador simples de sustentabilidade/pegada de carbono na escolha de produtos</w:t>
      </w:r>
    </w:p>
    <w:p>
      <w:pPr>
        <w:pStyle w:val="ListParagraph"/>
        <w:numPr>
          <w:ilvl w:val="0"/>
          <w:numId w:val="2"/>
        </w:numPr>
        <w:spacing w:after="80"/>
      </w:pPr>
      <w:r>
        <w:t xml:space="preserve">Importação dos dados já existentes na Canoa Supply, para não perder o trabalho de especificação já feito lá</w:t>
      </w:r>
    </w:p>
    <w:p>
      <w:pPr>
        <w:pStyle w:val="Heading1"/>
        <w:spacing w:after="160" w:before="360"/>
      </w:pPr>
      <w:r>
        <w:t xml:space="preserve">Fora de Escopo (detalhado)</w:t>
      </w:r>
    </w:p>
    <w:p>
      <w:pPr>
        <w:pStyle w:val="ListParagraph"/>
        <w:numPr>
          <w:ilvl w:val="0"/>
          <w:numId w:val="2"/>
        </w:numPr>
        <w:spacing w:after="80"/>
      </w:pPr>
      <w:r>
        <w:t xml:space="preserve">Acompanhamento de obras/canteiro: diário de obra, visitas de campo, fotos, checklists de execução, cronograma físico-financeiro de canteiro</w:t>
      </w:r>
    </w:p>
    <w:p>
      <w:pPr>
        <w:pStyle w:val="ListParagraph"/>
        <w:numPr>
          <w:ilvl w:val="0"/>
          <w:numId w:val="2"/>
        </w:numPr>
        <w:spacing w:after="80"/>
      </w:pPr>
      <w:r>
        <w:t xml:space="preserve">OS&amp;E (operational supplies &amp; equipment)</w:t>
      </w:r>
    </w:p>
    <w:p>
      <w:pPr>
        <w:pStyle w:val="ListParagraph"/>
        <w:numPr>
          <w:ilvl w:val="0"/>
          <w:numId w:val="2"/>
        </w:numPr>
        <w:spacing w:after="80"/>
      </w:pPr>
      <w:r>
        <w:t xml:space="preserve">Procurement geral e execução de compra: emissão formal de pedido de compra a fornecedor, RFQ/cotação, aprovação multi-etapa de compra, rastreio de embarque e entrega pós-pedido, reconciliação de nota fiscal de fornecedor, gestão de estoque/inventário</w:t>
      </w:r>
    </w:p>
    <w:p>
      <w:pPr>
        <w:pStyle w:val="ListParagraph"/>
        <w:numPr>
          <w:ilvl w:val="0"/>
          <w:numId w:val="2"/>
        </w:numPr>
        <w:spacing w:after="80"/>
      </w:pPr>
      <w:r>
        <w:t xml:space="preserve">Nota: o carrinho de compras/planilha de itens e valores do módulo FF&amp;E é a ponte natural para um futuro módulo de Procurement, caso um dia entre em escopo — mas não é construído neste projeto.</w:t>
      </w:r>
    </w:p>
    <w:p>
      <w:pPr>
        <w:pStyle w:val="Heading1"/>
        <w:spacing w:after="160" w:before="360"/>
      </w:pPr>
      <w:r>
        <w:t xml:space="preserve">Roadmap de Desenvolvimento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2888"/>
        <w:gridCol w:w="3430"/>
      </w:tblGrid>
      <w:tr>
        <w:trPr>
          <w:tblHeader/>
        </w:trPr>
        <w:tc>
          <w:tcPr>
            <w:tcW w:type="dxa" w:w="1805"/>
            <w:shd w:fill="1F3864" w:color="auto" w:val="clear"/>
            <w:tcMar>
              <w:top w:type="dxa" w:w="80"/>
              <w:left w:type="dxa" w:w="110"/>
              <w:bottom w:type="dxa" w:w="80"/>
              <w:right w:type="dxa" w:w="110"/>
            </w:tcMar>
            <w:vAlign w:val="center"/>
          </w:tcPr>
          <w:p>
            <w:r>
              <w:rPr>
                <w:b/>
                <w:bCs/>
                <w:color w:val="FFFFFF"/>
                <w:sz w:val="19"/>
                <w:szCs w:val="19"/>
              </w:rPr>
              <w:t xml:space="preserve">Fase</w:t>
            </w:r>
          </w:p>
        </w:tc>
        <w:tc>
          <w:tcPr>
            <w:tcW w:type="dxa" w:w="903"/>
            <w:shd w:fill="1F3864" w:color="auto" w:val="clear"/>
            <w:tcMar>
              <w:top w:type="dxa" w:w="80"/>
              <w:left w:type="dxa" w:w="110"/>
              <w:bottom w:type="dxa" w:w="80"/>
              <w:right w:type="dxa" w:w="110"/>
            </w:tcMar>
            <w:vAlign w:val="center"/>
          </w:tcPr>
          <w:p>
            <w:r>
              <w:rPr>
                <w:b/>
                <w:bCs/>
                <w:color w:val="FFFFFF"/>
                <w:sz w:val="19"/>
                <w:szCs w:val="19"/>
              </w:rPr>
              <w:t xml:space="preserve">Duração</w:t>
            </w:r>
          </w:p>
        </w:tc>
        <w:tc>
          <w:tcPr>
            <w:tcW w:type="dxa" w:w="2888"/>
            <w:shd w:fill="1F3864" w:color="auto" w:val="clear"/>
            <w:tcMar>
              <w:top w:type="dxa" w:w="80"/>
              <w:left w:type="dxa" w:w="110"/>
              <w:bottom w:type="dxa" w:w="80"/>
              <w:right w:type="dxa" w:w="110"/>
            </w:tcMar>
            <w:vAlign w:val="center"/>
          </w:tcPr>
          <w:p>
            <w:r>
              <w:rPr>
                <w:b/>
                <w:bCs/>
                <w:color w:val="FFFFFF"/>
                <w:sz w:val="19"/>
                <w:szCs w:val="19"/>
              </w:rPr>
              <w:t xml:space="preserve">Objetivos</w:t>
            </w:r>
          </w:p>
        </w:tc>
        <w:tc>
          <w:tcPr>
            <w:tcW w:type="dxa" w:w="3430"/>
            <w:shd w:fill="1F3864" w:color="auto" w:val="clear"/>
            <w:tcMar>
              <w:top w:type="dxa" w:w="80"/>
              <w:left w:type="dxa" w:w="110"/>
              <w:bottom w:type="dxa" w:w="80"/>
              <w:right w:type="dxa" w:w="110"/>
            </w:tcMar>
            <w:vAlign w:val="center"/>
          </w:tcPr>
          <w:p>
            <w:r>
              <w:rPr>
                <w:b/>
                <w:bCs/>
                <w:color w:val="FFFFFF"/>
                <w:sz w:val="19"/>
                <w:szCs w:val="19"/>
              </w:rPr>
              <w:t xml:space="preserve">Principais entregas</w:t>
            </w:r>
          </w:p>
        </w:tc>
      </w:tr>
      <w:tr>
        <w:tc>
          <w:tcPr>
            <w:tcW w:type="dxa" w:w="1805"/>
            <w:tcMar>
              <w:top w:type="dxa" w:w="80"/>
              <w:left w:type="dxa" w:w="110"/>
              <w:bottom w:type="dxa" w:w="80"/>
              <w:right w:type="dxa" w:w="110"/>
            </w:tcMar>
            <w:vAlign w:val="center"/>
          </w:tcPr>
          <w:p>
            <w:r>
              <w:rPr>
                <w:b w:val="false"/>
                <w:bCs w:val="false"/>
                <w:sz w:val="19"/>
                <w:szCs w:val="19"/>
              </w:rPr>
              <w:t xml:space="preserve">Fase 0 — Descoberta &amp; Arquitetura</w:t>
            </w:r>
          </w:p>
        </w:tc>
        <w:tc>
          <w:tcPr>
            <w:tcW w:type="dxa" w:w="903"/>
            <w:tcMar>
              <w:top w:type="dxa" w:w="80"/>
              <w:left w:type="dxa" w:w="110"/>
              <w:bottom w:type="dxa" w:w="80"/>
              <w:right w:type="dxa" w:w="110"/>
            </w:tcMar>
            <w:vAlign w:val="center"/>
          </w:tcPr>
          <w:p>
            <w:r>
              <w:rPr>
                <w:b w:val="false"/>
                <w:bCs w:val="false"/>
                <w:sz w:val="19"/>
                <w:szCs w:val="19"/>
              </w:rPr>
              <w:t xml:space="preserve">5 semanas</w:t>
            </w:r>
          </w:p>
        </w:tc>
        <w:tc>
          <w:tcPr>
            <w:tcW w:type="dxa" w:w="2888"/>
            <w:tcMar>
              <w:top w:type="dxa" w:w="80"/>
              <w:left w:type="dxa" w:w="110"/>
              <w:bottom w:type="dxa" w:w="80"/>
              <w:right w:type="dxa" w:w="110"/>
            </w:tcMar>
            <w:vAlign w:val="center"/>
          </w:tcPr>
          <w:p>
            <w:r>
              <w:rPr>
                <w:b w:val="false"/>
                <w:bCs w:val="false"/>
                <w:sz w:val="19"/>
                <w:szCs w:val="19"/>
              </w:rPr>
              <w:t xml:space="preserve">Levantar o processo real de trabalho da Giulia, definir modelo de dados, escolher stack tecnológico, desenhar UX/UI, montar a equipe.</w:t>
            </w:r>
          </w:p>
        </w:tc>
        <w:tc>
          <w:tcPr>
            <w:tcW w:type="dxa" w:w="3430"/>
            <w:tcMar>
              <w:top w:type="dxa" w:w="80"/>
              <w:left w:type="dxa" w:w="110"/>
              <w:bottom w:type="dxa" w:w="80"/>
              <w:right w:type="dxa" w:w="110"/>
            </w:tcMar>
            <w:vAlign w:val="center"/>
          </w:tcPr>
          <w:p>
            <w:r>
              <w:rPr>
                <w:b w:val="false"/>
                <w:bCs w:val="false"/>
                <w:sz w:val="19"/>
                <w:szCs w:val="19"/>
              </w:rPr>
              <w:t xml:space="preserve">Especificação técnica detalhada, protótipo navegável (wireframes), plano de projeto validado com a Giulia.</w:t>
            </w:r>
          </w:p>
        </w:tc>
      </w:tr>
      <w:tr>
        <w:tc>
          <w:tcPr>
            <w:tcW w:type="dxa" w:w="1805"/>
            <w:shd w:fill="F2F2F2" w:color="auto" w:val="clear"/>
            <w:tcMar>
              <w:top w:type="dxa" w:w="80"/>
              <w:left w:type="dxa" w:w="110"/>
              <w:bottom w:type="dxa" w:w="80"/>
              <w:right w:type="dxa" w:w="110"/>
            </w:tcMar>
            <w:vAlign w:val="center"/>
          </w:tcPr>
          <w:p>
            <w:r>
              <w:rPr>
                <w:b w:val="false"/>
                <w:bCs w:val="false"/>
                <w:sz w:val="19"/>
                <w:szCs w:val="19"/>
              </w:rPr>
              <w:t xml:space="preserve">Fase 1 — MVP: ERP Arquitetura + CRM</w:t>
            </w:r>
          </w:p>
        </w:tc>
        <w:tc>
          <w:tcPr>
            <w:tcW w:type="dxa" w:w="903"/>
            <w:shd w:fill="F2F2F2" w:color="auto" w:val="clear"/>
            <w:tcMar>
              <w:top w:type="dxa" w:w="80"/>
              <w:left w:type="dxa" w:w="110"/>
              <w:bottom w:type="dxa" w:w="80"/>
              <w:right w:type="dxa" w:w="110"/>
            </w:tcMar>
            <w:vAlign w:val="center"/>
          </w:tcPr>
          <w:p>
            <w:r>
              <w:rPr>
                <w:b w:val="false"/>
                <w:bCs w:val="false"/>
                <w:sz w:val="19"/>
                <w:szCs w:val="19"/>
              </w:rPr>
              <w:t xml:space="preserve">12 semanas</w:t>
            </w:r>
          </w:p>
        </w:tc>
        <w:tc>
          <w:tcPr>
            <w:tcW w:type="dxa" w:w="2888"/>
            <w:shd w:fill="F2F2F2" w:color="auto" w:val="clear"/>
            <w:tcMar>
              <w:top w:type="dxa" w:w="80"/>
              <w:left w:type="dxa" w:w="110"/>
              <w:bottom w:type="dxa" w:w="80"/>
              <w:right w:type="dxa" w:w="110"/>
            </w:tcMar>
            <w:vAlign w:val="center"/>
          </w:tcPr>
          <w:p>
            <w:r>
              <w:rPr>
                <w:b w:val="false"/>
                <w:bCs w:val="false"/>
                <w:sz w:val="19"/>
                <w:szCs w:val="19"/>
              </w:rPr>
              <w:t xml:space="preserve">Construir o núcleo de gestão de projetos, equipe e relacionamento com clientes.</w:t>
            </w:r>
          </w:p>
        </w:tc>
        <w:tc>
          <w:tcPr>
            <w:tcW w:type="dxa" w:w="3430"/>
            <w:shd w:fill="F2F2F2" w:color="auto" w:val="clear"/>
            <w:tcMar>
              <w:top w:type="dxa" w:w="80"/>
              <w:left w:type="dxa" w:w="110"/>
              <w:bottom w:type="dxa" w:w="80"/>
              <w:right w:type="dxa" w:w="110"/>
            </w:tcMar>
            <w:vAlign w:val="center"/>
          </w:tcPr>
          <w:p>
            <w:r>
              <w:rPr>
                <w:b w:val="false"/>
                <w:bCs w:val="false"/>
                <w:sz w:val="19"/>
                <w:szCs w:val="19"/>
              </w:rPr>
              <w:t xml:space="preserve">Cadastro de projetos e fases, cronograma, timesheet, CRM/pipeline, propostas, conversão lead→projeto, SSO e integração inicial com Google Drive/Calendar.</w:t>
            </w:r>
          </w:p>
        </w:tc>
      </w:tr>
      <w:tr>
        <w:tc>
          <w:tcPr>
            <w:tcW w:type="dxa" w:w="1805"/>
            <w:tcMar>
              <w:top w:type="dxa" w:w="80"/>
              <w:left w:type="dxa" w:w="110"/>
              <w:bottom w:type="dxa" w:w="80"/>
              <w:right w:type="dxa" w:w="110"/>
            </w:tcMar>
            <w:vAlign w:val="center"/>
          </w:tcPr>
          <w:p>
            <w:r>
              <w:rPr>
                <w:b w:val="false"/>
                <w:bCs w:val="false"/>
                <w:sz w:val="19"/>
                <w:szCs w:val="19"/>
              </w:rPr>
              <w:t xml:space="preserve">Fase 2 — Financeiro &amp; Fiscal Brasileiro</w:t>
            </w:r>
          </w:p>
        </w:tc>
        <w:tc>
          <w:tcPr>
            <w:tcW w:type="dxa" w:w="903"/>
            <w:tcMar>
              <w:top w:type="dxa" w:w="80"/>
              <w:left w:type="dxa" w:w="110"/>
              <w:bottom w:type="dxa" w:w="80"/>
              <w:right w:type="dxa" w:w="110"/>
            </w:tcMar>
            <w:vAlign w:val="center"/>
          </w:tcPr>
          <w:p>
            <w:r>
              <w:rPr>
                <w:b w:val="false"/>
                <w:bCs w:val="false"/>
                <w:sz w:val="19"/>
                <w:szCs w:val="19"/>
              </w:rPr>
              <w:t xml:space="preserve">7 semanas</w:t>
            </w:r>
          </w:p>
        </w:tc>
        <w:tc>
          <w:tcPr>
            <w:tcW w:type="dxa" w:w="2888"/>
            <w:tcMar>
              <w:top w:type="dxa" w:w="80"/>
              <w:left w:type="dxa" w:w="110"/>
              <w:bottom w:type="dxa" w:w="80"/>
              <w:right w:type="dxa" w:w="110"/>
            </w:tcMar>
            <w:vAlign w:val="center"/>
          </w:tcPr>
          <w:p>
            <w:r>
              <w:rPr>
                <w:b w:val="false"/>
                <w:bCs w:val="false"/>
                <w:sz w:val="19"/>
                <w:szCs w:val="19"/>
              </w:rPr>
              <w:t xml:space="preserve">Fechar o ciclo financeiro do escritório com as particularidades fiscais brasileiras.</w:t>
            </w:r>
          </w:p>
        </w:tc>
        <w:tc>
          <w:tcPr>
            <w:tcW w:type="dxa" w:w="3430"/>
            <w:tcMar>
              <w:top w:type="dxa" w:w="80"/>
              <w:left w:type="dxa" w:w="110"/>
              <w:bottom w:type="dxa" w:w="80"/>
              <w:right w:type="dxa" w:w="110"/>
            </w:tcMar>
            <w:vAlign w:val="center"/>
          </w:tcPr>
          <w:p>
            <w:r>
              <w:rPr>
                <w:b w:val="false"/>
                <w:bCs w:val="false"/>
                <w:sz w:val="19"/>
                <w:szCs w:val="19"/>
              </w:rPr>
              <w:t xml:space="preserve">Faturamento por marco/fase, emissão de NFS-e e boleto/Pix via parceiro, simulador de Fator R, contas a pagar/receber, fluxo de caixa, geração de RPA.</w:t>
            </w:r>
          </w:p>
        </w:tc>
      </w:tr>
      <w:tr>
        <w:tc>
          <w:tcPr>
            <w:tcW w:type="dxa" w:w="1805"/>
            <w:shd w:fill="F2F2F2" w:color="auto" w:val="clear"/>
            <w:tcMar>
              <w:top w:type="dxa" w:w="80"/>
              <w:left w:type="dxa" w:w="110"/>
              <w:bottom w:type="dxa" w:w="80"/>
              <w:right w:type="dxa" w:w="110"/>
            </w:tcMar>
            <w:vAlign w:val="center"/>
          </w:tcPr>
          <w:p>
            <w:r>
              <w:rPr>
                <w:b w:val="false"/>
                <w:bCs w:val="false"/>
                <w:sz w:val="19"/>
                <w:szCs w:val="19"/>
              </w:rPr>
              <w:t xml:space="preserve">Fase 3 — FF&amp;E: Especificação &amp; Carrinho de Compras</w:t>
            </w:r>
          </w:p>
        </w:tc>
        <w:tc>
          <w:tcPr>
            <w:tcW w:type="dxa" w:w="903"/>
            <w:shd w:fill="F2F2F2" w:color="auto" w:val="clear"/>
            <w:tcMar>
              <w:top w:type="dxa" w:w="80"/>
              <w:left w:type="dxa" w:w="110"/>
              <w:bottom w:type="dxa" w:w="80"/>
              <w:right w:type="dxa" w:w="110"/>
            </w:tcMar>
            <w:vAlign w:val="center"/>
          </w:tcPr>
          <w:p>
            <w:r>
              <w:rPr>
                <w:b w:val="false"/>
                <w:bCs w:val="false"/>
                <w:sz w:val="19"/>
                <w:szCs w:val="19"/>
              </w:rPr>
              <w:t xml:space="preserve">12 semanas</w:t>
            </w:r>
          </w:p>
        </w:tc>
        <w:tc>
          <w:tcPr>
            <w:tcW w:type="dxa" w:w="2888"/>
            <w:shd w:fill="F2F2F2" w:color="auto" w:val="clear"/>
            <w:tcMar>
              <w:top w:type="dxa" w:w="80"/>
              <w:left w:type="dxa" w:w="110"/>
              <w:bottom w:type="dxa" w:w="80"/>
              <w:right w:type="dxa" w:w="110"/>
            </w:tcMar>
            <w:vAlign w:val="center"/>
          </w:tcPr>
          <w:p>
            <w:r>
              <w:rPr>
                <w:b w:val="false"/>
                <w:bCs w:val="false"/>
                <w:sz w:val="19"/>
                <w:szCs w:val="19"/>
              </w:rPr>
              <w:t xml:space="preserve">Construir o módulo de especificação de mobiliário até o carrinho de compras, com transição de dados da Canoa Supply.</w:t>
            </w:r>
          </w:p>
        </w:tc>
        <w:tc>
          <w:tcPr>
            <w:tcW w:type="dxa" w:w="3430"/>
            <w:shd w:fill="F2F2F2" w:color="auto" w:val="clear"/>
            <w:tcMar>
              <w:top w:type="dxa" w:w="80"/>
              <w:left w:type="dxa" w:w="110"/>
              <w:bottom w:type="dxa" w:w="80"/>
              <w:right w:type="dxa" w:w="110"/>
            </w:tcMar>
            <w:vAlign w:val="center"/>
          </w:tcPr>
          <w:p>
            <w:r>
              <w:rPr>
                <w:b w:val="false"/>
                <w:bCs w:val="false"/>
                <w:sz w:val="19"/>
                <w:szCs w:val="19"/>
              </w:rPr>
              <w:t xml:space="preserve">Catálogo de produtos, web scraper, tear sheets, especificação por ambiente, moodboards, modo de apresentação, aprovação por item, carrinho de compras/planilha de itens e valores.</w:t>
            </w:r>
          </w:p>
        </w:tc>
      </w:tr>
      <w:tr>
        <w:tc>
          <w:tcPr>
            <w:tcW w:type="dxa" w:w="1805"/>
            <w:tcMar>
              <w:top w:type="dxa" w:w="80"/>
              <w:left w:type="dxa" w:w="110"/>
              <w:bottom w:type="dxa" w:w="80"/>
              <w:right w:type="dxa" w:w="110"/>
            </w:tcMar>
            <w:vAlign w:val="center"/>
          </w:tcPr>
          <w:p>
            <w:r>
              <w:rPr>
                <w:b w:val="false"/>
                <w:bCs w:val="false"/>
                <w:sz w:val="19"/>
                <w:szCs w:val="19"/>
              </w:rPr>
              <w:t xml:space="preserve">Fase 4 — Integrações avançadas, BI &amp; mobile</w:t>
            </w:r>
          </w:p>
        </w:tc>
        <w:tc>
          <w:tcPr>
            <w:tcW w:type="dxa" w:w="903"/>
            <w:tcMar>
              <w:top w:type="dxa" w:w="80"/>
              <w:left w:type="dxa" w:w="110"/>
              <w:bottom w:type="dxa" w:w="80"/>
              <w:right w:type="dxa" w:w="110"/>
            </w:tcMar>
            <w:vAlign w:val="center"/>
          </w:tcPr>
          <w:p>
            <w:r>
              <w:rPr>
                <w:b w:val="false"/>
                <w:bCs w:val="false"/>
                <w:sz w:val="19"/>
                <w:szCs w:val="19"/>
              </w:rPr>
              <w:t xml:space="preserve">7 semanas</w:t>
            </w:r>
          </w:p>
        </w:tc>
        <w:tc>
          <w:tcPr>
            <w:tcW w:type="dxa" w:w="2888"/>
            <w:tcMar>
              <w:top w:type="dxa" w:w="80"/>
              <w:left w:type="dxa" w:w="110"/>
              <w:bottom w:type="dxa" w:w="80"/>
              <w:right w:type="dxa" w:w="110"/>
            </w:tcMar>
            <w:vAlign w:val="center"/>
          </w:tcPr>
          <w:p>
            <w:r>
              <w:rPr>
                <w:b w:val="false"/>
                <w:bCs w:val="false"/>
                <w:sz w:val="19"/>
                <w:szCs w:val="19"/>
              </w:rPr>
              <w:t xml:space="preserve">Aprofundar integrações com o Google Workspace, relatórios e acesso móvel.</w:t>
            </w:r>
          </w:p>
        </w:tc>
        <w:tc>
          <w:tcPr>
            <w:tcW w:type="dxa" w:w="3430"/>
            <w:tcMar>
              <w:top w:type="dxa" w:w="80"/>
              <w:left w:type="dxa" w:w="110"/>
              <w:bottom w:type="dxa" w:w="80"/>
              <w:right w:type="dxa" w:w="110"/>
            </w:tcMar>
            <w:vAlign w:val="center"/>
          </w:tcPr>
          <w:p>
            <w:r>
              <w:rPr>
                <w:b w:val="false"/>
                <w:bCs w:val="false"/>
                <w:sz w:val="19"/>
                <w:szCs w:val="19"/>
              </w:rPr>
              <w:t xml:space="preserve">Gmail/Calendar avançado, exportação CAD/Revit, dashboards de BI, versão mobile para apontamento de horas e aprovação de FF&amp;E em campo.</w:t>
            </w:r>
          </w:p>
        </w:tc>
      </w:tr>
      <w:tr>
        <w:tc>
          <w:tcPr>
            <w:tcW w:type="dxa" w:w="1805"/>
            <w:shd w:fill="F2F2F2" w:color="auto" w:val="clear"/>
            <w:tcMar>
              <w:top w:type="dxa" w:w="80"/>
              <w:left w:type="dxa" w:w="110"/>
              <w:bottom w:type="dxa" w:w="80"/>
              <w:right w:type="dxa" w:w="110"/>
            </w:tcMar>
            <w:vAlign w:val="center"/>
          </w:tcPr>
          <w:p>
            <w:r>
              <w:rPr>
                <w:b w:val="false"/>
                <w:bCs w:val="false"/>
                <w:sz w:val="19"/>
                <w:szCs w:val="19"/>
              </w:rPr>
              <w:t xml:space="preserve">Fase 5 — Beta com a Giulia &amp; Go-live</w:t>
            </w:r>
          </w:p>
        </w:tc>
        <w:tc>
          <w:tcPr>
            <w:tcW w:type="dxa" w:w="903"/>
            <w:shd w:fill="F2F2F2" w:color="auto" w:val="clear"/>
            <w:tcMar>
              <w:top w:type="dxa" w:w="80"/>
              <w:left w:type="dxa" w:w="110"/>
              <w:bottom w:type="dxa" w:w="80"/>
              <w:right w:type="dxa" w:w="110"/>
            </w:tcMar>
            <w:vAlign w:val="center"/>
          </w:tcPr>
          <w:p>
            <w:r>
              <w:rPr>
                <w:b w:val="false"/>
                <w:bCs w:val="false"/>
                <w:sz w:val="19"/>
                <w:szCs w:val="19"/>
              </w:rPr>
              <w:t xml:space="preserve">5 semanas</w:t>
            </w:r>
          </w:p>
        </w:tc>
        <w:tc>
          <w:tcPr>
            <w:tcW w:type="dxa" w:w="2888"/>
            <w:shd w:fill="F2F2F2" w:color="auto" w:val="clear"/>
            <w:tcMar>
              <w:top w:type="dxa" w:w="80"/>
              <w:left w:type="dxa" w:w="110"/>
              <w:bottom w:type="dxa" w:w="80"/>
              <w:right w:type="dxa" w:w="110"/>
            </w:tcMar>
            <w:vAlign w:val="center"/>
          </w:tcPr>
          <w:p>
            <w:r>
              <w:rPr>
                <w:b w:val="false"/>
                <w:bCs w:val="false"/>
                <w:sz w:val="19"/>
                <w:szCs w:val="19"/>
              </w:rPr>
              <w:t xml:space="preserve">Validar com uso real, ajustar e lançar.</w:t>
            </w:r>
          </w:p>
        </w:tc>
        <w:tc>
          <w:tcPr>
            <w:tcW w:type="dxa" w:w="3430"/>
            <w:shd w:fill="F2F2F2" w:color="auto" w:val="clear"/>
            <w:tcMar>
              <w:top w:type="dxa" w:w="80"/>
              <w:left w:type="dxa" w:w="110"/>
              <w:bottom w:type="dxa" w:w="80"/>
              <w:right w:type="dxa" w:w="110"/>
            </w:tcMar>
            <w:vAlign w:val="center"/>
          </w:tcPr>
          <w:p>
            <w:r>
              <w:rPr>
                <w:b w:val="false"/>
                <w:bCs w:val="false"/>
                <w:sz w:val="19"/>
                <w:szCs w:val="19"/>
              </w:rPr>
              <w:t xml:space="preserve">Ciclo de testes com projetos reais da Giulia, ajustes finais, treinamento, migração de dados existentes (incluindo Canoa Supply), go-live.</w:t>
            </w:r>
          </w:p>
        </w:tc>
      </w:tr>
    </w:tbl>
    <w:p>
      <w:pPr>
        <w:spacing w:after="80"/>
      </w:pPr>
    </w:p>
    <w:p>
      <w:pPr>
        <w:spacing w:after="160"/>
      </w:pPr>
      <w:r>
        <w:rPr>
          <w:b/>
          <w:bCs/>
          <w:i w:val="false"/>
          <w:iCs w:val="false"/>
        </w:rPr>
        <w:t xml:space="preserve">Aproximadamente 48 semanas (≈ 11 meses) até o go-live completo dos quatro módulos — compatível com um projeto de longo prazo, estruturado, com equipe dedicada.</w:t>
      </w:r>
    </w:p>
    <w:p>
      <w:pPr>
        <w:pStyle w:val="Heading1"/>
        <w:spacing w:after="160" w:before="360"/>
      </w:pPr>
      <w:r>
        <w:t xml:space="preserve">Equipe e Modelo de Investimento</w:t>
      </w:r>
    </w:p>
    <w:p>
      <w:pPr>
        <w:spacing w:after="160"/>
      </w:pPr>
      <w:r>
        <w:rPr>
          <w:b w:val="false"/>
          <w:bCs w:val="false"/>
          <w:i w:val="false"/>
          <w:iCs w:val="false"/>
        </w:rPr>
        <w:t xml:space="preserve">Composição de equipe recomendada para o ritmo de longo prazo escolhido. Os números abaixo são uma referência de estrutura, não uma cotação — vale validar com orçamentos reais antes de travar o plano financeiro do projeto.</w:t>
      </w:r>
    </w:p>
    <w:p>
      <w:pPr>
        <w:pStyle w:val="ListParagraph"/>
        <w:numPr>
          <w:ilvl w:val="0"/>
          <w:numId w:val="2"/>
        </w:numPr>
        <w:spacing w:after="80"/>
      </w:pPr>
      <w:r>
        <w:t xml:space="preserve">1 Product Owner / gerente de projeto — mantém o roadmap, valida cada fase com a Giulia</w:t>
      </w:r>
    </w:p>
    <w:p>
      <w:pPr>
        <w:pStyle w:val="ListParagraph"/>
        <w:numPr>
          <w:ilvl w:val="0"/>
          <w:numId w:val="2"/>
        </w:numPr>
        <w:spacing w:after="80"/>
      </w:pPr>
      <w:r>
        <w:t xml:space="preserve">1 a 2 desenvolvedores full-stack — construção dos módulos</w:t>
      </w:r>
    </w:p>
    <w:p>
      <w:pPr>
        <w:pStyle w:val="ListParagraph"/>
        <w:numPr>
          <w:ilvl w:val="0"/>
          <w:numId w:val="2"/>
        </w:numPr>
        <w:spacing w:after="80"/>
      </w:pPr>
      <w:r>
        <w:t xml:space="preserve">1 designer de UX/UI — pode ser parcial/contrato, concentrado nas Fases 0 e 3</w:t>
      </w:r>
    </w:p>
    <w:p>
      <w:pPr>
        <w:pStyle w:val="ListParagraph"/>
        <w:numPr>
          <w:ilvl w:val="0"/>
          <w:numId w:val="2"/>
        </w:numPr>
        <w:spacing w:after="80"/>
      </w:pPr>
      <w:r>
        <w:t xml:space="preserve">1 QA — pode ser compartilhado/parcial</w:t>
      </w:r>
    </w:p>
    <w:p>
      <w:pPr>
        <w:pStyle w:val="ListParagraph"/>
        <w:numPr>
          <w:ilvl w:val="0"/>
          <w:numId w:val="2"/>
        </w:numPr>
        <w:spacing w:after="80"/>
      </w:pPr>
      <w:r>
        <w:t xml:space="preserve">Consultoria contábil/fiscal — pontual, para validar o módulo financeiro (Fator R, NFS-e, retenções) antes do go-live</w:t>
      </w:r>
    </w:p>
    <w:p>
      <w:pPr>
        <w:spacing w:after="160"/>
      </w:pPr>
      <w:r>
        <w:rPr>
          <w:b w:val="false"/>
          <w:bCs w:val="false"/>
          <w:i w:val="false"/>
          <w:iCs w:val="false"/>
        </w:rPr>
        <w:t xml:space="preserve">Equipe própria (contratação CLT/PJ), software house especializada, ou freelancers via plataformas como Workana/99Freelas — cada modelo tem trade-offs de custo, controle e velocidade que vale comparar com cotações reais antes de decidir.</w:t>
      </w:r>
    </w:p>
    <w:p>
      <w:pPr>
        <w:pStyle w:val="Heading1"/>
        <w:spacing w:after="160" w:before="360"/>
      </w:pPr>
      <w:r>
        <w:t xml:space="preserve">Riscos e Recomendações</w:t>
      </w:r>
    </w:p>
    <w:p>
      <w:pPr>
        <w:pStyle w:val="Heading3"/>
        <w:spacing w:after="100" w:before="200"/>
      </w:pPr>
      <w:r>
        <w:t xml:space="preserve">Reconstruir o FF&amp;E do zero é o item de maior risco e custo do roadmap</w:t>
      </w:r>
    </w:p>
    <w:p>
      <w:pPr>
        <w:spacing w:after="160"/>
      </w:pPr>
      <w:r>
        <w:rPr>
          <w:b w:val="false"/>
          <w:bCs w:val="false"/>
          <w:i w:val="false"/>
          <w:iCs w:val="false"/>
        </w:rPr>
        <w:t xml:space="preserve">A Canoa Supply é gratuita e já cobre bem catálogo, especificação, moodboards, apresentação e orçamento estimado.</w:t>
      </w:r>
    </w:p>
    <w:p>
      <w:pPr>
        <w:spacing w:after="160"/>
      </w:pPr>
      <w:r>
        <w:rPr>
          <w:b/>
          <w:bCs/>
        </w:rPr>
        <w:t xml:space="preserve">Recomendação: </w:t>
      </w:r>
      <w:r>
        <w:t xml:space="preserve">Não bloquear CRM/ERP esperando o FF&amp;E ficar pronto (por isso o FF&amp;E é a Fase 3, não a Fase 1); considerar importar/migrar os dados já especificados na Canoa em vez de recomeçar o catálogo do zero; manter a Canoa em paralelo até a Fase 3 estar pronta.</w:t>
      </w:r>
    </w:p>
    <w:p>
      <w:pPr>
        <w:pStyle w:val="Heading3"/>
        <w:spacing w:after="100" w:before="200"/>
      </w:pPr>
      <w:r>
        <w:t xml:space="preserve">Janela fiscal em transição</w:t>
      </w:r>
    </w:p>
    <w:p>
      <w:pPr>
        <w:spacing w:after="160"/>
      </w:pPr>
      <w:r>
        <w:rPr>
          <w:b w:val="false"/>
          <w:bCs w:val="false"/>
          <w:i w:val="false"/>
          <w:iCs w:val="false"/>
        </w:rPr>
        <w:t xml:space="preserve">2026 é o ano de testes da Reforma Tributária (IBS/CBS); o split payment só se torna obrigatório a partir de 2027.</w:t>
      </w:r>
    </w:p>
    <w:p>
      <w:pPr>
        <w:spacing w:after="160"/>
      </w:pPr>
      <w:r>
        <w:rPr>
          <w:b/>
          <w:bCs/>
        </w:rPr>
        <w:t xml:space="preserve">Recomendação: </w:t>
      </w:r>
      <w:r>
        <w:t xml:space="preserve">Desenhar o modelo de dados fiscal já com os novos campos (CST-IBS, CST-CBS, cClassTrib) desde a Fase 2, sem se apressar a implementar split payment agora.</w:t>
      </w:r>
    </w:p>
    <w:p>
      <w:pPr>
        <w:pStyle w:val="Heading3"/>
        <w:spacing w:after="100" w:before="200"/>
      </w:pPr>
      <w:r>
        <w:t xml:space="preserve">Excluir acompanhamento de obras vai contra o padrão do mercado brasileiro</w:t>
      </w:r>
    </w:p>
    <w:p>
      <w:pPr>
        <w:spacing w:after="160"/>
      </w:pPr>
      <w:r>
        <w:rPr>
          <w:b w:val="false"/>
          <w:bCs w:val="false"/>
          <w:i w:val="false"/>
          <w:iCs w:val="false"/>
        </w:rPr>
        <w:t xml:space="preserve">A maioria dos concorrentes nacionais pesquisados empacota obra por padrão.</w:t>
      </w:r>
    </w:p>
    <w:p>
      <w:pPr>
        <w:spacing w:after="160"/>
      </w:pPr>
      <w:r>
        <w:rPr>
          <w:b/>
          <w:bCs/>
        </w:rPr>
        <w:t xml:space="preserve">Recomendação: </w:t>
      </w:r>
      <w:r>
        <w:t xml:space="preserve">Deixar claro, na comunicação do produto para a própria Giulia e futuros clientes/parceiros, que essa exclusão é escolha deliberada de posicionamento (foco em projeto + FF&amp;E), não uma lacuna do produto.</w:t>
      </w:r>
    </w:p>
    <w:p>
      <w:pPr>
        <w:pStyle w:val="Heading3"/>
        <w:spacing w:after="100" w:before="200"/>
      </w:pPr>
      <w:r>
        <w:t xml:space="preserve">LGPD</w:t>
      </w:r>
    </w:p>
    <w:p>
      <w:pPr>
        <w:spacing w:after="160"/>
      </w:pPr>
      <w:r>
        <w:rPr>
          <w:b w:val="false"/>
          <w:bCs w:val="false"/>
          <w:i w:val="false"/>
          <w:iCs w:val="false"/>
        </w:rPr>
        <w:t xml:space="preserve">O CRM armazena dados pessoais de clientes (pessoa física, em muitos casos).</w:t>
      </w:r>
    </w:p>
    <w:p>
      <w:pPr>
        <w:spacing w:after="160"/>
      </w:pPr>
      <w:r>
        <w:rPr>
          <w:b/>
          <w:bCs/>
        </w:rPr>
        <w:t xml:space="preserve">Recomendação: </w:t>
      </w:r>
      <w:r>
        <w:t xml:space="preserve">Definir base legal de tratamento, política de privacidade e cuidado redobrado com integrações de terceiros (gateways de pagamento e fiscal) desde a Fase 0.</w:t>
      </w:r>
    </w:p>
    <w:p>
      <w:pPr>
        <w:pStyle w:val="Heading3"/>
        <w:spacing w:after="100" w:before="200"/>
      </w:pPr>
      <w:r>
        <w:t xml:space="preserve">Dependência de equipe pequena</w:t>
      </w:r>
    </w:p>
    <w:p>
      <w:pPr>
        <w:spacing w:after="160"/>
      </w:pPr>
      <w:r>
        <w:rPr>
          <w:b w:val="false"/>
          <w:bCs w:val="false"/>
          <w:i w:val="false"/>
          <w:iCs w:val="false"/>
        </w:rPr>
        <w:t xml:space="preserve">Um projeto de 6-12+ meses com 1-2 desenvolvedores concentra conhecimento em poucas pessoas.</w:t>
      </w:r>
    </w:p>
    <w:p>
      <w:pPr>
        <w:spacing w:after="160"/>
      </w:pPr>
      <w:r>
        <w:rPr>
          <w:b/>
          <w:bCs/>
        </w:rPr>
        <w:t xml:space="preserve">Recomendação: </w:t>
      </w:r>
      <w:r>
        <w:t xml:space="preserve">Manter documentação técnica desde o início, para não depender de conhecimento tácito de uma única pessoa.</w:t>
      </w:r>
    </w:p>
    <w:p>
      <w:pPr>
        <w:pStyle w:val="Heading1"/>
        <w:spacing w:after="160" w:before="360"/>
      </w:pPr>
      <w:r>
        <w:t xml:space="preserve">Próximos Passos</w:t>
      </w:r>
    </w:p>
    <w:p>
      <w:pPr>
        <w:pStyle w:val="ListParagraph"/>
        <w:numPr>
          <w:ilvl w:val="0"/>
          <w:numId w:val="3"/>
        </w:numPr>
        <w:spacing w:after="80"/>
      </w:pPr>
      <w:r>
        <w:t xml:space="preserve">Validar este documento com a Giulia: nomenclatura de fases, modelos de honorário e fluxo real de trabalho</w:t>
      </w:r>
    </w:p>
    <w:p>
      <w:pPr>
        <w:pStyle w:val="ListParagraph"/>
        <w:numPr>
          <w:ilvl w:val="0"/>
          <w:numId w:val="3"/>
        </w:numPr>
        <w:spacing w:after="80"/>
      </w:pPr>
      <w:r>
        <w:t xml:space="preserve">Levantar cotações reais de equipe/orçamento (equipe própria x software house x freelancers)</w:t>
      </w:r>
    </w:p>
    <w:p>
      <w:pPr>
        <w:pStyle w:val="ListParagraph"/>
        <w:numPr>
          <w:ilvl w:val="0"/>
          <w:numId w:val="3"/>
        </w:numPr>
        <w:spacing w:after="80"/>
      </w:pPr>
      <w:r>
        <w:t xml:space="preserve">Iniciar a Fase 0 (descoberta e arquitetura)</w:t>
      </w:r>
    </w:p>
    <w:p>
      <w:pPr>
        <w:pStyle w:val="ListParagraph"/>
        <w:numPr>
          <w:ilvl w:val="0"/>
          <w:numId w:val="3"/>
        </w:numPr>
        <w:spacing w:after="80"/>
      </w:pPr>
      <w:r>
        <w:t xml:space="preserve">Confirmar com a Giulia que a Canoa Supply continua em uso paralelo durante as Fases 0 a 2</w:t>
      </w:r>
    </w:p>
    <w:p>
      <w:pPr>
        <w:pStyle w:val="Heading1"/>
        <w:spacing w:after="160" w:before="360"/>
      </w:pPr>
      <w:r>
        <w:t xml:space="preserve">Anexo: Ferramentas de Mercado Pesquisadas</w:t>
      </w:r>
    </w:p>
    <w:p>
      <w:pPr>
        <w:spacing w:after="160"/>
      </w:pPr>
      <w:r>
        <w:rPr>
          <w:b w:val="false"/>
          <w:bCs w:val="false"/>
          <w:i w:val="false"/>
          <w:iCs w:val="false"/>
        </w:rPr>
        <w:t xml:space="preserve">A matriz completa de funcionalidades, módulo a módulo, está no arquivo em Excel que acompanha este documento ("Plataforma_Giulia_Matriz_Comparativa.xlsx"). Abaixo, um resumo de referência das 24 ferramentas pesquisadas.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5"/>
        <w:gridCol w:w="2076"/>
        <w:gridCol w:w="2708"/>
        <w:gridCol w:w="2527"/>
      </w:tblGrid>
      <w:tr>
        <w:trPr>
          <w:tblHeader/>
        </w:trPr>
        <w:tc>
          <w:tcPr>
            <w:tcW w:type="dxa" w:w="1715"/>
            <w:shd w:fill="1F3864" w:color="auto" w:val="clear"/>
            <w:tcMar>
              <w:top w:type="dxa" w:w="80"/>
              <w:left w:type="dxa" w:w="110"/>
              <w:bottom w:type="dxa" w:w="80"/>
              <w:right w:type="dxa" w:w="110"/>
            </w:tcMar>
            <w:vAlign w:val="center"/>
          </w:tcPr>
          <w:p>
            <w:r>
              <w:rPr>
                <w:b/>
                <w:bCs/>
                <w:color w:val="FFFFFF"/>
                <w:sz w:val="19"/>
                <w:szCs w:val="19"/>
              </w:rPr>
              <w:t xml:space="preserve">Ferramenta</w:t>
            </w:r>
          </w:p>
        </w:tc>
        <w:tc>
          <w:tcPr>
            <w:tcW w:type="dxa" w:w="2076"/>
            <w:shd w:fill="1F3864" w:color="auto" w:val="clear"/>
            <w:tcMar>
              <w:top w:type="dxa" w:w="80"/>
              <w:left w:type="dxa" w:w="110"/>
              <w:bottom w:type="dxa" w:w="80"/>
              <w:right w:type="dxa" w:w="110"/>
            </w:tcMar>
            <w:vAlign w:val="center"/>
          </w:tcPr>
          <w:p>
            <w:r>
              <w:rPr>
                <w:b/>
                <w:bCs/>
                <w:color w:val="FFFFFF"/>
                <w:sz w:val="19"/>
                <w:szCs w:val="19"/>
              </w:rPr>
              <w:t xml:space="preserve">Origem</w:t>
            </w:r>
          </w:p>
        </w:tc>
        <w:tc>
          <w:tcPr>
            <w:tcW w:type="dxa" w:w="2708"/>
            <w:shd w:fill="1F3864" w:color="auto" w:val="clear"/>
            <w:tcMar>
              <w:top w:type="dxa" w:w="80"/>
              <w:left w:type="dxa" w:w="110"/>
              <w:bottom w:type="dxa" w:w="80"/>
              <w:right w:type="dxa" w:w="110"/>
            </w:tcMar>
            <w:vAlign w:val="center"/>
          </w:tcPr>
          <w:p>
            <w:r>
              <w:rPr>
                <w:b/>
                <w:bCs/>
                <w:color w:val="FFFFFF"/>
                <w:sz w:val="19"/>
                <w:szCs w:val="19"/>
              </w:rPr>
              <w:t xml:space="preserve">Categoria</w:t>
            </w:r>
          </w:p>
        </w:tc>
        <w:tc>
          <w:tcPr>
            <w:tcW w:type="dxa" w:w="2527"/>
            <w:shd w:fill="1F3864" w:color="auto" w:val="clear"/>
            <w:tcMar>
              <w:top w:type="dxa" w:w="80"/>
              <w:left w:type="dxa" w:w="110"/>
              <w:bottom w:type="dxa" w:w="80"/>
              <w:right w:type="dxa" w:w="110"/>
            </w:tcMar>
            <w:vAlign w:val="center"/>
          </w:tcPr>
          <w:p>
            <w:r>
              <w:rPr>
                <w:b/>
                <w:bCs/>
                <w:color w:val="FFFFFF"/>
                <w:sz w:val="19"/>
                <w:szCs w:val="19"/>
              </w:rPr>
              <w:t xml:space="preserve">Preço aproximado</w:t>
            </w:r>
          </w:p>
        </w:tc>
      </w:tr>
      <w:tr>
        <w:tc>
          <w:tcPr>
            <w:tcW w:type="dxa" w:w="1715"/>
            <w:tcMar>
              <w:top w:type="dxa" w:w="80"/>
              <w:left w:type="dxa" w:w="110"/>
              <w:bottom w:type="dxa" w:w="80"/>
              <w:right w:type="dxa" w:w="110"/>
            </w:tcMar>
            <w:vAlign w:val="center"/>
          </w:tcPr>
          <w:p>
            <w:r>
              <w:rPr>
                <w:b w:val="false"/>
                <w:bCs w:val="false"/>
                <w:sz w:val="19"/>
                <w:szCs w:val="19"/>
              </w:rPr>
              <w:t xml:space="preserve">Deltek Vantagepoint</w:t>
            </w:r>
          </w:p>
        </w:tc>
        <w:tc>
          <w:tcPr>
            <w:tcW w:type="dxa" w:w="2076"/>
            <w:tcMar>
              <w:top w:type="dxa" w:w="80"/>
              <w:left w:type="dxa" w:w="110"/>
              <w:bottom w:type="dxa" w:w="80"/>
              <w:right w:type="dxa" w:w="110"/>
            </w:tcMar>
            <w:vAlign w:val="center"/>
          </w:tcPr>
          <w:p>
            <w:r>
              <w:rPr>
                <w:b w:val="false"/>
                <w:bCs w:val="false"/>
                <w:sz w:val="19"/>
                <w:szCs w:val="19"/>
              </w:rPr>
              <w:t xml:space="preserve">EUA</w:t>
            </w:r>
          </w:p>
        </w:tc>
        <w:tc>
          <w:tcPr>
            <w:tcW w:type="dxa" w:w="2708"/>
            <w:tcMar>
              <w:top w:type="dxa" w:w="80"/>
              <w:left w:type="dxa" w:w="110"/>
              <w:bottom w:type="dxa" w:w="80"/>
              <w:right w:type="dxa" w:w="110"/>
            </w:tcMar>
            <w:vAlign w:val="center"/>
          </w:tcPr>
          <w:p>
            <w:r>
              <w:rPr>
                <w:b w:val="false"/>
                <w:bCs w:val="false"/>
                <w:sz w:val="19"/>
                <w:szCs w:val="19"/>
              </w:rPr>
              <w:t xml:space="preserve">ERP Arquitetura (internacional)</w:t>
            </w:r>
          </w:p>
        </w:tc>
        <w:tc>
          <w:tcPr>
            <w:tcW w:type="dxa" w:w="2527"/>
            <w:tcMar>
              <w:top w:type="dxa" w:w="80"/>
              <w:left w:type="dxa" w:w="110"/>
              <w:bottom w:type="dxa" w:w="80"/>
              <w:right w:type="dxa" w:w="110"/>
            </w:tcMar>
            <w:vAlign w:val="center"/>
          </w:tcPr>
          <w:p>
            <w:r>
              <w:rPr>
                <w:b w:val="false"/>
                <w:bCs w:val="false"/>
                <w:sz w:val="19"/>
                <w:szCs w:val="19"/>
              </w:rPr>
              <w:t xml:space="preserve">Sob cotação; estimativa de terceiros US$ 60–150 mil/ano (30–75 usuários)</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Deltek Ajera</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EUA</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ERP Arquitetura (internacional)</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Sob cotação; estimativa de terceiros ~US$ 200/usuário/mês</w:t>
            </w:r>
          </w:p>
        </w:tc>
      </w:tr>
      <w:tr>
        <w:tc>
          <w:tcPr>
            <w:tcW w:type="dxa" w:w="1715"/>
            <w:tcMar>
              <w:top w:type="dxa" w:w="80"/>
              <w:left w:type="dxa" w:w="110"/>
              <w:bottom w:type="dxa" w:w="80"/>
              <w:right w:type="dxa" w:w="110"/>
            </w:tcMar>
            <w:vAlign w:val="center"/>
          </w:tcPr>
          <w:p>
            <w:r>
              <w:rPr>
                <w:b w:val="false"/>
                <w:bCs w:val="false"/>
                <w:sz w:val="19"/>
                <w:szCs w:val="19"/>
              </w:rPr>
              <w:t xml:space="preserve">BQE Core</w:t>
            </w:r>
          </w:p>
        </w:tc>
        <w:tc>
          <w:tcPr>
            <w:tcW w:type="dxa" w:w="2076"/>
            <w:tcMar>
              <w:top w:type="dxa" w:w="80"/>
              <w:left w:type="dxa" w:w="110"/>
              <w:bottom w:type="dxa" w:w="80"/>
              <w:right w:type="dxa" w:w="110"/>
            </w:tcMar>
            <w:vAlign w:val="center"/>
          </w:tcPr>
          <w:p>
            <w:r>
              <w:rPr>
                <w:b w:val="false"/>
                <w:bCs w:val="false"/>
                <w:sz w:val="19"/>
                <w:szCs w:val="19"/>
              </w:rPr>
              <w:t xml:space="preserve">EUA</w:t>
            </w:r>
          </w:p>
        </w:tc>
        <w:tc>
          <w:tcPr>
            <w:tcW w:type="dxa" w:w="2708"/>
            <w:tcMar>
              <w:top w:type="dxa" w:w="80"/>
              <w:left w:type="dxa" w:w="110"/>
              <w:bottom w:type="dxa" w:w="80"/>
              <w:right w:type="dxa" w:w="110"/>
            </w:tcMar>
            <w:vAlign w:val="center"/>
          </w:tcPr>
          <w:p>
            <w:r>
              <w:rPr>
                <w:b w:val="false"/>
                <w:bCs w:val="false"/>
                <w:sz w:val="19"/>
                <w:szCs w:val="19"/>
              </w:rPr>
              <w:t xml:space="preserve">ERP Arquitetura (internacional)</w:t>
            </w:r>
          </w:p>
        </w:tc>
        <w:tc>
          <w:tcPr>
            <w:tcW w:type="dxa" w:w="2527"/>
            <w:tcMar>
              <w:top w:type="dxa" w:w="80"/>
              <w:left w:type="dxa" w:w="110"/>
              <w:bottom w:type="dxa" w:w="80"/>
              <w:right w:type="dxa" w:w="110"/>
            </w:tcMar>
            <w:vAlign w:val="center"/>
          </w:tcPr>
          <w:p>
            <w:r>
              <w:rPr>
                <w:b w:val="false"/>
                <w:bCs w:val="false"/>
                <w:sz w:val="19"/>
                <w:szCs w:val="19"/>
              </w:rPr>
              <w:t xml:space="preserve">Sob cotação; estimativas entre US$ 8–150/usuário/mês</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Monograph</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EUA</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ERP Arquitetura (internacional)</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US$ 25–490/mês total, escala pelo nº de funcionários da firma</w:t>
            </w:r>
          </w:p>
        </w:tc>
      </w:tr>
      <w:tr>
        <w:tc>
          <w:tcPr>
            <w:tcW w:type="dxa" w:w="1715"/>
            <w:tcMar>
              <w:top w:type="dxa" w:w="80"/>
              <w:left w:type="dxa" w:w="110"/>
              <w:bottom w:type="dxa" w:w="80"/>
              <w:right w:type="dxa" w:w="110"/>
            </w:tcMar>
            <w:vAlign w:val="center"/>
          </w:tcPr>
          <w:p>
            <w:r>
              <w:rPr>
                <w:b w:val="false"/>
                <w:bCs w:val="false"/>
                <w:sz w:val="19"/>
                <w:szCs w:val="19"/>
              </w:rPr>
              <w:t xml:space="preserve">Paymo</w:t>
            </w:r>
          </w:p>
        </w:tc>
        <w:tc>
          <w:tcPr>
            <w:tcW w:type="dxa" w:w="2076"/>
            <w:tcMar>
              <w:top w:type="dxa" w:w="80"/>
              <w:left w:type="dxa" w:w="110"/>
              <w:bottom w:type="dxa" w:w="80"/>
              <w:right w:type="dxa" w:w="110"/>
            </w:tcMar>
            <w:vAlign w:val="center"/>
          </w:tcPr>
          <w:p>
            <w:r>
              <w:rPr>
                <w:b w:val="false"/>
                <w:bCs w:val="false"/>
                <w:sz w:val="19"/>
                <w:szCs w:val="19"/>
              </w:rPr>
              <w:t xml:space="preserve">Global</w:t>
            </w:r>
          </w:p>
        </w:tc>
        <w:tc>
          <w:tcPr>
            <w:tcW w:type="dxa" w:w="2708"/>
            <w:tcMar>
              <w:top w:type="dxa" w:w="80"/>
              <w:left w:type="dxa" w:w="110"/>
              <w:bottom w:type="dxa" w:w="80"/>
              <w:right w:type="dxa" w:w="110"/>
            </w:tcMar>
            <w:vAlign w:val="center"/>
          </w:tcPr>
          <w:p>
            <w:r>
              <w:rPr>
                <w:b w:val="false"/>
                <w:bCs w:val="false"/>
                <w:sz w:val="19"/>
                <w:szCs w:val="19"/>
              </w:rPr>
              <w:t xml:space="preserve">Gestão de projetos genérica</w:t>
            </w:r>
          </w:p>
        </w:tc>
        <w:tc>
          <w:tcPr>
            <w:tcW w:type="dxa" w:w="2527"/>
            <w:tcMar>
              <w:top w:type="dxa" w:w="80"/>
              <w:left w:type="dxa" w:w="110"/>
              <w:bottom w:type="dxa" w:w="80"/>
              <w:right w:type="dxa" w:w="110"/>
            </w:tcMar>
            <w:vAlign w:val="center"/>
          </w:tcPr>
          <w:p>
            <w:r>
              <w:rPr>
                <w:b w:val="false"/>
                <w:bCs w:val="false"/>
                <w:sz w:val="19"/>
                <w:szCs w:val="19"/>
              </w:rPr>
              <w:t xml:space="preserve">US$ 0–23,90/usuário/mês</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Factor A/E</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EUA</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ERP Arquitetura (internacional)</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US$ 30–36/usuário/mês, mínimo 5 usuários</w:t>
            </w:r>
          </w:p>
        </w:tc>
      </w:tr>
      <w:tr>
        <w:tc>
          <w:tcPr>
            <w:tcW w:type="dxa" w:w="1715"/>
            <w:tcMar>
              <w:top w:type="dxa" w:w="80"/>
              <w:left w:type="dxa" w:w="110"/>
              <w:bottom w:type="dxa" w:w="80"/>
              <w:right w:type="dxa" w:w="110"/>
            </w:tcMar>
            <w:vAlign w:val="center"/>
          </w:tcPr>
          <w:p>
            <w:r>
              <w:rPr>
                <w:b w:val="false"/>
                <w:bCs w:val="false"/>
                <w:sz w:val="19"/>
                <w:szCs w:val="19"/>
              </w:rPr>
              <w:t xml:space="preserve">Milient (Project Flow)</w:t>
            </w:r>
          </w:p>
        </w:tc>
        <w:tc>
          <w:tcPr>
            <w:tcW w:type="dxa" w:w="2076"/>
            <w:tcMar>
              <w:top w:type="dxa" w:w="80"/>
              <w:left w:type="dxa" w:w="110"/>
              <w:bottom w:type="dxa" w:w="80"/>
              <w:right w:type="dxa" w:w="110"/>
            </w:tcMar>
            <w:vAlign w:val="center"/>
          </w:tcPr>
          <w:p>
            <w:r>
              <w:rPr>
                <w:b w:val="false"/>
                <w:bCs w:val="false"/>
                <w:sz w:val="19"/>
                <w:szCs w:val="19"/>
              </w:rPr>
              <w:t xml:space="preserve">Noruega / grupo europeu</w:t>
            </w:r>
          </w:p>
        </w:tc>
        <w:tc>
          <w:tcPr>
            <w:tcW w:type="dxa" w:w="2708"/>
            <w:tcMar>
              <w:top w:type="dxa" w:w="80"/>
              <w:left w:type="dxa" w:w="110"/>
              <w:bottom w:type="dxa" w:w="80"/>
              <w:right w:type="dxa" w:w="110"/>
            </w:tcMar>
            <w:vAlign w:val="center"/>
          </w:tcPr>
          <w:p>
            <w:r>
              <w:rPr>
                <w:b w:val="false"/>
                <w:bCs w:val="false"/>
                <w:sz w:val="19"/>
                <w:szCs w:val="19"/>
              </w:rPr>
              <w:t xml:space="preserve">ERP Arquitetura (internacional)</w:t>
            </w:r>
          </w:p>
        </w:tc>
        <w:tc>
          <w:tcPr>
            <w:tcW w:type="dxa" w:w="2527"/>
            <w:tcMar>
              <w:top w:type="dxa" w:w="80"/>
              <w:left w:type="dxa" w:w="110"/>
              <w:bottom w:type="dxa" w:w="80"/>
              <w:right w:type="dxa" w:w="110"/>
            </w:tcMar>
            <w:vAlign w:val="center"/>
          </w:tcPr>
          <w:p>
            <w:r>
              <w:rPr>
                <w:b w:val="false"/>
                <w:bCs w:val="false"/>
                <w:sz w:val="19"/>
                <w:szCs w:val="19"/>
              </w:rPr>
              <w:t xml:space="preserve">Sob consulta (Resource Flow: US$ 7–54/recurso/mês)</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if.team</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Provável Leste Europeu</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PSA/ERP genérico com vertical de arquitetura</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~US$ 49–249+/mês por equipe (fontes do próprio site divergem)</w:t>
            </w:r>
          </w:p>
        </w:tc>
      </w:tr>
      <w:tr>
        <w:tc>
          <w:tcPr>
            <w:tcW w:type="dxa" w:w="1715"/>
            <w:tcMar>
              <w:top w:type="dxa" w:w="80"/>
              <w:left w:type="dxa" w:w="110"/>
              <w:bottom w:type="dxa" w:w="80"/>
              <w:right w:type="dxa" w:w="110"/>
            </w:tcMar>
            <w:vAlign w:val="center"/>
          </w:tcPr>
          <w:p>
            <w:r>
              <w:rPr>
                <w:b w:val="false"/>
                <w:bCs w:val="false"/>
                <w:sz w:val="19"/>
                <w:szCs w:val="19"/>
              </w:rPr>
              <w:t xml:space="preserve">Houzz Pro</w:t>
            </w:r>
          </w:p>
        </w:tc>
        <w:tc>
          <w:tcPr>
            <w:tcW w:type="dxa" w:w="2076"/>
            <w:tcMar>
              <w:top w:type="dxa" w:w="80"/>
              <w:left w:type="dxa" w:w="110"/>
              <w:bottom w:type="dxa" w:w="80"/>
              <w:right w:type="dxa" w:w="110"/>
            </w:tcMar>
            <w:vAlign w:val="center"/>
          </w:tcPr>
          <w:p>
            <w:r>
              <w:rPr>
                <w:b w:val="false"/>
                <w:bCs w:val="false"/>
                <w:sz w:val="19"/>
                <w:szCs w:val="19"/>
              </w:rPr>
              <w:t xml:space="preserve">EUA (revenda BR via OSB Software)</w:t>
            </w:r>
          </w:p>
        </w:tc>
        <w:tc>
          <w:tcPr>
            <w:tcW w:type="dxa" w:w="2708"/>
            <w:tcMar>
              <w:top w:type="dxa" w:w="80"/>
              <w:left w:type="dxa" w:w="110"/>
              <w:bottom w:type="dxa" w:w="80"/>
              <w:right w:type="dxa" w:w="110"/>
            </w:tcMar>
            <w:vAlign w:val="center"/>
          </w:tcPr>
          <w:p>
            <w:r>
              <w:rPr>
                <w:b w:val="false"/>
                <w:bCs w:val="false"/>
                <w:sz w:val="19"/>
                <w:szCs w:val="19"/>
              </w:rPr>
              <w:t xml:space="preserve">Gestão de negócio + FF&amp;E</w:t>
            </w:r>
          </w:p>
        </w:tc>
        <w:tc>
          <w:tcPr>
            <w:tcW w:type="dxa" w:w="2527"/>
            <w:tcMar>
              <w:top w:type="dxa" w:w="80"/>
              <w:left w:type="dxa" w:w="110"/>
              <w:bottom w:type="dxa" w:w="80"/>
              <w:right w:type="dxa" w:w="110"/>
            </w:tcMar>
            <w:vAlign w:val="center"/>
          </w:tcPr>
          <w:p>
            <w:r>
              <w:rPr>
                <w:b w:val="false"/>
                <w:bCs w:val="false"/>
                <w:sz w:val="19"/>
                <w:szCs w:val="19"/>
              </w:rPr>
              <w:t xml:space="preserve">~US$ 49–399/mês (fontes divergem bastante)</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Studio Designer</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EUA/Canadá</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Gestão de negócio + FF&amp;E</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US$ 69–119/usuário/mês</w:t>
            </w:r>
          </w:p>
        </w:tc>
      </w:tr>
      <w:tr>
        <w:tc>
          <w:tcPr>
            <w:tcW w:type="dxa" w:w="1715"/>
            <w:tcMar>
              <w:top w:type="dxa" w:w="80"/>
              <w:left w:type="dxa" w:w="110"/>
              <w:bottom w:type="dxa" w:w="80"/>
              <w:right w:type="dxa" w:w="110"/>
            </w:tcMar>
            <w:vAlign w:val="center"/>
          </w:tcPr>
          <w:p>
            <w:r>
              <w:rPr>
                <w:b w:val="false"/>
                <w:bCs w:val="false"/>
                <w:sz w:val="19"/>
                <w:szCs w:val="19"/>
              </w:rPr>
              <w:t xml:space="preserve">Fohlio</w:t>
            </w:r>
          </w:p>
        </w:tc>
        <w:tc>
          <w:tcPr>
            <w:tcW w:type="dxa" w:w="2076"/>
            <w:tcMar>
              <w:top w:type="dxa" w:w="80"/>
              <w:left w:type="dxa" w:w="110"/>
              <w:bottom w:type="dxa" w:w="80"/>
              <w:right w:type="dxa" w:w="110"/>
            </w:tcMar>
            <w:vAlign w:val="center"/>
          </w:tcPr>
          <w:p>
            <w:r>
              <w:rPr>
                <w:b w:val="false"/>
                <w:bCs w:val="false"/>
                <w:sz w:val="19"/>
                <w:szCs w:val="19"/>
              </w:rPr>
              <w:t xml:space="preserve">EUA</w:t>
            </w:r>
          </w:p>
        </w:tc>
        <w:tc>
          <w:tcPr>
            <w:tcW w:type="dxa" w:w="2708"/>
            <w:tcMar>
              <w:top w:type="dxa" w:w="80"/>
              <w:left w:type="dxa" w:w="110"/>
              <w:bottom w:type="dxa" w:w="80"/>
              <w:right w:type="dxa" w:w="110"/>
            </w:tcMar>
            <w:vAlign w:val="center"/>
          </w:tcPr>
          <w:p>
            <w:r>
              <w:rPr>
                <w:b w:val="false"/>
                <w:bCs w:val="false"/>
                <w:sz w:val="19"/>
                <w:szCs w:val="19"/>
              </w:rPr>
              <w:t xml:space="preserve">FF&amp;E (especificação + procurement)</w:t>
            </w:r>
          </w:p>
        </w:tc>
        <w:tc>
          <w:tcPr>
            <w:tcW w:type="dxa" w:w="2527"/>
            <w:tcMar>
              <w:top w:type="dxa" w:w="80"/>
              <w:left w:type="dxa" w:w="110"/>
              <w:bottom w:type="dxa" w:w="80"/>
              <w:right w:type="dxa" w:w="110"/>
            </w:tcMar>
            <w:vAlign w:val="center"/>
          </w:tcPr>
          <w:p>
            <w:r>
              <w:rPr>
                <w:b w:val="false"/>
                <w:bCs w:val="false"/>
                <w:sz w:val="19"/>
                <w:szCs w:val="19"/>
              </w:rPr>
              <w:t xml:space="preserve">~US$ 1.000–1.500/usuário/ano</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DesignSpec</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Canadá</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FF&amp;E (especificação + procurement)</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~US$ 53–59/usuário/mês</w:t>
            </w:r>
          </w:p>
        </w:tc>
      </w:tr>
      <w:tr>
        <w:tc>
          <w:tcPr>
            <w:tcW w:type="dxa" w:w="1715"/>
            <w:tcMar>
              <w:top w:type="dxa" w:w="80"/>
              <w:left w:type="dxa" w:w="110"/>
              <w:bottom w:type="dxa" w:w="80"/>
              <w:right w:type="dxa" w:w="110"/>
            </w:tcMar>
            <w:vAlign w:val="center"/>
          </w:tcPr>
          <w:p>
            <w:r>
              <w:rPr>
                <w:b w:val="false"/>
                <w:bCs w:val="false"/>
                <w:sz w:val="19"/>
                <w:szCs w:val="19"/>
              </w:rPr>
              <w:t xml:space="preserve">Canoa Supply</w:t>
            </w:r>
          </w:p>
        </w:tc>
        <w:tc>
          <w:tcPr>
            <w:tcW w:type="dxa" w:w="2076"/>
            <w:tcMar>
              <w:top w:type="dxa" w:w="80"/>
              <w:left w:type="dxa" w:w="110"/>
              <w:bottom w:type="dxa" w:w="80"/>
              <w:right w:type="dxa" w:w="110"/>
            </w:tcMar>
            <w:vAlign w:val="center"/>
          </w:tcPr>
          <w:p>
            <w:r>
              <w:rPr>
                <w:b w:val="false"/>
                <w:bCs w:val="false"/>
                <w:sz w:val="19"/>
                <w:szCs w:val="19"/>
              </w:rPr>
              <w:t xml:space="preserve">EUA (Brooklyn, NY)</w:t>
            </w:r>
          </w:p>
        </w:tc>
        <w:tc>
          <w:tcPr>
            <w:tcW w:type="dxa" w:w="2708"/>
            <w:tcMar>
              <w:top w:type="dxa" w:w="80"/>
              <w:left w:type="dxa" w:w="110"/>
              <w:bottom w:type="dxa" w:w="80"/>
              <w:right w:type="dxa" w:w="110"/>
            </w:tcMar>
            <w:vAlign w:val="center"/>
          </w:tcPr>
          <w:p>
            <w:r>
              <w:rPr>
                <w:b w:val="false"/>
                <w:bCs w:val="false"/>
                <w:sz w:val="19"/>
                <w:szCs w:val="19"/>
              </w:rPr>
              <w:t xml:space="preserve">FF&amp;E (especificação, já em uso pela Giulia)</w:t>
            </w:r>
          </w:p>
        </w:tc>
        <w:tc>
          <w:tcPr>
            <w:tcW w:type="dxa" w:w="2527"/>
            <w:tcMar>
              <w:top w:type="dxa" w:w="80"/>
              <w:left w:type="dxa" w:w="110"/>
              <w:bottom w:type="dxa" w:w="80"/>
              <w:right w:type="dxa" w:w="110"/>
            </w:tcMar>
            <w:vAlign w:val="center"/>
          </w:tcPr>
          <w:p>
            <w:r>
              <w:rPr>
                <w:b w:val="false"/>
                <w:bCs w:val="false"/>
                <w:sz w:val="19"/>
                <w:szCs w:val="19"/>
              </w:rPr>
              <w:t xml:space="preserve">Gratuito (Starter); Enterprise sob consulta</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zygn</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Índia</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Gestão de negócio para design de interiores</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 6.999/ano (~US$ 80–85)</w:t>
            </w:r>
          </w:p>
        </w:tc>
      </w:tr>
      <w:tr>
        <w:tc>
          <w:tcPr>
            <w:tcW w:type="dxa" w:w="1715"/>
            <w:tcMar>
              <w:top w:type="dxa" w:w="80"/>
              <w:left w:type="dxa" w:w="110"/>
              <w:bottom w:type="dxa" w:w="80"/>
              <w:right w:type="dxa" w:w="110"/>
            </w:tcMar>
            <w:vAlign w:val="center"/>
          </w:tcPr>
          <w:p>
            <w:r>
              <w:rPr>
                <w:b w:val="false"/>
                <w:bCs w:val="false"/>
                <w:sz w:val="19"/>
                <w:szCs w:val="19"/>
              </w:rPr>
              <w:t xml:space="preserve">dzylo</w:t>
            </w:r>
          </w:p>
        </w:tc>
        <w:tc>
          <w:tcPr>
            <w:tcW w:type="dxa" w:w="2076"/>
            <w:tcMar>
              <w:top w:type="dxa" w:w="80"/>
              <w:left w:type="dxa" w:w="110"/>
              <w:bottom w:type="dxa" w:w="80"/>
              <w:right w:type="dxa" w:w="110"/>
            </w:tcMar>
            <w:vAlign w:val="center"/>
          </w:tcPr>
          <w:p>
            <w:r>
              <w:rPr>
                <w:b w:val="false"/>
                <w:bCs w:val="false"/>
                <w:sz w:val="19"/>
                <w:szCs w:val="19"/>
              </w:rPr>
              <w:t xml:space="preserve">Índia (+ presença em Portugal, EAU, Catar, Malásia, Uganda)</w:t>
            </w:r>
          </w:p>
        </w:tc>
        <w:tc>
          <w:tcPr>
            <w:tcW w:type="dxa" w:w="2708"/>
            <w:tcMar>
              <w:top w:type="dxa" w:w="80"/>
              <w:left w:type="dxa" w:w="110"/>
              <w:bottom w:type="dxa" w:w="80"/>
              <w:right w:type="dxa" w:w="110"/>
            </w:tcMar>
            <w:vAlign w:val="center"/>
          </w:tcPr>
          <w:p>
            <w:r>
              <w:rPr>
                <w:b w:val="false"/>
                <w:bCs w:val="false"/>
                <w:sz w:val="19"/>
                <w:szCs w:val="19"/>
              </w:rPr>
              <w:t xml:space="preserve">Gestão de negócio para design de interiores</w:t>
            </w:r>
          </w:p>
        </w:tc>
        <w:tc>
          <w:tcPr>
            <w:tcW w:type="dxa" w:w="2527"/>
            <w:tcMar>
              <w:top w:type="dxa" w:w="80"/>
              <w:left w:type="dxa" w:w="110"/>
              <w:bottom w:type="dxa" w:w="80"/>
              <w:right w:type="dxa" w:w="110"/>
            </w:tcMar>
            <w:vAlign w:val="center"/>
          </w:tcPr>
          <w:p>
            <w:r>
              <w:rPr>
                <w:b w:val="false"/>
                <w:bCs w:val="false"/>
                <w:sz w:val="19"/>
                <w:szCs w:val="19"/>
              </w:rPr>
              <w:t xml:space="preserve">₹ 5.999–12.499/usuário/ano</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Programa</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Austrália (global)</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FF&amp;E / gestão de projeto para design</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US$ 71–89/mês por assento</w:t>
            </w:r>
          </w:p>
        </w:tc>
      </w:tr>
      <w:tr>
        <w:tc>
          <w:tcPr>
            <w:tcW w:type="dxa" w:w="1715"/>
            <w:tcMar>
              <w:top w:type="dxa" w:w="80"/>
              <w:left w:type="dxa" w:w="110"/>
              <w:bottom w:type="dxa" w:w="80"/>
              <w:right w:type="dxa" w:w="110"/>
            </w:tcMar>
            <w:vAlign w:val="center"/>
          </w:tcPr>
          <w:p>
            <w:r>
              <w:rPr>
                <w:b w:val="false"/>
                <w:bCs w:val="false"/>
                <w:sz w:val="19"/>
                <w:szCs w:val="19"/>
              </w:rPr>
              <w:t xml:space="preserve">Planify</w:t>
            </w:r>
          </w:p>
        </w:tc>
        <w:tc>
          <w:tcPr>
            <w:tcW w:type="dxa" w:w="2076"/>
            <w:tcMar>
              <w:top w:type="dxa" w:w="80"/>
              <w:left w:type="dxa" w:w="110"/>
              <w:bottom w:type="dxa" w:w="80"/>
              <w:right w:type="dxa" w:w="110"/>
            </w:tcMar>
            <w:vAlign w:val="center"/>
          </w:tcPr>
          <w:p>
            <w:r>
              <w:rPr>
                <w:b w:val="false"/>
                <w:bCs w:val="false"/>
                <w:sz w:val="19"/>
                <w:szCs w:val="19"/>
              </w:rPr>
              <w:t xml:space="preserve">Polônia (global)</w:t>
            </w:r>
          </w:p>
        </w:tc>
        <w:tc>
          <w:tcPr>
            <w:tcW w:type="dxa" w:w="2708"/>
            <w:tcMar>
              <w:top w:type="dxa" w:w="80"/>
              <w:left w:type="dxa" w:w="110"/>
              <w:bottom w:type="dxa" w:w="80"/>
              <w:right w:type="dxa" w:w="110"/>
            </w:tcMar>
            <w:vAlign w:val="center"/>
          </w:tcPr>
          <w:p>
            <w:r>
              <w:rPr>
                <w:b w:val="false"/>
                <w:bCs w:val="false"/>
                <w:sz w:val="19"/>
                <w:szCs w:val="19"/>
              </w:rPr>
              <w:t xml:space="preserve">FF&amp;E / gestão de projeto para design</w:t>
            </w:r>
          </w:p>
        </w:tc>
        <w:tc>
          <w:tcPr>
            <w:tcW w:type="dxa" w:w="2527"/>
            <w:tcMar>
              <w:top w:type="dxa" w:w="80"/>
              <w:left w:type="dxa" w:w="110"/>
              <w:bottom w:type="dxa" w:w="80"/>
              <w:right w:type="dxa" w:w="110"/>
            </w:tcMar>
            <w:vAlign w:val="center"/>
          </w:tcPr>
          <w:p>
            <w:r>
              <w:rPr>
                <w:b w:val="false"/>
                <w:bCs w:val="false"/>
                <w:sz w:val="19"/>
                <w:szCs w:val="19"/>
              </w:rPr>
              <w:t xml:space="preserve">US$ 24,49–29,99/mês, equipe ilimitada</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Braxio</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Brasil</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ERP + CRM + Obras (nacional)</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R$ 119–319/mês (2–15 usuários)</w:t>
            </w:r>
          </w:p>
        </w:tc>
      </w:tr>
      <w:tr>
        <w:tc>
          <w:tcPr>
            <w:tcW w:type="dxa" w:w="1715"/>
            <w:tcMar>
              <w:top w:type="dxa" w:w="80"/>
              <w:left w:type="dxa" w:w="110"/>
              <w:bottom w:type="dxa" w:w="80"/>
              <w:right w:type="dxa" w:w="110"/>
            </w:tcMar>
            <w:vAlign w:val="center"/>
          </w:tcPr>
          <w:p>
            <w:r>
              <w:rPr>
                <w:b w:val="false"/>
                <w:bCs w:val="false"/>
                <w:sz w:val="19"/>
                <w:szCs w:val="19"/>
              </w:rPr>
              <w:t xml:space="preserve">ArqProject</w:t>
            </w:r>
          </w:p>
        </w:tc>
        <w:tc>
          <w:tcPr>
            <w:tcW w:type="dxa" w:w="2076"/>
            <w:tcMar>
              <w:top w:type="dxa" w:w="80"/>
              <w:left w:type="dxa" w:w="110"/>
              <w:bottom w:type="dxa" w:w="80"/>
              <w:right w:type="dxa" w:w="110"/>
            </w:tcMar>
            <w:vAlign w:val="center"/>
          </w:tcPr>
          <w:p>
            <w:r>
              <w:rPr>
                <w:b w:val="false"/>
                <w:bCs w:val="false"/>
                <w:sz w:val="19"/>
                <w:szCs w:val="19"/>
              </w:rPr>
              <w:t xml:space="preserve">Brasil</w:t>
            </w:r>
          </w:p>
        </w:tc>
        <w:tc>
          <w:tcPr>
            <w:tcW w:type="dxa" w:w="2708"/>
            <w:tcMar>
              <w:top w:type="dxa" w:w="80"/>
              <w:left w:type="dxa" w:w="110"/>
              <w:bottom w:type="dxa" w:w="80"/>
              <w:right w:type="dxa" w:w="110"/>
            </w:tcMar>
            <w:vAlign w:val="center"/>
          </w:tcPr>
          <w:p>
            <w:r>
              <w:rPr>
                <w:b w:val="false"/>
                <w:bCs w:val="false"/>
                <w:sz w:val="19"/>
                <w:szCs w:val="19"/>
              </w:rPr>
              <w:t xml:space="preserve">ERP + CRM (nacional)</w:t>
            </w:r>
          </w:p>
        </w:tc>
        <w:tc>
          <w:tcPr>
            <w:tcW w:type="dxa" w:w="2527"/>
            <w:tcMar>
              <w:top w:type="dxa" w:w="80"/>
              <w:left w:type="dxa" w:w="110"/>
              <w:bottom w:type="dxa" w:w="80"/>
              <w:right w:type="dxa" w:w="110"/>
            </w:tcMar>
            <w:vAlign w:val="center"/>
          </w:tcPr>
          <w:p>
            <w:r>
              <w:rPr>
                <w:b w:val="false"/>
                <w:bCs w:val="false"/>
                <w:sz w:val="19"/>
                <w:szCs w:val="19"/>
              </w:rPr>
              <w:t xml:space="preserve">R$ 99/mês, usuários ilimitados</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Projetools</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Brasil</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ERP + CRM (nacional)</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R$ 89,90–174,90/mês (2–6 usuários)</w:t>
            </w:r>
          </w:p>
        </w:tc>
      </w:tr>
      <w:tr>
        <w:tc>
          <w:tcPr>
            <w:tcW w:type="dxa" w:w="1715"/>
            <w:tcMar>
              <w:top w:type="dxa" w:w="80"/>
              <w:left w:type="dxa" w:w="110"/>
              <w:bottom w:type="dxa" w:w="80"/>
              <w:right w:type="dxa" w:w="110"/>
            </w:tcMar>
            <w:vAlign w:val="center"/>
          </w:tcPr>
          <w:p>
            <w:r>
              <w:rPr>
                <w:b w:val="false"/>
                <w:bCs w:val="false"/>
                <w:sz w:val="19"/>
                <w:szCs w:val="19"/>
              </w:rPr>
              <w:t xml:space="preserve">Plana Software</w:t>
            </w:r>
          </w:p>
        </w:tc>
        <w:tc>
          <w:tcPr>
            <w:tcW w:type="dxa" w:w="2076"/>
            <w:tcMar>
              <w:top w:type="dxa" w:w="80"/>
              <w:left w:type="dxa" w:w="110"/>
              <w:bottom w:type="dxa" w:w="80"/>
              <w:right w:type="dxa" w:w="110"/>
            </w:tcMar>
            <w:vAlign w:val="center"/>
          </w:tcPr>
          <w:p>
            <w:r>
              <w:rPr>
                <w:b w:val="false"/>
                <w:bCs w:val="false"/>
                <w:sz w:val="19"/>
                <w:szCs w:val="19"/>
              </w:rPr>
              <w:t xml:space="preserve">Brasil</w:t>
            </w:r>
          </w:p>
        </w:tc>
        <w:tc>
          <w:tcPr>
            <w:tcW w:type="dxa" w:w="2708"/>
            <w:tcMar>
              <w:top w:type="dxa" w:w="80"/>
              <w:left w:type="dxa" w:w="110"/>
              <w:bottom w:type="dxa" w:w="80"/>
              <w:right w:type="dxa" w:w="110"/>
            </w:tcMar>
            <w:vAlign w:val="center"/>
          </w:tcPr>
          <w:p>
            <w:r>
              <w:rPr>
                <w:b w:val="false"/>
                <w:bCs w:val="false"/>
                <w:sz w:val="19"/>
                <w:szCs w:val="19"/>
              </w:rPr>
              <w:t xml:space="preserve">ERP + CRM + Obras (nacional)</w:t>
            </w:r>
          </w:p>
        </w:tc>
        <w:tc>
          <w:tcPr>
            <w:tcW w:type="dxa" w:w="2527"/>
            <w:tcMar>
              <w:top w:type="dxa" w:w="80"/>
              <w:left w:type="dxa" w:w="110"/>
              <w:bottom w:type="dxa" w:w="80"/>
              <w:right w:type="dxa" w:w="110"/>
            </w:tcMar>
            <w:vAlign w:val="center"/>
          </w:tcPr>
          <w:p>
            <w:r>
              <w:rPr>
                <w:b w:val="false"/>
                <w:bCs w:val="false"/>
                <w:sz w:val="19"/>
                <w:szCs w:val="19"/>
              </w:rPr>
              <w:t xml:space="preserve">R$ 64,90–189,90/mês (4–12 usuários)</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FlowUp</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Brasil</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ERP (nacional)</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Não divulgado publicamente</w:t>
            </w:r>
          </w:p>
        </w:tc>
      </w:tr>
      <w:tr>
        <w:tc>
          <w:tcPr>
            <w:tcW w:type="dxa" w:w="1715"/>
            <w:tcMar>
              <w:top w:type="dxa" w:w="80"/>
              <w:left w:type="dxa" w:w="110"/>
              <w:bottom w:type="dxa" w:w="80"/>
              <w:right w:type="dxa" w:w="110"/>
            </w:tcMar>
            <w:vAlign w:val="center"/>
          </w:tcPr>
          <w:p>
            <w:r>
              <w:rPr>
                <w:b w:val="false"/>
                <w:bCs w:val="false"/>
                <w:sz w:val="19"/>
                <w:szCs w:val="19"/>
              </w:rPr>
              <w:t xml:space="preserve">Sole</w:t>
            </w:r>
          </w:p>
        </w:tc>
        <w:tc>
          <w:tcPr>
            <w:tcW w:type="dxa" w:w="2076"/>
            <w:tcMar>
              <w:top w:type="dxa" w:w="80"/>
              <w:left w:type="dxa" w:w="110"/>
              <w:bottom w:type="dxa" w:w="80"/>
              <w:right w:type="dxa" w:w="110"/>
            </w:tcMar>
            <w:vAlign w:val="center"/>
          </w:tcPr>
          <w:p>
            <w:r>
              <w:rPr>
                <w:b w:val="false"/>
                <w:bCs w:val="false"/>
                <w:sz w:val="19"/>
                <w:szCs w:val="19"/>
              </w:rPr>
              <w:t xml:space="preserve">Brasil</w:t>
            </w:r>
          </w:p>
        </w:tc>
        <w:tc>
          <w:tcPr>
            <w:tcW w:type="dxa" w:w="2708"/>
            <w:tcMar>
              <w:top w:type="dxa" w:w="80"/>
              <w:left w:type="dxa" w:w="110"/>
              <w:bottom w:type="dxa" w:w="80"/>
              <w:right w:type="dxa" w:w="110"/>
            </w:tcMar>
            <w:vAlign w:val="center"/>
          </w:tcPr>
          <w:p>
            <w:r>
              <w:rPr>
                <w:b w:val="false"/>
                <w:bCs w:val="false"/>
                <w:sz w:val="19"/>
                <w:szCs w:val="19"/>
              </w:rPr>
              <w:t xml:space="preserve">ERP + CRM (nacional, não exclusivo do setor)</w:t>
            </w:r>
          </w:p>
        </w:tc>
        <w:tc>
          <w:tcPr>
            <w:tcW w:type="dxa" w:w="2527"/>
            <w:tcMar>
              <w:top w:type="dxa" w:w="80"/>
              <w:left w:type="dxa" w:w="110"/>
              <w:bottom w:type="dxa" w:w="80"/>
              <w:right w:type="dxa" w:w="110"/>
            </w:tcMar>
            <w:vAlign w:val="center"/>
          </w:tcPr>
          <w:p>
            <w:r>
              <w:rPr>
                <w:b w:val="false"/>
                <w:bCs w:val="false"/>
                <w:sz w:val="19"/>
                <w:szCs w:val="19"/>
              </w:rPr>
              <w:t xml:space="preserve">A partir de R$ 29–40,50/mês/usuário</w:t>
            </w:r>
          </w:p>
        </w:tc>
      </w:tr>
      <w:tr>
        <w:tc>
          <w:tcPr>
            <w:tcW w:type="dxa" w:w="1715"/>
            <w:shd w:fill="F2F2F2" w:color="auto" w:val="clear"/>
            <w:tcMar>
              <w:top w:type="dxa" w:w="80"/>
              <w:left w:type="dxa" w:w="110"/>
              <w:bottom w:type="dxa" w:w="80"/>
              <w:right w:type="dxa" w:w="110"/>
            </w:tcMar>
            <w:vAlign w:val="center"/>
          </w:tcPr>
          <w:p>
            <w:r>
              <w:rPr>
                <w:b w:val="false"/>
                <w:bCs w:val="false"/>
                <w:sz w:val="19"/>
                <w:szCs w:val="19"/>
              </w:rPr>
              <w:t xml:space="preserve">Vobi</w:t>
            </w:r>
          </w:p>
        </w:tc>
        <w:tc>
          <w:tcPr>
            <w:tcW w:type="dxa" w:w="2076"/>
            <w:shd w:fill="F2F2F2" w:color="auto" w:val="clear"/>
            <w:tcMar>
              <w:top w:type="dxa" w:w="80"/>
              <w:left w:type="dxa" w:w="110"/>
              <w:bottom w:type="dxa" w:w="80"/>
              <w:right w:type="dxa" w:w="110"/>
            </w:tcMar>
            <w:vAlign w:val="center"/>
          </w:tcPr>
          <w:p>
            <w:r>
              <w:rPr>
                <w:b w:val="false"/>
                <w:bCs w:val="false"/>
                <w:sz w:val="19"/>
                <w:szCs w:val="19"/>
              </w:rPr>
              <w:t xml:space="preserve">Brasil</w:t>
            </w:r>
          </w:p>
        </w:tc>
        <w:tc>
          <w:tcPr>
            <w:tcW w:type="dxa" w:w="2708"/>
            <w:shd w:fill="F2F2F2" w:color="auto" w:val="clear"/>
            <w:tcMar>
              <w:top w:type="dxa" w:w="80"/>
              <w:left w:type="dxa" w:w="110"/>
              <w:bottom w:type="dxa" w:w="80"/>
              <w:right w:type="dxa" w:w="110"/>
            </w:tcMar>
            <w:vAlign w:val="center"/>
          </w:tcPr>
          <w:p>
            <w:r>
              <w:rPr>
                <w:b w:val="false"/>
                <w:bCs w:val="false"/>
                <w:sz w:val="19"/>
                <w:szCs w:val="19"/>
              </w:rPr>
              <w:t xml:space="preserve">ERP + CRM + Obras + FF&amp;E parcial (nacional)</w:t>
            </w:r>
          </w:p>
        </w:tc>
        <w:tc>
          <w:tcPr>
            <w:tcW w:type="dxa" w:w="2527"/>
            <w:shd w:fill="F2F2F2" w:color="auto" w:val="clear"/>
            <w:tcMar>
              <w:top w:type="dxa" w:w="80"/>
              <w:left w:type="dxa" w:w="110"/>
              <w:bottom w:type="dxa" w:w="80"/>
              <w:right w:type="dxa" w:w="110"/>
            </w:tcMar>
            <w:vAlign w:val="center"/>
          </w:tcPr>
          <w:p>
            <w:r>
              <w:rPr>
                <w:b w:val="false"/>
                <w:bCs w:val="false"/>
                <w:sz w:val="19"/>
                <w:szCs w:val="19"/>
              </w:rPr>
              <w:t xml:space="preserve">Não divulgado (só demonstração)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Gestão Integrada</dc:title>
  <dc:creator>Matheus Malaquias</dc:creator>
  <dc:description>Plano de Desenvolvimento — Office, CRM, ERP Arquitetura e FF&amp;E para um estúdio de arquitetura e design de interiores</dc:description>
  <cp:lastModifiedBy>Un-named</cp:lastModifiedBy>
  <cp:revision>1</cp:revision>
  <dcterms:created xsi:type="dcterms:W3CDTF">2026-08-07T20:31:48.570Z</dcterms:created>
  <dcterms:modified xsi:type="dcterms:W3CDTF">2026-08-07T20:31:48.583Z</dcterms:modified>
</cp:coreProperties>
</file>

<file path=docProps/custom.xml><?xml version="1.0" encoding="utf-8"?>
<Properties xmlns="http://schemas.openxmlformats.org/officeDocument/2006/custom-properties" xmlns:vt="http://schemas.openxmlformats.org/officeDocument/2006/docPropsVTypes"/>
</file>