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76"/>
        <w:jc w:val="both"/>
      </w:pPr>
      <w:r>
        <w:rPr>
          <w:rFonts w:ascii="Times New Roman" w:cs="Times New Roman" w:eastAsia="Times New Roman" w:hAnsi="Times New Roman"/>
          <w:sz w:val="24"/>
          <w:szCs w:val="24"/>
        </w:rPr>
        <w:t xml:space="preserve">[Date]</w:t>
      </w:r>
    </w:p>
    <w:p>
      <w:pPr>
        <w:spacing w:after="0" w:line="276"/>
        <w:jc w:val="left"/>
      </w:pPr>
      <w:r>
        <w:rPr>
          <w:rFonts w:ascii="Times New Roman" w:cs="Times New Roman" w:eastAsia="Times New Roman" w:hAnsi="Times New Roman"/>
          <w:sz w:val="24"/>
          <w:szCs w:val="24"/>
        </w:rPr>
        <w:t xml:space="preserve">To</w:t>
      </w:r>
    </w:p>
    <w:p>
      <w:pPr>
        <w:spacing w:after="0" w:line="276"/>
        <w:jc w:val="left"/>
      </w:pPr>
      <w:r>
        <w:rPr>
          <w:rFonts w:ascii="Times New Roman" w:cs="Times New Roman" w:eastAsia="Times New Roman" w:hAnsi="Times New Roman"/>
          <w:sz w:val="24"/>
          <w:szCs w:val="24"/>
        </w:rPr>
        <w:t xml:space="preserve">The Editor-in-Chief</w:t>
      </w:r>
    </w:p>
    <w:p>
      <w:pPr>
        <w:spacing w:after="240" w:line="276"/>
        <w:jc w:val="left"/>
      </w:pPr>
      <w:r>
        <w:rPr>
          <w:rFonts w:ascii="Times New Roman" w:cs="Times New Roman" w:eastAsia="Times New Roman" w:hAnsi="Times New Roman"/>
          <w:sz w:val="24"/>
          <w:szCs w:val="24"/>
        </w:rPr>
        <w:t xml:space="preserve">International Transactions on Electrical Engineering and Computer Science (ITEECS)</w:t>
      </w:r>
    </w:p>
    <w:p>
      <w:pPr>
        <w:spacing w:after="20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Submission of an original research article, "AgroVessel: A Spoilage-Aware, Net-Profit Decision Support System for Choosing Wholesale Markets for Perishable Produce in India"</w:t>
      </w:r>
    </w:p>
    <w:p>
      <w:pPr>
        <w:spacing w:after="200" w:line="276"/>
        <w:jc w:val="both"/>
      </w:pPr>
      <w:r>
        <w:rPr>
          <w:rFonts w:ascii="Times New Roman" w:cs="Times New Roman" w:eastAsia="Times New Roman" w:hAnsi="Times New Roman"/>
          <w:sz w:val="24"/>
          <w:szCs w:val="24"/>
        </w:rPr>
        <w:t xml:space="preserve">Dear Editor,</w:t>
      </w:r>
    </w:p>
    <w:p>
      <w:pPr>
        <w:spacing w:after="200" w:line="276"/>
        <w:jc w:val="both"/>
      </w:pPr>
      <w:r>
        <w:rPr>
          <w:rFonts w:ascii="Times New Roman" w:cs="Times New Roman" w:eastAsia="Times New Roman" w:hAnsi="Times New Roman"/>
          <w:sz w:val="24"/>
          <w:szCs w:val="24"/>
        </w:rPr>
        <w:t xml:space="preserve">We are pleased to submit the above manuscript for consideration as an original research article in ITEECS. The work presents AgroVessel, an open-source, deployed web decision support system that tells an Indian farmer which wholesale market (mandi) to send a harvested lot of perishable produce to, and when to leave, by maximising expected net profit rather than listed price.</w:t>
      </w:r>
    </w:p>
    <w:p>
      <w:pPr>
        <w:spacing w:after="200" w:line="276"/>
        <w:jc w:val="both"/>
      </w:pPr>
      <w:r>
        <w:rPr>
          <w:rFonts w:ascii="Times New Roman" w:cs="Times New Roman" w:eastAsia="Times New Roman" w:hAnsi="Times New Roman"/>
          <w:b/>
          <w:bCs/>
          <w:sz w:val="24"/>
          <w:szCs w:val="24"/>
        </w:rPr>
        <w:t xml:space="preserve">Main findings. </w:t>
      </w:r>
      <w:r>
        <w:rPr>
          <w:rFonts w:ascii="Times New Roman" w:cs="Times New Roman" w:eastAsia="Times New Roman" w:hAnsi="Times New Roman"/>
          <w:sz w:val="24"/>
          <w:szCs w:val="24"/>
        </w:rPr>
        <w:t xml:space="preserve">AgroVessel combines all-India daily Agmarknet prices, OSRM road routing, Open-Meteo hourly temperatures, state diesel prices and an offline gazetteer that locates mandis in every state and union territory, with a Q10 temperature-dependent spoilage model, a buyer quality markdown, traffic factors and market closing times. Using real road distances and ERA5-based temperature profiles for Kolar (tomato) and Nashik (onion), we show that: (i) departure time alone changes predicted tomato loss on a 256 km route from 12.9% to 4.0% in May, worth about ₹12,500 on a 2-tonne lot; (ii) the price premium needed to justify a distant market falls sharply with lot size (9–44% for a 2-tonne lot over 50–300 km); and (iii) in 20,000 simulated market days per setting, the system reduced mean regret by 11–42% compared with choosing the highest listed price, and raised mean net income by ₹3,710–21,929 per trip compared with selling at the nearest mandi.</w:t>
      </w:r>
    </w:p>
    <w:p>
      <w:pPr>
        <w:spacing w:after="200" w:line="276"/>
        <w:jc w:val="both"/>
      </w:pPr>
      <w:r>
        <w:rPr>
          <w:rFonts w:ascii="Times New Roman" w:cs="Times New Roman" w:eastAsia="Times New Roman" w:hAnsi="Times New Roman"/>
          <w:b/>
          <w:bCs/>
          <w:sz w:val="24"/>
          <w:szCs w:val="24"/>
        </w:rPr>
        <w:t xml:space="preserve">Significance. </w:t>
      </w:r>
      <w:r>
        <w:rPr>
          <w:rFonts w:ascii="Times New Roman" w:cs="Times New Roman" w:eastAsia="Times New Roman" w:hAnsi="Times New Roman"/>
          <w:sz w:val="24"/>
          <w:szCs w:val="24"/>
        </w:rPr>
        <w:t xml:space="preserve">Post-harvest loss of perishable crops in India is substantial, and farmers currently have to combine price lists, distances and weather in their heads. The paper contributes a transparent, reproducible formulation of the mandi-selection problem, a nationwide implementation that works without a hand-built market list, and a quantitative evaluation that states its assumptions and limitations openly. The source code, data files and automated tests are publicly available.</w:t>
      </w:r>
    </w:p>
    <w:p>
      <w:pPr>
        <w:spacing w:after="200" w:line="276"/>
        <w:jc w:val="both"/>
      </w:pPr>
      <w:r>
        <w:rPr>
          <w:rFonts w:ascii="Times New Roman" w:cs="Times New Roman" w:eastAsia="Times New Roman" w:hAnsi="Times New Roman"/>
          <w:sz w:val="24"/>
          <w:szCs w:val="24"/>
        </w:rPr>
        <w:t xml:space="preserve">We confirm that this manuscript is original, has not been published previously, and is not under consideration for publication elsewhere. All authors have approved the manuscript and agree with its submission to ITEECS. The authors declare no conflicts of interest, and the research received no specific funding. The ORCID identifiers of all authors are provided through the submission system.</w:t>
      </w:r>
    </w:p>
    <w:p>
      <w:pPr>
        <w:spacing w:after="200" w:line="276"/>
        <w:jc w:val="both"/>
      </w:pPr>
      <w:r>
        <w:rPr>
          <w:rFonts w:ascii="Times New Roman" w:cs="Times New Roman" w:eastAsia="Times New Roman" w:hAnsi="Times New Roman"/>
          <w:sz w:val="24"/>
          <w:szCs w:val="24"/>
        </w:rPr>
        <w:t xml:space="preserve">Thank you for considering our work. We look forward to hearing from you.</w:t>
      </w:r>
    </w:p>
    <w:p>
      <w:pPr>
        <w:spacing w:after="120" w:line="276"/>
        <w:jc w:val="both"/>
      </w:pPr>
      <w:r>
        <w:rPr>
          <w:rFonts w:ascii="Times New Roman" w:cs="Times New Roman" w:eastAsia="Times New Roman" w:hAnsi="Times New Roman"/>
          <w:sz w:val="24"/>
          <w:szCs w:val="24"/>
        </w:rPr>
        <w:t xml:space="preserve">Yours sincerely,</w:t>
      </w:r>
    </w:p>
    <w:p>
      <w:pPr>
        <w:spacing w:after="0" w:line="276"/>
        <w:jc w:val="left"/>
      </w:pPr>
      <w:r>
        <w:rPr>
          <w:rFonts w:ascii="Times New Roman" w:cs="Times New Roman" w:eastAsia="Times New Roman" w:hAnsi="Times New Roman"/>
          <w:sz w:val="24"/>
          <w:szCs w:val="24"/>
        </w:rPr>
        <w:t xml:space="preserve">Pradeeba V (corresponding author)</w:t>
      </w:r>
    </w:p>
    <w:p>
      <w:pPr>
        <w:spacing w:after="0" w:line="276"/>
        <w:jc w:val="left"/>
      </w:pPr>
      <w:r>
        <w:rPr>
          <w:rFonts w:ascii="Times New Roman" w:cs="Times New Roman" w:eastAsia="Times New Roman" w:hAnsi="Times New Roman"/>
          <w:sz w:val="24"/>
          <w:szCs w:val="24"/>
        </w:rPr>
        <w:t xml:space="preserve">Department of AI and Emerging Technologies, Chinmaya Vishwavidyapeeth Deemed-to-be University, Ernakulam, Kerala, India – 686667</w:t>
      </w:r>
    </w:p>
    <w:p>
      <w:pPr>
        <w:spacing w:after="200" w:line="276"/>
        <w:jc w:val="left"/>
      </w:pPr>
      <w:r>
        <w:rPr>
          <w:rFonts w:ascii="Times New Roman" w:cs="Times New Roman" w:eastAsia="Times New Roman" w:hAnsi="Times New Roman"/>
          <w:sz w:val="24"/>
          <w:szCs w:val="24"/>
        </w:rPr>
        <w:t xml:space="preserve">E-mail: pradeeba.v@cvv.ac.in | ORCID: [0000-0000-0000-0000]</w:t>
      </w:r>
    </w:p>
    <w:p>
      <w:pPr>
        <w:spacing w:after="0" w:line="276"/>
        <w:jc w:val="left"/>
      </w:pPr>
      <w:r>
        <w:rPr>
          <w:rFonts w:ascii="Times New Roman" w:cs="Times New Roman" w:eastAsia="Times New Roman" w:hAnsi="Times New Roman"/>
          <w:sz w:val="24"/>
          <w:szCs w:val="24"/>
        </w:rPr>
        <w:t xml:space="preserve">Co-author: Malapati Sahasra, Department of AI and Emerging Technologies, Chinmaya Vishwavidyapeeth Deemed-to-be University, Ernakulam, Kerala, India – 686667. E-mail: malapati.cvv241195@cvv.ac.in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2026-10-19T03:55:09.831Z</dcterms:created>
  <dcterms:modified xsi:type="dcterms:W3CDTF">2026-10-19T03:55:09.831Z</dcterms:modified>
</cp:coreProperties>
</file>

<file path=docProps/custom.xml><?xml version="1.0" encoding="utf-8"?>
<Properties xmlns="http://schemas.openxmlformats.org/officeDocument/2006/custom-properties" xmlns:vt="http://schemas.openxmlformats.org/officeDocument/2006/docPropsVTypes"/>
</file>