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04E4D" w14:textId="77777777" w:rsidR="001412EB" w:rsidRPr="007E1609" w:rsidRDefault="001412EB" w:rsidP="005B3B3A">
      <w:pPr>
        <w:pStyle w:val="ONEINCHSPACER"/>
        <w:spacing w:before="0"/>
        <w:jc w:val="center"/>
        <w:rPr>
          <w:sz w:val="36"/>
          <w:szCs w:val="36"/>
        </w:rPr>
      </w:pPr>
      <w:r w:rsidRPr="007E1609">
        <w:rPr>
          <w:sz w:val="36"/>
          <w:szCs w:val="36"/>
        </w:rPr>
        <w:t>CHAPTER 2</w:t>
      </w:r>
    </w:p>
    <w:p w14:paraId="7DB8DBD3" w14:textId="77777777" w:rsidR="001412EB" w:rsidRPr="007E1609" w:rsidRDefault="001412EB">
      <w:pPr>
        <w:pStyle w:val="CHAPTERTITLE"/>
        <w:rPr>
          <w:sz w:val="36"/>
          <w:szCs w:val="36"/>
        </w:rPr>
      </w:pPr>
      <w:bookmarkStart w:id="0" w:name="_Toc452973708"/>
      <w:bookmarkStart w:id="1" w:name="_Toc456356932"/>
      <w:r w:rsidRPr="007E1609">
        <w:rPr>
          <w:sz w:val="36"/>
          <w:szCs w:val="36"/>
        </w:rPr>
        <w:t>BACKGROUND</w:t>
      </w:r>
      <w:bookmarkEnd w:id="0"/>
      <w:bookmarkEnd w:id="1"/>
    </w:p>
    <w:p w14:paraId="37D63785" w14:textId="77777777" w:rsidR="001412EB" w:rsidRDefault="001412EB" w:rsidP="007E1609">
      <w:pPr>
        <w:pStyle w:val="Heading1"/>
      </w:pPr>
      <w:bookmarkStart w:id="2" w:name="_Toc452973709"/>
      <w:bookmarkStart w:id="3" w:name="_Toc456356933"/>
      <w:r>
        <w:t>2.1 Introduction</w:t>
      </w:r>
      <w:bookmarkEnd w:id="2"/>
      <w:bookmarkEnd w:id="3"/>
    </w:p>
    <w:p w14:paraId="301CCB8C" w14:textId="59DE1B5F" w:rsidR="001412EB" w:rsidRDefault="001412EB"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r w:rsidRPr="00774BC7">
        <w:rPr>
          <w:i/>
        </w:rPr>
        <w:t>Kiehl and Briegleb</w:t>
      </w:r>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r w:rsidR="00CD4011">
        <w:t xml:space="preserve">e.g. </w:t>
      </w:r>
      <w:r w:rsidRPr="00774BC7">
        <w:rPr>
          <w:i/>
        </w:rPr>
        <w:t>Rieger et al.</w:t>
      </w:r>
      <w:r>
        <w:t xml:space="preserve">, 2015; </w:t>
      </w:r>
      <w:r w:rsidRPr="00774BC7">
        <w:rPr>
          <w:i/>
        </w:rPr>
        <w:t>Ridley et al.</w:t>
      </w:r>
      <w:r>
        <w:t xml:space="preserve">, 2014). </w:t>
      </w:r>
    </w:p>
    <w:p w14:paraId="5BB998B8" w14:textId="77777777" w:rsidR="001412EB" w:rsidRDefault="001412EB" w:rsidP="001A647C">
      <w:pPr>
        <w:pStyle w:val="BodyText"/>
        <w:jc w:val="both"/>
      </w:pPr>
      <w:r>
        <w:t>Since its discovery with stratospheric balloon observations (</w:t>
      </w:r>
      <w:r w:rsidRPr="001A647C">
        <w:rPr>
          <w:i/>
        </w:rPr>
        <w:t>Junge et al.</w:t>
      </w:r>
      <w:r>
        <w:t>, 1961), stratospheric aerosol has been measured with various techniques, although due to the variability of physical composition and particle size, the observations are always limited to some degree and no single measurement technique can fully determine the full range of aerosol properties unambiguously.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r w:rsidRPr="001A647C">
        <w:rPr>
          <w:i/>
        </w:rPr>
        <w:t>Kovilakam et al.</w:t>
      </w:r>
      <w:r>
        <w:t>, 2015).  Aircraft-borne nephelometers (</w:t>
      </w:r>
      <w:r w:rsidRPr="001A647C">
        <w:rPr>
          <w:i/>
        </w:rPr>
        <w:t>Beuttell and Brewer</w:t>
      </w:r>
      <w:r>
        <w:t xml:space="preserve">, 1949; </w:t>
      </w:r>
      <w:r w:rsidRPr="001A647C">
        <w:rPr>
          <w:i/>
        </w:rPr>
        <w:t>Charlson et al.</w:t>
      </w:r>
      <w:r>
        <w:t>, 1969) acquire detailed in-situ measurements, providing, for example, plume composition (</w:t>
      </w:r>
      <w:r w:rsidRPr="001A647C">
        <w:rPr>
          <w:i/>
        </w:rPr>
        <w:t>Murphy et al.</w:t>
      </w:r>
      <w:r>
        <w:t>, 2014), but are spatially limited to the aircraft track. Ground based lidars have been used to do detailed studies of the extent of volcanic aerosol plumes (</w:t>
      </w:r>
      <w:r w:rsidRPr="001A647C">
        <w:rPr>
          <w:i/>
        </w:rPr>
        <w:t>Chazette et al.</w:t>
      </w:r>
      <w:r>
        <w:t xml:space="preserve">, 1995; </w:t>
      </w:r>
      <w:r w:rsidRPr="001A647C">
        <w:rPr>
          <w:i/>
        </w:rPr>
        <w:t>Sawamura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w:t>
      </w:r>
      <w:r>
        <w:lastRenderedPageBreak/>
        <w:t xml:space="preserve">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Pr>
          <w:i/>
        </w:rPr>
        <w:t>Vernier et</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14:paraId="7A24A308" w14:textId="77777777" w:rsidR="001412EB" w:rsidRDefault="001412EB"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r w:rsidRPr="00542D3D">
        <w:rPr>
          <w:i/>
        </w:rPr>
        <w:t>Andersson et al.</w:t>
      </w:r>
      <w:r>
        <w:t>, 2015).  Furthering the understanding of the transport of aerosol near and across the tropopause would also benefit from higher spatial and temporal resolution observations.  This is evident in the case of volcanic plumes, such as that from Nabro in 2011, the transport and origin of which has been studied extensively and the conclusions are somewhat controversial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r w:rsidRPr="00542D3D">
        <w:rPr>
          <w:i/>
        </w:rPr>
        <w:t>Fairlie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14:paraId="6A8F6217" w14:textId="77777777" w:rsidR="001412EB" w:rsidRDefault="001412EB"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w:t>
      </w:r>
      <w:r>
        <w:lastRenderedPageBreak/>
        <w:t xml:space="preserve">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14:paraId="19B2F3AF" w14:textId="77777777" w:rsidR="001412EB" w:rsidRDefault="001412EB"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r w:rsidRPr="005B3C39">
        <w:rPr>
          <w:i/>
        </w:rPr>
        <w:t>Rieger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14:paraId="013B4690" w14:textId="2BFF8BE6" w:rsidR="001412EB" w:rsidRPr="008C65D4" w:rsidRDefault="001412EB" w:rsidP="00145EE4">
      <w:pPr>
        <w:pStyle w:val="BodyText"/>
        <w:jc w:val="both"/>
      </w:pPr>
      <w:r>
        <w:t>It should be noted that the basic instrument design concept of ALI is very similar to that of the Atmospheric Limb Tracker for the Investigation of the Upcoming Stratosphere (ALTIUS) (</w:t>
      </w:r>
      <w:r w:rsidRPr="005B3C39">
        <w:rPr>
          <w:i/>
        </w:rPr>
        <w:t>Dekemper et al.</w:t>
      </w:r>
      <w:r>
        <w:t>, 2012), which is a Belgian instrument concept from the Belgian Institute for Space Aeronomy (BIRA)</w:t>
      </w:r>
      <w:r w:rsidR="00CD4011">
        <w:t xml:space="preserve"> and has been recently selected for small satellite deployment by the European Space Agency</w:t>
      </w:r>
      <w:r>
        <w:t xml:space="preserve">.  ALTIUS is designed to measure limb scattered sunlight; however, it also has solar, stellar, and planetary occultation modes and is scientifically focused on trace gas </w:t>
      </w:r>
      <w:r>
        <w:lastRenderedPageBreak/>
        <w:t>measurements, particularly for ozone, whereas ALI is optimized for aerosol observation</w:t>
      </w:r>
      <w:r w:rsidR="00CD4011">
        <w:t xml:space="preserve"> from limb scattering observations</w:t>
      </w:r>
      <w:r>
        <w:t xml:space="preserve">.  </w:t>
      </w:r>
    </w:p>
    <w:p w14:paraId="5A0EA873" w14:textId="77777777" w:rsidR="001412EB" w:rsidRDefault="001412EB" w:rsidP="007E1609">
      <w:pPr>
        <w:pStyle w:val="Heading1"/>
      </w:pPr>
      <w:bookmarkStart w:id="4" w:name="_Toc452973710"/>
      <w:bookmarkStart w:id="5" w:name="_Toc456356934"/>
      <w:r>
        <w:t>2.2 Stratospheric Aerosol</w:t>
      </w:r>
      <w:bookmarkEnd w:id="4"/>
      <w:bookmarkEnd w:id="5"/>
    </w:p>
    <w:p w14:paraId="7F612F13" w14:textId="3DF44BA8" w:rsidR="001412EB" w:rsidRDefault="001412EB" w:rsidP="006363C6">
      <w:pPr>
        <w:pStyle w:val="ListNumber"/>
        <w:spacing w:after="0" w:line="480" w:lineRule="auto"/>
        <w:ind w:left="0" w:firstLine="709"/>
        <w:jc w:val="both"/>
      </w:pPr>
      <w:r>
        <w:t>In the late 18</w:t>
      </w:r>
      <w:r>
        <w:rPr>
          <w:vertAlign w:val="superscript"/>
        </w:rPr>
        <w:t>th</w:t>
      </w:r>
      <w:r>
        <w:t xml:space="preserve"> century, it was known that atmospheric temperature decreased with altitude and a theory had been raised that at a specific altitude the temperature must eventually go to absolute zero (</w:t>
      </w:r>
      <w:r w:rsidRPr="00342CD1">
        <w:rPr>
          <w:i/>
        </w:rPr>
        <w:t>Hoinka</w:t>
      </w:r>
      <w:r>
        <w:t>, 1997). This lead to a series of balloon campaigns, which were noisy and unreliable due to the technology available</w:t>
      </w:r>
      <w:r w:rsidR="00CD4011">
        <w:t>,</w:t>
      </w:r>
      <w:r>
        <w:t xml:space="preserve"> to discover this mysterious altitude in the atmosphere.  However, in the late 19</w:t>
      </w:r>
      <w:r>
        <w:rPr>
          <w:vertAlign w:val="superscript"/>
        </w:rPr>
        <w:t xml:space="preserve">th </w:t>
      </w:r>
      <w:r>
        <w:t xml:space="preserve">century the technology used in these sounding balloons had improved to a point where the atmospheric temperature could be accurately measured and it was found that at approximately 12 km an inversion point </w:t>
      </w:r>
      <w:r w:rsidR="00CD4011">
        <w:t>occurs</w:t>
      </w:r>
      <w:r>
        <w:t xml:space="preserve"> where the temperature start</w:t>
      </w:r>
      <w:r w:rsidR="00CD4011">
        <w:t>s</w:t>
      </w:r>
      <w:r>
        <w:t xml:space="preserve"> to increase and thus the tropopause, which separates troposphere and the stratosphere, was discovered. The stratosphere is the region of the atmosphere above th</w:t>
      </w:r>
      <w:r w:rsidR="00CD4011">
        <w:t>is</w:t>
      </w:r>
      <w:r>
        <w:t xml:space="preserve"> temperature inversion </w:t>
      </w:r>
      <w:r w:rsidR="00CD4011">
        <w:t>point</w:t>
      </w:r>
      <w:r>
        <w:t xml:space="preserve"> where atmospheric temperature increases</w:t>
      </w:r>
      <w:r w:rsidR="00CD4011">
        <w:t>.</w:t>
      </w:r>
      <w:r>
        <w:t xml:space="preserve"> </w:t>
      </w:r>
      <w:r w:rsidR="00CD4011">
        <w:t>T</w:t>
      </w:r>
      <w:r>
        <w:t xml:space="preserve">he </w:t>
      </w:r>
      <w:r w:rsidR="00CD4011">
        <w:t xml:space="preserve">tropopause, which is the </w:t>
      </w:r>
      <w:r>
        <w:t>lower bound of the stratosphere</w:t>
      </w:r>
      <w:r w:rsidR="00CD4011">
        <w:t>,</w:t>
      </w:r>
      <w:r>
        <w:t xml:space="preserve"> </w:t>
      </w:r>
      <w:r w:rsidR="00CD4011">
        <w:t>ranges in altitude from</w:t>
      </w:r>
      <w:r>
        <w:t xml:space="preserve"> </w:t>
      </w:r>
      <w:r w:rsidR="00CD4011">
        <w:t xml:space="preserve">approximately </w:t>
      </w:r>
      <w:r>
        <w:t xml:space="preserve">10 </w:t>
      </w:r>
      <w:r w:rsidR="00CD4011">
        <w:t xml:space="preserve">km to </w:t>
      </w:r>
      <w:r>
        <w:t>16 km from the high latitudes to the tropics (</w:t>
      </w:r>
      <w:r w:rsidRPr="00043A8D">
        <w:rPr>
          <w:i/>
        </w:rPr>
        <w:t>Andrews</w:t>
      </w:r>
      <w:r w:rsidR="00CD4011">
        <w:t>, 1987),</w:t>
      </w:r>
      <w:r>
        <w:t xml:space="preserve"> </w:t>
      </w:r>
      <w:r w:rsidR="00CD4011">
        <w:t xml:space="preserve">and </w:t>
      </w:r>
      <w:r>
        <w:t>extends up to approximately 50 km</w:t>
      </w:r>
      <w:r w:rsidR="00CD4011">
        <w:t>.  It is a</w:t>
      </w:r>
      <w:r>
        <w:t xml:space="preserve"> thermodynamically stable and fairly dry (</w:t>
      </w:r>
      <w:r>
        <w:rPr>
          <w:i/>
        </w:rPr>
        <w:t>Boucher</w:t>
      </w:r>
      <w:r>
        <w:t>, 2015)</w:t>
      </w:r>
      <w:r w:rsidR="00CD4011">
        <w:t xml:space="preserve"> region of the atmosphere, and t</w:t>
      </w:r>
      <w:r>
        <w:t xml:space="preserve">he characteristic stability of the </w:t>
      </w:r>
      <w:r w:rsidR="00CD4011">
        <w:t>stratosphere</w:t>
      </w:r>
      <w:r>
        <w:t xml:space="preserve"> limits vertical transport, leading to long lifetimes, spanning from months to years, for non-volatile species (</w:t>
      </w:r>
      <w:r>
        <w:rPr>
          <w:i/>
        </w:rPr>
        <w:t>Volk et al.,</w:t>
      </w:r>
      <w:r>
        <w:t xml:space="preserve"> 1997; </w:t>
      </w:r>
      <w:r>
        <w:rPr>
          <w:i/>
        </w:rPr>
        <w:t>Brasseur and Solomon</w:t>
      </w:r>
      <w:r>
        <w:t>, 2005)</w:t>
      </w:r>
    </w:p>
    <w:p w14:paraId="4E57D567" w14:textId="4A4C89BF" w:rsidR="001412EB" w:rsidRDefault="001412EB" w:rsidP="006363C6">
      <w:pPr>
        <w:pStyle w:val="ListNumber"/>
        <w:spacing w:after="0" w:line="480" w:lineRule="auto"/>
        <w:ind w:left="0" w:firstLine="709"/>
        <w:jc w:val="both"/>
      </w:pPr>
      <w:r>
        <w:t>The stratosphere undergoes exchange of air with the troposphere though a series of dynamical processes including tropical convection, polar vortices, and tropopause folding (</w:t>
      </w:r>
      <w:r>
        <w:rPr>
          <w:i/>
        </w:rPr>
        <w:t>Holton et al.,</w:t>
      </w:r>
      <w:r>
        <w:t xml:space="preserve"> 1995). Meridional circulation within the stratosphere is dominated by the slow Brewer-Dobson circulation, although zonal circulation</w:t>
      </w:r>
      <w:r w:rsidR="004D5551">
        <w:t xml:space="preserve">, </w:t>
      </w:r>
      <w:r w:rsidR="004D5551" w:rsidRPr="00FD1E67">
        <w:rPr>
          <w:i/>
        </w:rPr>
        <w:t>i.e</w:t>
      </w:r>
      <w:r w:rsidR="004D5551">
        <w:t>. along a constant latitude,</w:t>
      </w:r>
      <w:r>
        <w:t xml:space="preserve"> is much faster (</w:t>
      </w:r>
      <w:r>
        <w:rPr>
          <w:i/>
        </w:rPr>
        <w:t>Plumb and Eluszkiewicz</w:t>
      </w:r>
      <w:r>
        <w:t>, 1999)</w:t>
      </w:r>
      <w:r w:rsidR="004D5551">
        <w:t xml:space="preserve"> and tends to cause zonal symmetry of composition</w:t>
      </w:r>
      <w:r>
        <w:t xml:space="preserve">. </w:t>
      </w:r>
      <w:r w:rsidR="001E0643">
        <w:t xml:space="preserve">The transport of gases emitted from sources on the surface, or chemically created in the troposphere, through the </w:t>
      </w:r>
      <w:r w:rsidR="001E0643">
        <w:lastRenderedPageBreak/>
        <w:t>tropopause and into the stratosphere is an important aspect of stratospheric composition.</w:t>
      </w:r>
      <w:r>
        <w:t xml:space="preserve"> </w:t>
      </w:r>
      <w:r w:rsidR="001E0643">
        <w:t xml:space="preserve"> This is the case for stratospheric aerosol where the oxidation of sulfur-bearing compounds, transported from the troposphere to the stratosphere, </w:t>
      </w:r>
      <w:r>
        <w:t xml:space="preserve">forms </w:t>
      </w:r>
      <w:r w:rsidR="001E0643">
        <w:t xml:space="preserve">the </w:t>
      </w:r>
      <w:r>
        <w:t>aerosol</w:t>
      </w:r>
      <w:r w:rsidR="001E0643">
        <w:t xml:space="preserve"> layer</w:t>
      </w:r>
      <w:r>
        <w:t xml:space="preserve"> discovered by </w:t>
      </w:r>
      <w:r>
        <w:rPr>
          <w:i/>
        </w:rPr>
        <w:t xml:space="preserve">Junge et al. </w:t>
      </w:r>
      <w:r>
        <w:t xml:space="preserve">(1961) </w:t>
      </w:r>
      <w:r w:rsidR="001E0643">
        <w:t>with</w:t>
      </w:r>
      <w:r>
        <w:t xml:space="preserve"> stratospheric balloon sondes</w:t>
      </w:r>
      <w:r w:rsidR="001E0643">
        <w:t xml:space="preserve"> measurements</w:t>
      </w:r>
      <w:r>
        <w:t xml:space="preserve">. </w:t>
      </w:r>
      <w:r w:rsidR="001E0643">
        <w:t>These</w:t>
      </w:r>
      <w:r>
        <w:t xml:space="preserve"> aerosols are </w:t>
      </w:r>
      <w:r w:rsidR="001E0643">
        <w:t xml:space="preserve">primarily </w:t>
      </w:r>
      <w:r>
        <w:t>droplets of hydrated sulfuric acid (H</w:t>
      </w:r>
      <w:r>
        <w:rPr>
          <w:vertAlign w:val="subscript"/>
        </w:rPr>
        <w:softHyphen/>
        <w:t>2</w:t>
      </w:r>
      <w:r>
        <w:rPr>
          <w:vertAlign w:val="subscript"/>
        </w:rPr>
        <w:softHyphen/>
      </w:r>
      <w:r>
        <w:t>SO</w:t>
      </w:r>
      <w:r>
        <w:softHyphen/>
      </w:r>
      <w:r>
        <w:rPr>
          <w:vertAlign w:val="subscript"/>
        </w:rPr>
        <w:t>4</w:t>
      </w:r>
      <w:r>
        <w:t>) for</w:t>
      </w:r>
      <w:r w:rsidR="001E0643">
        <w:t>med from the oxidation of sulfur-containing source gases</w:t>
      </w:r>
      <w:r>
        <w:t>,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14:paraId="1AA2A0AB" w14:textId="77777777" w:rsidR="001412EB" w:rsidRDefault="001412EB" w:rsidP="002347DA">
      <w:pPr>
        <w:pStyle w:val="Heading2"/>
      </w:pPr>
      <w:bookmarkStart w:id="6" w:name="_Toc452973711"/>
      <w:bookmarkStart w:id="7" w:name="_Toc456356935"/>
      <w:r>
        <w:t>2.2.1 Aerosol Sources</w:t>
      </w:r>
      <w:bookmarkEnd w:id="6"/>
      <w:bookmarkEnd w:id="7"/>
    </w:p>
    <w:p w14:paraId="6BFA8833" w14:textId="503753C9" w:rsidR="001412EB" w:rsidRDefault="001412EB" w:rsidP="00DD3820">
      <w:pPr>
        <w:pStyle w:val="ListNumber"/>
        <w:spacing w:after="0" w:line="480" w:lineRule="auto"/>
        <w:ind w:left="0" w:firstLine="709"/>
        <w:jc w:val="both"/>
      </w:pPr>
      <w:r>
        <w:t>Th</w:t>
      </w:r>
      <w:r w:rsidR="001E0643">
        <w:t>e source gases that eventually form stratospheric</w:t>
      </w:r>
      <w:r>
        <w:t xml:space="preserve"> aerosol are </w:t>
      </w:r>
      <w:r w:rsidR="001E0643">
        <w:t xml:space="preserve">emitted or </w:t>
      </w:r>
      <w:r>
        <w:t>produced in the troposphere th</w:t>
      </w:r>
      <w:r w:rsidR="001E0643">
        <w:t>r</w:t>
      </w:r>
      <w:r>
        <w:t xml:space="preserve">ough both natural and anthropogenic processes. These sulfur sources enter the atmosphere in various ways and undergo </w:t>
      </w:r>
      <w:r w:rsidR="001E0643">
        <w:t xml:space="preserve">a chain </w:t>
      </w:r>
      <w:r>
        <w:t xml:space="preserve">of chemical reactions to form sulfate aerosol within the stratosphere. </w:t>
      </w:r>
    </w:p>
    <w:p w14:paraId="054802B1" w14:textId="2A887EB6" w:rsidR="001412EB" w:rsidRDefault="001412EB" w:rsidP="00DD3820">
      <w:pPr>
        <w:pStyle w:val="ListNumber"/>
        <w:spacing w:after="0" w:line="480" w:lineRule="auto"/>
        <w:ind w:left="0" w:firstLine="709"/>
        <w:jc w:val="both"/>
      </w:pPr>
      <w:r>
        <w:t xml:space="preserve">One primary source of </w:t>
      </w:r>
      <w:r w:rsidR="00671D30">
        <w:t>atmospheric</w:t>
      </w:r>
      <w:r>
        <w:t xml:space="preserve"> sulfur is OCS</w:t>
      </w:r>
      <w:r w:rsidR="00671D30">
        <w:t>,</w:t>
      </w:r>
      <w:r>
        <w:t xml:space="preserve"> which originates from </w:t>
      </w:r>
      <w:r w:rsidR="00671D30">
        <w:t xml:space="preserve">natural </w:t>
      </w:r>
      <w:r>
        <w:t>marine processes, biomass burning</w:t>
      </w:r>
      <w:r w:rsidR="00671D30">
        <w:t>, and industrial processes</w:t>
      </w:r>
      <w:r>
        <w:t xml:space="preserve"> (</w:t>
      </w:r>
      <w:r>
        <w:rPr>
          <w:i/>
        </w:rPr>
        <w:t>Kettle et al.</w:t>
      </w:r>
      <w:r>
        <w:t xml:space="preserve">, 2002; </w:t>
      </w:r>
      <w:r>
        <w:rPr>
          <w:i/>
        </w:rPr>
        <w:t>Notholt et al.</w:t>
      </w:r>
      <w:r>
        <w:t>, 2003). OCS has a long lifetime in the troposphere and low solubility allowing for a significant portion to reach the stratosphere where some of it oxidizes and hydrates to form sulfate aerosol (H</w:t>
      </w:r>
      <w:r>
        <w:rPr>
          <w:vertAlign w:val="subscript"/>
        </w:rPr>
        <w:t>2</w:t>
      </w:r>
      <w:r>
        <w:t>SO</w:t>
      </w:r>
      <w:r>
        <w:rPr>
          <w:vertAlign w:val="subscript"/>
        </w:rPr>
        <w:t>4</w:t>
      </w:r>
      <w:r>
        <w:t xml:space="preserve">) </w:t>
      </w:r>
      <w:r w:rsidR="00671D30">
        <w:t>where it contributes</w:t>
      </w:r>
      <w:r>
        <w:t xml:space="preserve"> to the background aerosol layer (</w:t>
      </w:r>
      <w:r>
        <w:rPr>
          <w:i/>
        </w:rPr>
        <w:t>Crutzen</w:t>
      </w:r>
      <w:r>
        <w:t xml:space="preserve">, 1976). </w:t>
      </w:r>
    </w:p>
    <w:p w14:paraId="369C0503" w14:textId="6AF3CECD" w:rsidR="001412EB" w:rsidRPr="000E5426" w:rsidRDefault="001412EB" w:rsidP="00DD3820">
      <w:pPr>
        <w:pStyle w:val="ListNumber"/>
        <w:spacing w:after="0" w:line="480" w:lineRule="auto"/>
        <w:ind w:left="0" w:firstLine="709"/>
        <w:jc w:val="both"/>
        <w:rPr>
          <w:i/>
        </w:rPr>
      </w:pPr>
      <w:r>
        <w:t xml:space="preserve">Another </w:t>
      </w:r>
      <w:r w:rsidR="00671D30">
        <w:t xml:space="preserve">important </w:t>
      </w:r>
      <w:r>
        <w:t xml:space="preserve">source of </w:t>
      </w:r>
      <w:r w:rsidR="00671D30">
        <w:t xml:space="preserve">atmospheric </w:t>
      </w:r>
      <w:r>
        <w:t xml:space="preserve">sulfur is </w:t>
      </w:r>
      <w:r w:rsidR="00671D30">
        <w:t>sulfur dioxide (</w:t>
      </w:r>
      <w:r>
        <w:t>SO</w:t>
      </w:r>
      <w:r>
        <w:rPr>
          <w:vertAlign w:val="subscript"/>
        </w:rPr>
        <w:t>2</w:t>
      </w:r>
      <w:r w:rsidR="00671D30">
        <w:t>),</w:t>
      </w:r>
      <w:r>
        <w:t xml:space="preserve"> which originates in the troposphere through the burning o</w:t>
      </w:r>
      <w:r w:rsidR="00671D30">
        <w:t xml:space="preserve">f fossil fuels. </w:t>
      </w:r>
      <w:r>
        <w:t>SO</w:t>
      </w:r>
      <w:r>
        <w:rPr>
          <w:vertAlign w:val="subscript"/>
        </w:rPr>
        <w:t>2</w:t>
      </w:r>
      <w:r>
        <w:t xml:space="preserve"> has a short lifetime in the troposphere, and its </w:t>
      </w:r>
      <w:r w:rsidR="00671D30">
        <w:t>concentration varies regionally; however, this emitted SO</w:t>
      </w:r>
      <w:r w:rsidR="00671D30" w:rsidRPr="00671D30">
        <w:rPr>
          <w:vertAlign w:val="subscript"/>
        </w:rPr>
        <w:t>2</w:t>
      </w:r>
      <w:r w:rsidR="00671D30">
        <w:t xml:space="preserve"> still </w:t>
      </w:r>
      <w:r>
        <w:t>can enter the stratosphere th</w:t>
      </w:r>
      <w:r w:rsidR="00671D30">
        <w:t>r</w:t>
      </w:r>
      <w:r>
        <w:t xml:space="preserve">ough </w:t>
      </w:r>
      <w:r w:rsidR="00671D30">
        <w:t>transport</w:t>
      </w:r>
      <w:r>
        <w:t xml:space="preserve"> processes</w:t>
      </w:r>
      <w:r w:rsidR="00671D30">
        <w:t xml:space="preserve"> and contribute to the background aerosol layer</w:t>
      </w:r>
      <w:r>
        <w:t xml:space="preserve"> (</w:t>
      </w:r>
      <w:r>
        <w:rPr>
          <w:i/>
        </w:rPr>
        <w:t>Thomason and Peter</w:t>
      </w:r>
      <w:r>
        <w:t>, 2006). A second source of SO</w:t>
      </w:r>
      <w:r>
        <w:rPr>
          <w:vertAlign w:val="subscript"/>
        </w:rPr>
        <w:t>2</w:t>
      </w:r>
      <w:r>
        <w:t xml:space="preserve"> is from volcanic eruptions; which, although highly variable in location and time, can inject a large amount of sulfur directly into the stratosphere. Volcan</w:t>
      </w:r>
      <w:r w:rsidR="00671D30">
        <w:t>ic eruptions</w:t>
      </w:r>
      <w:r>
        <w:t xml:space="preserve"> can inject such large amounts of sulfur that they in fact dominate the </w:t>
      </w:r>
      <w:r w:rsidR="00671D30">
        <w:t xml:space="preserve">variability of the </w:t>
      </w:r>
      <w:r>
        <w:lastRenderedPageBreak/>
        <w:t>stratospheric aerosol layer</w:t>
      </w:r>
      <w:r w:rsidR="00671D30">
        <w:t xml:space="preserve">, essentially episodically </w:t>
      </w:r>
      <w:r>
        <w:t xml:space="preserve">perturbing the background levels. </w:t>
      </w:r>
      <w:r w:rsidR="00671D30">
        <w:t xml:space="preserve"> T</w:t>
      </w:r>
      <w:r>
        <w:t xml:space="preserve">his </w:t>
      </w:r>
      <w:r w:rsidR="00671D30">
        <w:t xml:space="preserve">volcanic enhancement </w:t>
      </w:r>
      <w:r>
        <w:t xml:space="preserve">of the aerosol layer </w:t>
      </w:r>
      <w:r w:rsidR="00671D30">
        <w:t>occurred</w:t>
      </w:r>
      <w:r>
        <w:t xml:space="preserve"> </w:t>
      </w:r>
      <w:r w:rsidR="00671D30">
        <w:t>on a massive level following</w:t>
      </w:r>
      <w:r>
        <w:t xml:space="preserve"> the volcanic eruptions of El Chichon in 1982 (12-20 Tg of</w:t>
      </w:r>
      <w:r w:rsidR="00BD3148">
        <w:t xml:space="preserve"> SO</w:t>
      </w:r>
      <w:r w:rsidR="00BD3148" w:rsidRPr="00BD3148">
        <w:rPr>
          <w:vertAlign w:val="subscript"/>
        </w:rPr>
        <w:t>2</w:t>
      </w:r>
      <w:r>
        <w:t>) (</w:t>
      </w:r>
      <w:r>
        <w:rPr>
          <w:i/>
        </w:rPr>
        <w:t>McCormick and Swissler</w:t>
      </w:r>
      <w:r>
        <w:t xml:space="preserve">, 1983; </w:t>
      </w:r>
      <w:r>
        <w:rPr>
          <w:i/>
        </w:rPr>
        <w:t>Hofmann and Rosen</w:t>
      </w:r>
      <w:r>
        <w:t xml:space="preserve">, 1983) and Mount Pinatubo in 1991 (20-30 Tg of </w:t>
      </w:r>
      <w:r w:rsidR="00BD3148">
        <w:t>SO</w:t>
      </w:r>
      <w:r w:rsidR="00BD3148" w:rsidRPr="00BD3148">
        <w:rPr>
          <w:vertAlign w:val="subscript"/>
        </w:rPr>
        <w:t>2</w:t>
      </w:r>
      <w:r>
        <w:t>) (</w:t>
      </w:r>
      <w:r>
        <w:rPr>
          <w:i/>
        </w:rPr>
        <w:t>McCormick and Veiga</w:t>
      </w:r>
      <w:r>
        <w:t xml:space="preserve">, 1992). However, after the Mount Pinatubo eruption a volcanically </w:t>
      </w:r>
      <w:r w:rsidRPr="00873FCE">
        <w:t>quiescent</w:t>
      </w:r>
      <w:r>
        <w:t xml:space="preserve"> period occurred where aerosol layers returned to background</w:t>
      </w:r>
      <w:r w:rsidR="00671D30">
        <w:t xml:space="preserve"> until the early 2000’s</w:t>
      </w:r>
      <w:r>
        <w:t xml:space="preserve">. Following this period, a series of </w:t>
      </w:r>
      <w:r w:rsidR="00671D30">
        <w:t>relatively minor, mostly tropical,</w:t>
      </w:r>
      <w:r>
        <w:t xml:space="preserve"> volcanic eruptions have increased the background aerosol layer in the amount of 4-7% per year from 2000 to 2009 (</w:t>
      </w:r>
      <w:r>
        <w:rPr>
          <w:i/>
        </w:rPr>
        <w:t>Vernier et al.</w:t>
      </w:r>
      <w:r>
        <w:t>, 2011b)</w:t>
      </w:r>
      <w:r w:rsidR="00671D30">
        <w:t>.  These small eruptions</w:t>
      </w:r>
      <w:r>
        <w:t xml:space="preserve"> ha</w:t>
      </w:r>
      <w:r w:rsidR="00671D30">
        <w:t>ve</w:t>
      </w:r>
      <w:r>
        <w:t xml:space="preserve"> continued to the present day</w:t>
      </w:r>
      <w:r w:rsidR="00F2482B">
        <w:t xml:space="preserve"> and</w:t>
      </w:r>
      <w:r w:rsidR="00671D30">
        <w:t xml:space="preserve"> includ</w:t>
      </w:r>
      <w:r w:rsidR="00F2482B">
        <w:t>e</w:t>
      </w:r>
      <w:r>
        <w:t xml:space="preserve"> </w:t>
      </w:r>
      <w:r w:rsidR="00671D30">
        <w:t xml:space="preserve">eruptions such as </w:t>
      </w:r>
      <w:r>
        <w:t>Kasatochi (1.2-2.2 Tg</w:t>
      </w:r>
      <w:r w:rsidR="00671D30">
        <w:t xml:space="preserve"> of SO</w:t>
      </w:r>
      <w:r w:rsidR="00671D30" w:rsidRPr="00671D30">
        <w:rPr>
          <w:vertAlign w:val="subscript"/>
        </w:rPr>
        <w:t>2</w:t>
      </w:r>
      <w:r>
        <w:t xml:space="preserve">) </w:t>
      </w:r>
      <w:r w:rsidR="00671D30">
        <w:t xml:space="preserve">in 2008 </w:t>
      </w:r>
      <w:r>
        <w:t>(</w:t>
      </w:r>
      <w:r w:rsidRPr="008B011C">
        <w:rPr>
          <w:i/>
        </w:rPr>
        <w:t>Prata et al.</w:t>
      </w:r>
      <w:r>
        <w:t>, 2010), Nabro (1.0- 1.5 Tg</w:t>
      </w:r>
      <w:r w:rsidR="00671D30">
        <w:t xml:space="preserve"> of SO</w:t>
      </w:r>
      <w:r w:rsidR="00671D30" w:rsidRPr="00671D30">
        <w:rPr>
          <w:vertAlign w:val="subscript"/>
        </w:rPr>
        <w:t>2</w:t>
      </w:r>
      <w:r>
        <w:t>)</w:t>
      </w:r>
      <w:r w:rsidR="00671D30">
        <w:t xml:space="preserve"> in 2011</w:t>
      </w:r>
      <w:r>
        <w:t xml:space="preserve"> (</w:t>
      </w:r>
      <w:r w:rsidRPr="008B011C">
        <w:rPr>
          <w:i/>
        </w:rPr>
        <w:t>Clarisse et al.</w:t>
      </w:r>
      <w:r>
        <w:t>, 2016),  Kelut (0.1-0.3 Tg</w:t>
      </w:r>
      <w:r w:rsidR="00671D30">
        <w:t xml:space="preserve"> of SO</w:t>
      </w:r>
      <w:r w:rsidR="00671D30" w:rsidRPr="00671D30">
        <w:rPr>
          <w:vertAlign w:val="subscript"/>
        </w:rPr>
        <w:t>2</w:t>
      </w:r>
      <w:r>
        <w:t>)</w:t>
      </w:r>
      <w:r w:rsidR="00671D30">
        <w:t xml:space="preserve"> in 2014</w:t>
      </w:r>
      <w:r w:rsidR="00174DDF">
        <w:t>,</w:t>
      </w:r>
      <w:r>
        <w:t xml:space="preserve"> </w:t>
      </w:r>
      <w:r w:rsidR="00174DDF">
        <w:t>and Calbuco (0.2 -0.5 Tg of SO</w:t>
      </w:r>
      <w:r w:rsidR="00174DDF" w:rsidRPr="00671D30">
        <w:rPr>
          <w:vertAlign w:val="subscript"/>
        </w:rPr>
        <w:t>2</w:t>
      </w:r>
      <w:r w:rsidR="00174DDF">
        <w:t xml:space="preserve">) in 2015 </w:t>
      </w:r>
      <w:r>
        <w:t>(</w:t>
      </w:r>
      <w:r w:rsidRPr="008B011C">
        <w:rPr>
          <w:i/>
        </w:rPr>
        <w:t>Carn et al</w:t>
      </w:r>
      <w:r>
        <w:t>., 2016).</w:t>
      </w:r>
      <w:r w:rsidR="000E5426">
        <w:t xml:space="preserve">  The enhancement of the aerosol layer from these eruptions is </w:t>
      </w:r>
      <w:r w:rsidR="00553905">
        <w:t xml:space="preserve">well </w:t>
      </w:r>
      <w:r w:rsidR="000E5426">
        <w:t>captured in the satellite record (</w:t>
      </w:r>
      <w:r w:rsidR="000E5426">
        <w:rPr>
          <w:i/>
        </w:rPr>
        <w:t>Rieger et al., 2015).</w:t>
      </w:r>
    </w:p>
    <w:p w14:paraId="1A790D39" w14:textId="77777777" w:rsidR="001412EB" w:rsidRDefault="001412EB" w:rsidP="008B011C">
      <w:pPr>
        <w:pStyle w:val="Heading2"/>
      </w:pPr>
      <w:bookmarkStart w:id="8" w:name="_Toc456356936"/>
      <w:r>
        <w:t>2.2.2 Aerosol Microphysics</w:t>
      </w:r>
      <w:bookmarkEnd w:id="8"/>
    </w:p>
    <w:p w14:paraId="30FD01F9" w14:textId="08F9658C" w:rsidR="001412EB" w:rsidRDefault="001412EB" w:rsidP="00DD3820">
      <w:pPr>
        <w:pStyle w:val="ListNumber"/>
        <w:spacing w:after="0" w:line="480" w:lineRule="auto"/>
        <w:ind w:left="0" w:firstLine="709"/>
        <w:jc w:val="both"/>
      </w:pPr>
      <w:r>
        <w:t>These sulfur source</w:t>
      </w:r>
      <w:r w:rsidR="00F2482B">
        <w:t xml:space="preserve"> gases</w:t>
      </w:r>
      <w:r>
        <w:t xml:space="preserve"> undergo a series of </w:t>
      </w:r>
      <w:r w:rsidR="00F2482B">
        <w:t xml:space="preserve">chemical </w:t>
      </w:r>
      <w:r>
        <w:t xml:space="preserve">reactions </w:t>
      </w:r>
      <w:r w:rsidR="00F2482B">
        <w:t>and are</w:t>
      </w:r>
      <w:r>
        <w:t xml:space="preserve"> converted </w:t>
      </w:r>
      <w:r w:rsidRPr="006069EB">
        <w:t xml:space="preserve">into </w:t>
      </w:r>
      <w:r w:rsidR="00F2482B">
        <w:t xml:space="preserve">molecular </w:t>
      </w:r>
      <w:r>
        <w:t>H</w:t>
      </w:r>
      <w:r>
        <w:rPr>
          <w:vertAlign w:val="subscript"/>
        </w:rPr>
        <w:t>2</w:t>
      </w:r>
      <w:r>
        <w:t>SO</w:t>
      </w:r>
      <w:r>
        <w:softHyphen/>
      </w:r>
      <w:r w:rsidR="00F2482B">
        <w:rPr>
          <w:vertAlign w:val="subscript"/>
        </w:rPr>
        <w:t>4</w:t>
      </w:r>
      <w:r w:rsidR="00F2482B">
        <w:t xml:space="preserve"> that then nucleates and condenses to</w:t>
      </w:r>
      <w:r>
        <w:t xml:space="preserve"> form liquid droplets of approximately 25% H</w:t>
      </w:r>
      <w:r>
        <w:rPr>
          <w:vertAlign w:val="subscript"/>
        </w:rPr>
        <w:t>2</w:t>
      </w:r>
      <w:r>
        <w:t>O and 75% H</w:t>
      </w:r>
      <w:r>
        <w:rPr>
          <w:vertAlign w:val="subscript"/>
        </w:rPr>
        <w:t>2</w:t>
      </w:r>
      <w:r>
        <w:t>SO</w:t>
      </w:r>
      <w:r>
        <w:rPr>
          <w:vertAlign w:val="subscript"/>
        </w:rPr>
        <w:t>4</w:t>
      </w:r>
      <w:r>
        <w:t xml:space="preserve"> (</w:t>
      </w:r>
      <w:r w:rsidRPr="00DA1E49">
        <w:rPr>
          <w:i/>
        </w:rPr>
        <w:t>Rossen</w:t>
      </w:r>
      <w:r>
        <w:t xml:space="preserve">, 1971; </w:t>
      </w:r>
      <w:r w:rsidRPr="00DA1E49">
        <w:t>Wang</w:t>
      </w:r>
      <w:r>
        <w:rPr>
          <w:i/>
        </w:rPr>
        <w:t xml:space="preserve"> et al.</w:t>
      </w:r>
      <w:r>
        <w:t xml:space="preserve">, 1989). These </w:t>
      </w:r>
      <w:r w:rsidR="00F2482B">
        <w:t xml:space="preserve">spherical </w:t>
      </w:r>
      <w:r>
        <w:t xml:space="preserve">droplets coagulate into various sizes </w:t>
      </w:r>
      <w:r w:rsidR="00F2482B">
        <w:t xml:space="preserve">distributed between approximately </w:t>
      </w:r>
      <w:r>
        <w:t>0.05 to 1.0 µm</w:t>
      </w:r>
      <w:r w:rsidR="00F2482B">
        <w:t>,</w:t>
      </w:r>
      <w:r>
        <w:t xml:space="preserve"> depending on the various contributions and stages of the processes of nucleation, evaporation and condensation (</w:t>
      </w:r>
      <w:r>
        <w:rPr>
          <w:i/>
        </w:rPr>
        <w:t>Junge et al.</w:t>
      </w:r>
      <w:r>
        <w:t xml:space="preserve"> 1961; </w:t>
      </w:r>
      <w:r>
        <w:rPr>
          <w:i/>
        </w:rPr>
        <w:t>Brock et al.</w:t>
      </w:r>
      <w:r>
        <w:t xml:space="preserve">, 1995; </w:t>
      </w:r>
      <w:r>
        <w:rPr>
          <w:i/>
        </w:rPr>
        <w:t>Bingen et al.</w:t>
      </w:r>
      <w:r>
        <w:t xml:space="preserve">, 2004). A log-normal distribution is often used to approximate the </w:t>
      </w:r>
      <w:r w:rsidR="00F2482B">
        <w:t xml:space="preserve">distribution of </w:t>
      </w:r>
      <w:r>
        <w:t xml:space="preserve">particle </w:t>
      </w:r>
      <w:r w:rsidR="00F2482B">
        <w:t xml:space="preserve">radii, </w:t>
      </w:r>
      <w:r w:rsidR="00F2482B">
        <w:rPr>
          <w:i/>
        </w:rPr>
        <w:t>r</w:t>
      </w:r>
      <w:r w:rsidR="00F2482B">
        <w:t xml:space="preserve">, </w:t>
      </w:r>
      <w:r>
        <w:t xml:space="preserve">in the form of </w:t>
      </w:r>
    </w:p>
    <w:tbl>
      <w:tblPr>
        <w:tblStyle w:val="TableGrid"/>
        <w:tblW w:w="8050" w:type="dxa"/>
        <w:tblInd w:w="1418" w:type="dxa"/>
        <w:tblLook w:val="04A0" w:firstRow="1" w:lastRow="0" w:firstColumn="1" w:lastColumn="0" w:noHBand="0" w:noVBand="1"/>
      </w:tblPr>
      <w:tblGrid>
        <w:gridCol w:w="6804"/>
        <w:gridCol w:w="1246"/>
      </w:tblGrid>
      <w:tr w:rsidR="001412EB" w14:paraId="36E4E4CB" w14:textId="77777777" w:rsidTr="000927B6">
        <w:tc>
          <w:tcPr>
            <w:tcW w:w="6804" w:type="dxa"/>
            <w:tcBorders>
              <w:top w:val="nil"/>
              <w:left w:val="nil"/>
              <w:bottom w:val="nil"/>
              <w:right w:val="nil"/>
            </w:tcBorders>
          </w:tcPr>
          <w:p w14:paraId="7541851F" w14:textId="77777777" w:rsidR="001412EB" w:rsidRPr="0076182D" w:rsidRDefault="00FD1E67"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14:paraId="6D9CE407" w14:textId="77777777" w:rsidR="001412EB" w:rsidRDefault="001412EB" w:rsidP="000927B6">
            <w:pPr>
              <w:pStyle w:val="BodyText"/>
              <w:ind w:firstLine="0"/>
              <w:jc w:val="right"/>
            </w:pPr>
            <w:r>
              <w:t>(2.1)</w:t>
            </w:r>
          </w:p>
        </w:tc>
      </w:tr>
    </w:tbl>
    <w:p w14:paraId="062A0A27" w14:textId="53A5407C" w:rsidR="001412EB" w:rsidRDefault="001412EB" w:rsidP="0076182D">
      <w:pPr>
        <w:pStyle w:val="ListNumber"/>
        <w:spacing w:after="0" w:line="480" w:lineRule="auto"/>
        <w:ind w:left="0" w:firstLine="0"/>
        <w:jc w:val="both"/>
      </w:pPr>
      <w:r>
        <w:lastRenderedPageBreak/>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Pr="003C7A0A">
        <w:rPr>
          <w:i/>
        </w:rPr>
        <w:t>J</w:t>
      </w:r>
      <w:r>
        <w:rPr>
          <w:i/>
        </w:rPr>
        <w:t>ä</w:t>
      </w:r>
      <w:r w:rsidRPr="003C7A0A">
        <w:rPr>
          <w:i/>
        </w:rPr>
        <w:t>ger</w:t>
      </w:r>
      <w:r>
        <w:rPr>
          <w:i/>
        </w:rPr>
        <w:t xml:space="preserve"> and Hofmann, </w:t>
      </w:r>
      <w:r>
        <w:t xml:space="preserve">1991; </w:t>
      </w:r>
      <w:r>
        <w:rPr>
          <w:i/>
        </w:rPr>
        <w:t>Hamill et al.</w:t>
      </w:r>
      <w:r>
        <w:t xml:space="preserve"> 1997). In this case, the particle radii are distributed normally over the logarithm of the radius. For a typical non-volcanic background aerosol, with a mode radius and mode width of 0.08 µm and 1.6 respectively (</w:t>
      </w:r>
      <w:r w:rsidR="00B87AB5">
        <w:rPr>
          <w:i/>
        </w:rPr>
        <w:t>Deshler</w:t>
      </w:r>
      <w:r>
        <w:t>,</w:t>
      </w:r>
      <w:r w:rsidR="00B87AB5">
        <w:t xml:space="preserve"> 2003</w:t>
      </w:r>
      <w:r>
        <w:t xml:space="preserve">), the log-normal distribution is shown in </w:t>
      </w:r>
      <w:r>
        <w:fldChar w:fldCharType="begin"/>
      </w:r>
      <w:r>
        <w:instrText xml:space="preserve"> REF _Ref456353520 \h </w:instrText>
      </w:r>
      <w:r>
        <w:fldChar w:fldCharType="separate"/>
      </w:r>
      <w:r w:rsidRPr="00ED7914">
        <w:rPr>
          <w:b/>
        </w:rPr>
        <w:t>Figure 2-</w:t>
      </w:r>
      <w:r>
        <w:rPr>
          <w:b/>
          <w:noProof/>
        </w:rPr>
        <w:t>1</w:t>
      </w:r>
      <w:r>
        <w:fldChar w:fldCharType="end"/>
      </w:r>
      <w:r>
        <w:t>.</w:t>
      </w:r>
    </w:p>
    <w:p w14:paraId="15D43BCF" w14:textId="77777777" w:rsidR="001412EB" w:rsidRDefault="001412EB" w:rsidP="000F1B17">
      <w:pPr>
        <w:pStyle w:val="ListNumber"/>
        <w:keepNext/>
        <w:spacing w:after="0" w:line="480" w:lineRule="auto"/>
        <w:ind w:left="0" w:firstLine="0"/>
        <w:jc w:val="center"/>
      </w:pPr>
      <w:r>
        <w:rPr>
          <w:noProof/>
          <w:lang w:val="en-US"/>
        </w:rPr>
        <w:drawing>
          <wp:inline distT="0" distB="0" distL="0" distR="0" wp14:anchorId="177E1A17" wp14:editId="74050628">
            <wp:extent cx="4857750" cy="2698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3807" cy="2702115"/>
                    </a:xfrm>
                    <a:prstGeom prst="rect">
                      <a:avLst/>
                    </a:prstGeom>
                  </pic:spPr>
                </pic:pic>
              </a:graphicData>
            </a:graphic>
          </wp:inline>
        </w:drawing>
      </w:r>
    </w:p>
    <w:p w14:paraId="0A072C2D" w14:textId="77777777" w:rsidR="001412EB" w:rsidRPr="00ED192E" w:rsidRDefault="001412EB" w:rsidP="0004009B">
      <w:pPr>
        <w:pStyle w:val="Caption"/>
        <w:jc w:val="both"/>
        <w:rPr>
          <w:b w:val="0"/>
        </w:rPr>
      </w:pPr>
      <w:bookmarkStart w:id="9" w:name="_Ref456353520"/>
      <w:bookmarkStart w:id="10" w:name="_Toc456357164"/>
      <w:r w:rsidRPr="00ED7914">
        <w:rPr>
          <w:b w:val="0"/>
        </w:rPr>
        <w:t>Figure 2-</w:t>
      </w:r>
      <w:r w:rsidRPr="00ED7914">
        <w:rPr>
          <w:b w:val="0"/>
        </w:rPr>
        <w:fldChar w:fldCharType="begin"/>
      </w:r>
      <w:r w:rsidRPr="00ED7914">
        <w:rPr>
          <w:b w:val="0"/>
        </w:rPr>
        <w:instrText xml:space="preserve"> SEQ Figure \* ARABIC \r 1 </w:instrText>
      </w:r>
      <w:r w:rsidRPr="00ED7914">
        <w:rPr>
          <w:b w:val="0"/>
        </w:rPr>
        <w:fldChar w:fldCharType="separate"/>
      </w:r>
      <w:r>
        <w:rPr>
          <w:b w:val="0"/>
          <w:noProof/>
        </w:rPr>
        <w:t>1</w:t>
      </w:r>
      <w:r w:rsidRPr="00ED7914">
        <w:rPr>
          <w:b w:val="0"/>
          <w:noProof/>
        </w:rPr>
        <w:fldChar w:fldCharType="end"/>
      </w:r>
      <w:bookmarkEnd w:id="9"/>
      <w:r w:rsidRPr="00ED7914">
        <w:rPr>
          <w:b w:val="0"/>
        </w:rPr>
        <w:t>:</w:t>
      </w:r>
      <w:r>
        <w:rPr>
          <w:b w:val="0"/>
        </w:rPr>
        <w:t xml:space="preserve"> Sample l</w:t>
      </w:r>
      <w:r w:rsidRPr="00ED192E">
        <w:rPr>
          <w:b w:val="0"/>
          <w:szCs w:val="24"/>
        </w:rPr>
        <w:t xml:space="preserve">og-normal distribution for </w:t>
      </w:r>
      <w:r>
        <w:rPr>
          <w:b w:val="0"/>
          <w:szCs w:val="24"/>
        </w:rPr>
        <w:t xml:space="preserve">typical </w:t>
      </w:r>
      <w:r w:rsidRPr="00ED192E">
        <w:rPr>
          <w:b w:val="0"/>
          <w:szCs w:val="24"/>
        </w:rPr>
        <w:t xml:space="preserve">non-volcanic </w:t>
      </w:r>
      <w:r>
        <w:rPr>
          <w:b w:val="0"/>
          <w:szCs w:val="24"/>
        </w:rPr>
        <w:t>stratospheric a</w:t>
      </w:r>
      <w:r w:rsidRPr="00ED192E">
        <w:rPr>
          <w:b w:val="0"/>
          <w:szCs w:val="24"/>
        </w:rPr>
        <w:t>erosol.</w:t>
      </w:r>
      <w:bookmarkEnd w:id="10"/>
    </w:p>
    <w:p w14:paraId="503661C2" w14:textId="77777777" w:rsidR="001412EB" w:rsidRDefault="001412EB" w:rsidP="008F7035">
      <w:pPr>
        <w:pStyle w:val="ListNumber"/>
        <w:spacing w:after="0"/>
        <w:ind w:left="0" w:firstLine="0"/>
        <w:jc w:val="both"/>
      </w:pPr>
    </w:p>
    <w:p w14:paraId="51513E25" w14:textId="5254B3D1" w:rsidR="001412EB" w:rsidRDefault="000F1B17" w:rsidP="008F7035">
      <w:pPr>
        <w:pStyle w:val="ListNumber"/>
        <w:spacing w:after="0" w:line="480" w:lineRule="auto"/>
        <w:ind w:left="0" w:firstLine="720"/>
        <w:jc w:val="both"/>
      </w:pPr>
      <w:r>
        <w:t xml:space="preserve">Optical Particle Counters (OPC) have been used on board stratospheric balloon flights from Laramie, Wyoming over the past 40 years to make </w:t>
      </w:r>
      <w:r w:rsidRPr="00B87AB5">
        <w:rPr>
          <w:i/>
        </w:rPr>
        <w:t>in situ</w:t>
      </w:r>
      <w:r>
        <w:t xml:space="preserve"> measurements of aerosol particle sizes in bins between 0.15 to 2.0 µm (</w:t>
      </w:r>
      <w:r w:rsidRPr="008B011C">
        <w:rPr>
          <w:i/>
        </w:rPr>
        <w:t>Deshler et al</w:t>
      </w:r>
      <w:r>
        <w:t>., 2003). These measurements provide a valuable and unique long term set of size-resolved measurements of sulfate aerosol. These particle size distributions are primarily unimodal during non-volcanic periods and the log-normal distribution given in Equation 2.1 can be used to approximate background period particle sizes. But during volcanic episodes, a bimodal log-normal distribution of aerosol particles, which includes what is referred to fine and coarse modes, is more representative of the measured distributions (</w:t>
      </w:r>
      <w:r>
        <w:rPr>
          <w:i/>
        </w:rPr>
        <w:t>Deshler et al.</w:t>
      </w:r>
      <w:r>
        <w:t xml:space="preserve">, 2003; 2008; </w:t>
      </w:r>
      <w:r w:rsidRPr="00B07B0C">
        <w:rPr>
          <w:i/>
        </w:rPr>
        <w:t>Kovilakam et al.</w:t>
      </w:r>
      <w:r>
        <w:t xml:space="preserve">, 2015). The coarse mode has larger particles than the fine mode </w:t>
      </w:r>
      <w:r>
        <w:lastRenderedPageBreak/>
        <w:t xml:space="preserve">and complicates the determination of aerosol microphysical parameters since the number of required parameters has increased to six: a number density for both the fine and coarse mode, two mode radii, and two mode widths. Figure 5 from </w:t>
      </w:r>
      <w:r>
        <w:rPr>
          <w:i/>
        </w:rPr>
        <w:t>Deshler et al.</w:t>
      </w:r>
      <w:r>
        <w:t xml:space="preserve"> (2003), recreated </w:t>
      </w:r>
      <w:r w:rsidRPr="00CB6418">
        <w:t xml:space="preserve">in </w:t>
      </w:r>
      <w:r w:rsidRPr="00CB6418">
        <w:fldChar w:fldCharType="begin"/>
      </w:r>
      <w:r w:rsidRPr="00CB6418">
        <w:instrText xml:space="preserve"> REF _Ref432512315 \h  \* MERGEFORMAT </w:instrText>
      </w:r>
      <w:r w:rsidRPr="00CB6418">
        <w:fldChar w:fldCharType="separate"/>
      </w:r>
      <w:r w:rsidRPr="00021EBF">
        <w:rPr>
          <w:szCs w:val="24"/>
        </w:rPr>
        <w:t>Figure 2-2</w:t>
      </w:r>
      <w:r w:rsidRPr="00CB6418">
        <w:fldChar w:fldCharType="end"/>
      </w:r>
      <w:r w:rsidRPr="00CB6418">
        <w:t>, demonstrate</w:t>
      </w:r>
      <w:r>
        <w:t xml:space="preserve">s two bimodal particle size distributions from balloon OPC measurements. The first distribution is from a volcanic period in 1993 after the Mount Pinatubo eruption and another from a background period in 1999. It should be noted that even though a bimodal distribution is found for the background case in </w:t>
      </w:r>
      <w:r w:rsidRPr="005E339C">
        <w:fldChar w:fldCharType="begin"/>
      </w:r>
      <w:r w:rsidRPr="005E339C">
        <w:instrText xml:space="preserve"> REF _Ref432512315 \h  \* MERGEFORMAT </w:instrText>
      </w:r>
      <w:r w:rsidRPr="005E339C">
        <w:fldChar w:fldCharType="separate"/>
      </w:r>
      <w:r w:rsidRPr="00021EBF">
        <w:rPr>
          <w:szCs w:val="24"/>
        </w:rPr>
        <w:t>Figure 2-2</w:t>
      </w:r>
      <w:r w:rsidRPr="005E339C">
        <w:fldChar w:fldCharType="end"/>
      </w:r>
      <w:r>
        <w:t>, the number density of the coarse mode is very small and can generally be ignored in non-volcanic periods so a unimodal approximation is typically sufficient.</w:t>
      </w:r>
    </w:p>
    <w:p w14:paraId="34C9F625" w14:textId="77777777" w:rsidR="001412EB" w:rsidRDefault="001412EB" w:rsidP="000F1B17">
      <w:pPr>
        <w:pStyle w:val="ListNumber"/>
        <w:keepNext/>
        <w:spacing w:after="0" w:line="480" w:lineRule="auto"/>
        <w:ind w:left="0" w:firstLine="0"/>
        <w:jc w:val="center"/>
      </w:pPr>
      <w:r>
        <w:rPr>
          <w:noProof/>
          <w:lang w:val="en-US"/>
        </w:rPr>
        <w:drawing>
          <wp:inline distT="0" distB="0" distL="0" distR="0" wp14:anchorId="4594855F" wp14:editId="6CBA6CD4">
            <wp:extent cx="5216525" cy="3978874"/>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7522" cy="3987262"/>
                    </a:xfrm>
                    <a:prstGeom prst="rect">
                      <a:avLst/>
                    </a:prstGeom>
                  </pic:spPr>
                </pic:pic>
              </a:graphicData>
            </a:graphic>
          </wp:inline>
        </w:drawing>
      </w:r>
    </w:p>
    <w:p w14:paraId="42F4C813" w14:textId="77777777" w:rsidR="001412EB" w:rsidRPr="00DF5010" w:rsidRDefault="001412EB" w:rsidP="00D62BA2">
      <w:pPr>
        <w:jc w:val="both"/>
        <w:rPr>
          <w:sz w:val="24"/>
          <w:szCs w:val="24"/>
        </w:rPr>
      </w:pPr>
      <w:bookmarkStart w:id="11" w:name="_Ref432512315"/>
      <w:bookmarkStart w:id="12" w:name="_Toc435878542"/>
      <w:bookmarkStart w:id="13" w:name="_Toc452973849"/>
      <w:bookmarkStart w:id="14" w:name="_Toc456357165"/>
      <w:r w:rsidRPr="00DF5010">
        <w:rPr>
          <w:b/>
          <w:sz w:val="24"/>
          <w:szCs w:val="24"/>
        </w:rPr>
        <w:t>Figure 2-</w:t>
      </w:r>
      <w:r w:rsidRPr="008F7035">
        <w:rPr>
          <w:b/>
          <w:sz w:val="24"/>
          <w:szCs w:val="24"/>
        </w:rPr>
        <w:fldChar w:fldCharType="begin"/>
      </w:r>
      <w:r w:rsidRPr="0004009B">
        <w:rPr>
          <w:b/>
          <w:sz w:val="24"/>
          <w:szCs w:val="24"/>
        </w:rPr>
        <w:instrText xml:space="preserve"> SEQ Figure \* ARABIC </w:instrText>
      </w:r>
      <w:r w:rsidRPr="008F7035">
        <w:rPr>
          <w:b/>
          <w:sz w:val="24"/>
          <w:szCs w:val="24"/>
        </w:rPr>
        <w:fldChar w:fldCharType="separate"/>
      </w:r>
      <w:r>
        <w:rPr>
          <w:b/>
          <w:noProof/>
          <w:szCs w:val="24"/>
        </w:rPr>
        <w:t>2</w:t>
      </w:r>
      <w:r w:rsidRPr="008F7035">
        <w:rPr>
          <w:b/>
          <w:sz w:val="24"/>
          <w:szCs w:val="24"/>
        </w:rPr>
        <w:fldChar w:fldCharType="end"/>
      </w:r>
      <w:bookmarkEnd w:id="11"/>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12"/>
      <w:bookmarkEnd w:id="13"/>
      <w:bookmarkEnd w:id="14"/>
    </w:p>
    <w:p w14:paraId="43AC6A8D" w14:textId="77777777" w:rsidR="001412EB" w:rsidRPr="009C3CFE" w:rsidRDefault="001412EB" w:rsidP="009C3CFE">
      <w:pPr>
        <w:jc w:val="center"/>
        <w:rPr>
          <w:sz w:val="24"/>
          <w:szCs w:val="24"/>
        </w:rPr>
      </w:pPr>
    </w:p>
    <w:p w14:paraId="48808168" w14:textId="77777777" w:rsidR="001412EB" w:rsidRDefault="001412EB" w:rsidP="002347DA">
      <w:pPr>
        <w:pStyle w:val="Heading2"/>
      </w:pPr>
      <w:bookmarkStart w:id="15" w:name="_Toc452973712"/>
      <w:bookmarkStart w:id="16" w:name="_Toc456356937"/>
      <w:r>
        <w:t>2.2.3 Climate Effects</w:t>
      </w:r>
      <w:bookmarkEnd w:id="15"/>
      <w:bookmarkEnd w:id="16"/>
    </w:p>
    <w:p w14:paraId="04F158FD" w14:textId="76D93D97" w:rsidR="001412EB" w:rsidRDefault="001412EB" w:rsidP="00B03693">
      <w:pPr>
        <w:pStyle w:val="ListNumber"/>
        <w:spacing w:after="0" w:line="480" w:lineRule="auto"/>
        <w:ind w:left="0" w:firstLine="709"/>
        <w:jc w:val="both"/>
      </w:pPr>
      <w:r>
        <w:t xml:space="preserve">Stratospheric aerosol can have several effects on the climate of the planet, and particularly due to the </w:t>
      </w:r>
      <w:r w:rsidR="00E34CE3">
        <w:t xml:space="preserve">variability of the </w:t>
      </w:r>
      <w:r>
        <w:t>volcanic contribution, there is a large amount of uncertainty in the overall effect (</w:t>
      </w:r>
      <w:r>
        <w:rPr>
          <w:i/>
        </w:rPr>
        <w:t>Solomon et al.</w:t>
      </w:r>
      <w:r>
        <w:t>, 2007). Through the so-called “direct effect”, aerosol particles scatter incoming visible solar radiation away from earth increasing the albedo causing a cooling of the surface of the planet (</w:t>
      </w:r>
      <w:r>
        <w:rPr>
          <w:i/>
        </w:rPr>
        <w:t>Lacis et al.</w:t>
      </w:r>
      <w:r>
        <w:t>, 1992). The albedo is the amount of incoming solar irradiance that is reflected back to space. A secondary direct effect from aerosols, which is highly dependent on aerosol particle size distribution, is a greenhouse-like effect that is caused by scattering of infrared radiation emitted from the earth’s surface (</w:t>
      </w:r>
      <w:r w:rsidRPr="00774BC7">
        <w:rPr>
          <w:i/>
        </w:rPr>
        <w:t>Kiehl and Briegleb</w:t>
      </w:r>
      <w:r>
        <w:t>, 1993).  Aerosol also introduces a so-called “indirect effect” to the radiative balance. This is also known as the cloud albedo effect. This is caused by condensation of water onto existing aerosol particles.  These become cloud condensation nuclei and stimulate cloud formation, which leads to an increase of the planetary albedo, which then also contributes to cooling the planet's surface. These types of cloud forming particles also tend to increase the overall lifetime of the cloud, increasing the overall cloud coverage and thus increasing the planetary albedo (</w:t>
      </w:r>
      <w:r w:rsidRPr="007066DF">
        <w:rPr>
          <w:i/>
        </w:rPr>
        <w:t>Charlson et al.</w:t>
      </w:r>
      <w:r>
        <w:t>, 1992). Overall, the cooling effect of the aerosol particles dominates the warming effect and cools the surface of the planet (</w:t>
      </w:r>
      <w:r>
        <w:rPr>
          <w:i/>
        </w:rPr>
        <w:t>Solomon et al.</w:t>
      </w:r>
      <w:r>
        <w:t xml:space="preserve">, 2011). </w:t>
      </w:r>
    </w:p>
    <w:p w14:paraId="39EF8C18" w14:textId="18C96956" w:rsidR="001412EB" w:rsidRDefault="00E34CE3" w:rsidP="00BB1654">
      <w:pPr>
        <w:pStyle w:val="ListNumber"/>
        <w:spacing w:after="0" w:line="480" w:lineRule="auto"/>
        <w:ind w:left="0" w:firstLine="709"/>
        <w:jc w:val="both"/>
      </w:pPr>
      <w:r>
        <w:t>During b</w:t>
      </w:r>
      <w:r w:rsidR="001412EB">
        <w:t>ackground periods</w:t>
      </w:r>
      <w:r>
        <w:t xml:space="preserve"> without substantial volcanic contribution to the aerosol load</w:t>
      </w:r>
      <w:r w:rsidR="001412EB">
        <w:t xml:space="preserve"> </w:t>
      </w:r>
      <w:r>
        <w:t xml:space="preserve">the </w:t>
      </w:r>
      <w:r w:rsidR="001412EB">
        <w:t xml:space="preserve">cooling </w:t>
      </w:r>
      <w:r>
        <w:t xml:space="preserve">effect </w:t>
      </w:r>
      <w:r w:rsidR="001412EB">
        <w:t>from stratospheric aerosols</w:t>
      </w:r>
      <w:r>
        <w:t xml:space="preserve"> is very small,</w:t>
      </w:r>
      <w:r w:rsidR="001412EB">
        <w:t xml:space="preserve"> but this greatly change</w:t>
      </w:r>
      <w:r>
        <w:t>s</w:t>
      </w:r>
      <w:r w:rsidR="001412EB">
        <w:t xml:space="preserve"> during periods of volcanic activity where the layer</w:t>
      </w:r>
      <w:r>
        <w:t xml:space="preserve"> concentrations</w:t>
      </w:r>
      <w:r w:rsidR="001412EB">
        <w:t xml:space="preserve"> can be </w:t>
      </w:r>
      <w:r>
        <w:t>significantly enhanced</w:t>
      </w:r>
      <w:r w:rsidR="001412EB">
        <w:t>. After the eruption of Mount Pinatubo in 1991 the sulfate aerosol load was increased by 5 to 10 fold causing cooling of the lower atmosphere by 0.5</w:t>
      </w:r>
      <w:r w:rsidR="001412EB">
        <w:rPr>
          <w:vertAlign w:val="superscript"/>
        </w:rPr>
        <w:t>◦</w:t>
      </w:r>
      <w:r w:rsidR="001412EB">
        <w:t>C (</w:t>
      </w:r>
      <w:r w:rsidR="001412EB">
        <w:rPr>
          <w:i/>
        </w:rPr>
        <w:t>McCormick et al.</w:t>
      </w:r>
      <w:r w:rsidR="001412EB">
        <w:t xml:space="preserve"> 1995; </w:t>
      </w:r>
      <w:r w:rsidR="001412EB">
        <w:rPr>
          <w:i/>
        </w:rPr>
        <w:t>Soden et al.</w:t>
      </w:r>
      <w:r w:rsidR="001412EB">
        <w:t>, 2002) and 0.1 to 0.3</w:t>
      </w:r>
      <w:r w:rsidR="001412EB">
        <w:rPr>
          <w:vertAlign w:val="superscript"/>
        </w:rPr>
        <w:t>◦</w:t>
      </w:r>
      <w:r w:rsidR="001412EB">
        <w:t>C on the surface (</w:t>
      </w:r>
      <w:r w:rsidR="001412EB">
        <w:rPr>
          <w:i/>
        </w:rPr>
        <w:t>Thompson et al.</w:t>
      </w:r>
      <w:r w:rsidR="001412EB">
        <w:t xml:space="preserve">, 2009; </w:t>
      </w:r>
      <w:r w:rsidR="001412EB">
        <w:rPr>
          <w:i/>
        </w:rPr>
        <w:t>Canty et al.</w:t>
      </w:r>
      <w:r w:rsidR="001412EB">
        <w:t xml:space="preserve">, 2013). </w:t>
      </w:r>
      <w:r>
        <w:t>T</w:t>
      </w:r>
      <w:r w:rsidR="001412EB">
        <w:t xml:space="preserve">he surface temperatures did not </w:t>
      </w:r>
      <w:r w:rsidR="001412EB">
        <w:lastRenderedPageBreak/>
        <w:t>return to pre-Pinatubo level until approximately three years after the eruption as the atmosphere filtered out the additional aerosol (</w:t>
      </w:r>
      <w:r w:rsidR="001412EB">
        <w:rPr>
          <w:i/>
        </w:rPr>
        <w:t>Hansen at al.</w:t>
      </w:r>
      <w:r w:rsidR="001412EB">
        <w:t>, 1996). More recently, a series of small to moderate volcanic eruptions have increased the background stratospheric aerosol layer (</w:t>
      </w:r>
      <w:r w:rsidR="001412EB">
        <w:rPr>
          <w:i/>
        </w:rPr>
        <w:t>Vernier et al.</w:t>
      </w:r>
      <w:r w:rsidR="001412EB">
        <w:t>, 2011b). This additional volcanic aerosol load has been proposed to be linked to a larger effect</w:t>
      </w:r>
      <w:r>
        <w:t xml:space="preserve"> of decreased warming</w:t>
      </w:r>
      <w:r w:rsidR="001412EB">
        <w:t xml:space="preserve">, known </w:t>
      </w:r>
      <w:r>
        <w:t xml:space="preserve">sometimes </w:t>
      </w:r>
      <w:r w:rsidR="001412EB">
        <w:t>as the global warming hiatus</w:t>
      </w:r>
      <w:r w:rsidR="001412EB" w:rsidDel="0052744D">
        <w:t xml:space="preserve"> </w:t>
      </w:r>
      <w:r w:rsidR="001412EB">
        <w:t>(</w:t>
      </w:r>
      <w:r w:rsidR="001412EB" w:rsidRPr="00774BC7">
        <w:rPr>
          <w:i/>
        </w:rPr>
        <w:t>Solomon et al.</w:t>
      </w:r>
      <w:r w:rsidR="001412EB">
        <w:t xml:space="preserve">, 2011; </w:t>
      </w:r>
      <w:r w:rsidR="001412EB" w:rsidRPr="00774BC7">
        <w:rPr>
          <w:i/>
        </w:rPr>
        <w:t>Haywood et al.</w:t>
      </w:r>
      <w:r w:rsidR="001412EB">
        <w:t xml:space="preserve">, 2014; </w:t>
      </w:r>
      <w:r w:rsidR="001412EB" w:rsidRPr="00774BC7">
        <w:rPr>
          <w:i/>
        </w:rPr>
        <w:t>Fyfe et al.</w:t>
      </w:r>
      <w:r w:rsidR="001412EB">
        <w:t xml:space="preserve">, 2013). </w:t>
      </w:r>
    </w:p>
    <w:p w14:paraId="2DFCA42A" w14:textId="77777777" w:rsidR="001412EB" w:rsidRDefault="001412EB">
      <w:pPr>
        <w:pStyle w:val="Heading1"/>
      </w:pPr>
      <w:bookmarkStart w:id="17" w:name="_Toc452973713"/>
      <w:bookmarkStart w:id="18" w:name="_Toc456356938"/>
      <w:r>
        <w:t>2.3 Aerosol Measurements</w:t>
      </w:r>
      <w:bookmarkEnd w:id="17"/>
      <w:bookmarkEnd w:id="18"/>
    </w:p>
    <w:p w14:paraId="5032A564" w14:textId="5EE50404" w:rsidR="001412EB" w:rsidRDefault="00E34CE3" w:rsidP="007E1609">
      <w:pPr>
        <w:pStyle w:val="BodyText"/>
        <w:jc w:val="both"/>
      </w:pPr>
      <w:bookmarkStart w:id="19" w:name="_Ref463275989"/>
      <w:bookmarkStart w:id="20" w:name="_Toc463235095"/>
      <w:bookmarkStart w:id="21" w:name="_Ref463275880"/>
      <w:r>
        <w:t xml:space="preserve">There are essentially three fundamental approaches to measuring atmospheric aerosol: ground based systems, </w:t>
      </w:r>
      <w:r w:rsidR="009D0058">
        <w:rPr>
          <w:i/>
        </w:rPr>
        <w:t>in-</w:t>
      </w:r>
      <w:r w:rsidRPr="00E34CE3">
        <w:rPr>
          <w:i/>
        </w:rPr>
        <w:t>situ</w:t>
      </w:r>
      <w:r>
        <w:t xml:space="preserve"> measurements, and satellite based remote sensing. </w:t>
      </w:r>
      <w:r w:rsidR="009D0058">
        <w:t>Each of these methods has certain strengths and the combination of data from all three approaches is essential for the future.  G</w:t>
      </w:r>
      <w:r w:rsidR="001412EB" w:rsidRPr="002163A1">
        <w:t xml:space="preserve">round based and </w:t>
      </w:r>
      <w:r w:rsidR="001412EB" w:rsidRPr="009D0058">
        <w:rPr>
          <w:i/>
        </w:rPr>
        <w:t>in-situ</w:t>
      </w:r>
      <w:r w:rsidR="001412EB" w:rsidRPr="002163A1">
        <w:t xml:space="preserve"> measurements </w:t>
      </w:r>
      <w:r w:rsidR="009D0058">
        <w:t>typically provide</w:t>
      </w:r>
      <w:r w:rsidR="001412EB" w:rsidRPr="002163A1">
        <w:t xml:space="preserve"> detail</w:t>
      </w:r>
      <w:r w:rsidR="009D0058">
        <w:t>ed</w:t>
      </w:r>
      <w:r w:rsidR="001412EB" w:rsidRPr="002163A1">
        <w:t xml:space="preserve"> information about a specific localized</w:t>
      </w:r>
      <w:r w:rsidR="001412EB">
        <w:t xml:space="preserve"> area</w:t>
      </w:r>
      <w:r w:rsidR="001412EB" w:rsidRPr="002163A1">
        <w:t xml:space="preserve">. </w:t>
      </w:r>
      <w:r w:rsidR="009D0058">
        <w:t>Global coverage can only really be obtained with satellite measurements, but these are essentially always information-limited by the remote sensing technique.</w:t>
      </w:r>
      <w:r w:rsidR="001412EB">
        <w:t xml:space="preserve"> </w:t>
      </w:r>
      <w:r w:rsidR="009D0058">
        <w:t>G</w:t>
      </w:r>
      <w:r w:rsidR="001412EB">
        <w:t>round-</w:t>
      </w:r>
      <w:r w:rsidR="001412EB" w:rsidRPr="002163A1">
        <w:t>base</w:t>
      </w:r>
      <w:r w:rsidR="001412EB">
        <w:t>d</w:t>
      </w:r>
      <w:r w:rsidR="009D0058">
        <w:t xml:space="preserve">, </w:t>
      </w:r>
      <w:r w:rsidR="009D0058">
        <w:rPr>
          <w:i/>
        </w:rPr>
        <w:t>in-situ</w:t>
      </w:r>
      <w:r w:rsidR="001412EB">
        <w:t xml:space="preserve"> </w:t>
      </w:r>
      <w:r w:rsidR="009D0058">
        <w:t>and satellite measurements</w:t>
      </w:r>
      <w:r w:rsidR="001412EB" w:rsidRPr="002163A1">
        <w:t xml:space="preserve"> have important roles in monitoring the planet</w:t>
      </w:r>
      <w:r w:rsidR="001412EB">
        <w:t>’</w:t>
      </w:r>
      <w:r w:rsidR="001412EB" w:rsidRPr="002163A1">
        <w:t>s aerosol content</w:t>
      </w:r>
      <w:r w:rsidR="001412EB">
        <w:t xml:space="preserve"> and</w:t>
      </w:r>
      <w:r w:rsidR="001412EB" w:rsidRPr="002163A1">
        <w:t xml:space="preserve"> each of these methods have inherent advantages and disadvantages. A</w:t>
      </w:r>
      <w:r w:rsidR="001412EB">
        <w:t xml:space="preserve">n overview is given </w:t>
      </w:r>
      <w:r w:rsidR="009D0058">
        <w:t xml:space="preserve">here </w:t>
      </w:r>
      <w:r w:rsidR="001412EB">
        <w:t>on</w:t>
      </w:r>
      <w:r w:rsidR="001412EB" w:rsidRPr="002163A1">
        <w:t xml:space="preserve"> some of the common methods </w:t>
      </w:r>
      <w:r w:rsidR="009D0058">
        <w:t xml:space="preserve">for stratospheric aerosol measurements in order to place the ALI requirements and design in context. </w:t>
      </w:r>
    </w:p>
    <w:p w14:paraId="41FFC7C4" w14:textId="427EA6B9" w:rsidR="001412EB" w:rsidRDefault="00F2134D" w:rsidP="003D416A">
      <w:pPr>
        <w:pStyle w:val="Heading2"/>
      </w:pPr>
      <w:bookmarkStart w:id="22" w:name="_Toc452973714"/>
      <w:bookmarkStart w:id="23" w:name="_Toc456356939"/>
      <w:r>
        <w:t>2.3.1 In-situ</w:t>
      </w:r>
      <w:r w:rsidR="001412EB">
        <w:t xml:space="preserve"> Measurements</w:t>
      </w:r>
      <w:bookmarkEnd w:id="22"/>
      <w:bookmarkEnd w:id="23"/>
    </w:p>
    <w:p w14:paraId="0C9F8D43" w14:textId="2072BCDC" w:rsidR="001412EB" w:rsidRDefault="001412EB" w:rsidP="002163A1">
      <w:pPr>
        <w:pStyle w:val="BodyText"/>
        <w:jc w:val="both"/>
      </w:pPr>
      <w:r w:rsidRPr="002163A1">
        <w:t xml:space="preserve">In-situ measurement </w:t>
      </w:r>
      <w:r>
        <w:t>are typically performed using</w:t>
      </w:r>
      <w:r w:rsidRPr="002163A1">
        <w:t xml:space="preserve"> balloon</w:t>
      </w:r>
      <w:r>
        <w:t>-</w:t>
      </w:r>
      <w:r w:rsidRPr="002163A1">
        <w:t xml:space="preserve"> </w:t>
      </w:r>
      <w:r>
        <w:t>or aircraft-</w:t>
      </w:r>
      <w:r w:rsidRPr="002163A1">
        <w:t>based platform</w:t>
      </w:r>
      <w:r>
        <w:t>s</w:t>
      </w:r>
      <w:r w:rsidRPr="002163A1">
        <w:t xml:space="preserve">. </w:t>
      </w:r>
      <w:r>
        <w:t>In-situ b</w:t>
      </w:r>
      <w:r w:rsidRPr="002163A1">
        <w:t>alloon instruments direct</w:t>
      </w:r>
      <w:r>
        <w:t>ly</w:t>
      </w:r>
      <w:r w:rsidRPr="002163A1">
        <w:t xml:space="preserve"> </w:t>
      </w:r>
      <w:r>
        <w:t>measure</w:t>
      </w:r>
      <w:r w:rsidRPr="002163A1">
        <w:t xml:space="preserve"> aerosol particle</w:t>
      </w:r>
      <w:r>
        <w:t>s</w:t>
      </w:r>
      <w:r w:rsidRPr="002163A1">
        <w:t xml:space="preserve"> </w:t>
      </w:r>
      <w:r>
        <w:t>during the assent and</w:t>
      </w:r>
      <w:r w:rsidRPr="002163A1">
        <w:t xml:space="preserve"> can determine the</w:t>
      </w:r>
      <w:r w:rsidR="00F2134D">
        <w:t xml:space="preserve"> height profile of the </w:t>
      </w:r>
      <w:r w:rsidRPr="002163A1">
        <w:t>p</w:t>
      </w:r>
      <w:r>
        <w:t>article size distribution. T</w:t>
      </w:r>
      <w:r w:rsidRPr="002163A1">
        <w:t xml:space="preserve">he </w:t>
      </w:r>
      <w:r>
        <w:t>OPC</w:t>
      </w:r>
      <w:r w:rsidRPr="002163A1">
        <w:t xml:space="preserve"> is an active instrument that </w:t>
      </w:r>
      <w:r>
        <w:t xml:space="preserve">uses </w:t>
      </w:r>
      <w:r w:rsidR="00F2134D">
        <w:t xml:space="preserve">a </w:t>
      </w:r>
      <w:r w:rsidRPr="002163A1">
        <w:t>light source internal to the device</w:t>
      </w:r>
      <w:r>
        <w:t xml:space="preserve"> to optically count aerosol particles. This</w:t>
      </w:r>
      <w:r w:rsidRPr="002163A1">
        <w:t xml:space="preserve"> </w:t>
      </w:r>
      <w:r>
        <w:t xml:space="preserve">type of </w:t>
      </w:r>
      <w:r w:rsidRPr="002163A1">
        <w:t>instrument has been launched fr</w:t>
      </w:r>
      <w:r>
        <w:t>om Laramie, Wyoming since 1971, and has successfully measured</w:t>
      </w:r>
      <w:r w:rsidRPr="002163A1">
        <w:t xml:space="preserve"> aerosol </w:t>
      </w:r>
      <w:r>
        <w:t>mixing ratio</w:t>
      </w:r>
      <w:r w:rsidRPr="002163A1">
        <w:t xml:space="preserve"> and particle size </w:t>
      </w:r>
      <w:r>
        <w:t>distributions (</w:t>
      </w:r>
      <w:r w:rsidRPr="001A647C">
        <w:rPr>
          <w:i/>
        </w:rPr>
        <w:t>Deshler et al.</w:t>
      </w:r>
      <w:r>
        <w:t xml:space="preserve">, 2003; 2008; </w:t>
      </w:r>
      <w:r w:rsidRPr="001A647C">
        <w:rPr>
          <w:i/>
        </w:rPr>
        <w:t>Kovilakam et al.</w:t>
      </w:r>
      <w:r>
        <w:t>, 2015)</w:t>
      </w:r>
      <w:r w:rsidR="00F2134D">
        <w:t xml:space="preserve"> on many flights </w:t>
      </w:r>
      <w:r w:rsidR="00F2134D">
        <w:lastRenderedPageBreak/>
        <w:t>since that time</w:t>
      </w:r>
      <w:r>
        <w:t xml:space="preserve">. </w:t>
      </w:r>
      <w:r w:rsidR="00F2134D">
        <w:t>Similarly</w:t>
      </w:r>
      <w:r>
        <w:t>, aircrafts have been used to carry n</w:t>
      </w:r>
      <w:r w:rsidRPr="00136038">
        <w:t xml:space="preserve">ephelometers </w:t>
      </w:r>
      <w:r>
        <w:t>to acquire detailed in-situ measurements (</w:t>
      </w:r>
      <w:r w:rsidRPr="00AA52AA">
        <w:rPr>
          <w:i/>
        </w:rPr>
        <w:t>Beuttell and Brewer</w:t>
      </w:r>
      <w:r>
        <w:t>,</w:t>
      </w:r>
      <w:r w:rsidRPr="00471DF1">
        <w:t xml:space="preserve"> 1949</w:t>
      </w:r>
      <w:r>
        <w:t xml:space="preserve">; </w:t>
      </w:r>
      <w:r w:rsidRPr="00AA52AA">
        <w:rPr>
          <w:i/>
        </w:rPr>
        <w:t>Charlson et al.</w:t>
      </w:r>
      <w:r w:rsidRPr="000F4543">
        <w:t xml:space="preserve">, </w:t>
      </w:r>
      <w:r w:rsidRPr="008828D0">
        <w:t>1969)</w:t>
      </w:r>
      <w:r>
        <w:t xml:space="preserve"> including plume composition (</w:t>
      </w:r>
      <w:r w:rsidRPr="005E7C80">
        <w:rPr>
          <w:i/>
        </w:rPr>
        <w:t>Murphy et al.</w:t>
      </w:r>
      <w:r>
        <w:t xml:space="preserve">, 2014) but are limited spatially to the aircraft track. </w:t>
      </w:r>
    </w:p>
    <w:p w14:paraId="3A993910" w14:textId="77777777" w:rsidR="001412EB" w:rsidRDefault="001412EB" w:rsidP="003D416A">
      <w:pPr>
        <w:pStyle w:val="Heading2"/>
      </w:pPr>
      <w:bookmarkStart w:id="24" w:name="_Toc452973715"/>
      <w:bookmarkStart w:id="25" w:name="_Toc456356940"/>
      <w:r>
        <w:t>2.3.2 Occultation</w:t>
      </w:r>
      <w:bookmarkEnd w:id="24"/>
      <w:bookmarkEnd w:id="25"/>
    </w:p>
    <w:p w14:paraId="232EF0C2" w14:textId="4B3BEDFB" w:rsidR="001412EB" w:rsidRDefault="001412EB" w:rsidP="004263FA">
      <w:pPr>
        <w:pStyle w:val="BodyText"/>
        <w:jc w:val="both"/>
      </w:pPr>
      <w:r w:rsidRPr="00E46E53">
        <w:t xml:space="preserve">Satellite instrumentation capable of </w:t>
      </w:r>
      <w:r>
        <w:t>measuring</w:t>
      </w:r>
      <w:r w:rsidRPr="00E46E53">
        <w:t xml:space="preserve"> stratospheric aerosol</w:t>
      </w:r>
      <w:r>
        <w:t xml:space="preserve"> has been in use since the 1970</w:t>
      </w:r>
      <w:r w:rsidRPr="00E46E53">
        <w:t>s, beginning with limb sounding solar occultation measurements</w:t>
      </w:r>
      <w:r w:rsidR="00F2134D">
        <w:t xml:space="preserve">. </w:t>
      </w:r>
      <w:r>
        <w:t xml:space="preserve"> </w:t>
      </w:r>
      <w:r w:rsidR="00F2134D">
        <w:t>The viewing geometry of this technique is shown</w:t>
      </w:r>
      <w:r>
        <w:t xml:space="preserve"> in </w:t>
      </w:r>
      <w:r w:rsidRPr="002D64DC">
        <w:fldChar w:fldCharType="begin"/>
      </w:r>
      <w:r w:rsidRPr="002D64DC">
        <w:instrText xml:space="preserve"> REF _Ref433365111 \h  \* MERGEFORMAT </w:instrText>
      </w:r>
      <w:r w:rsidRPr="002D64DC">
        <w:fldChar w:fldCharType="separate"/>
      </w:r>
      <w:r w:rsidR="002A0B9C" w:rsidRPr="002A0B9C">
        <w:rPr>
          <w:szCs w:val="24"/>
        </w:rPr>
        <w:t>Figure 2-3</w:t>
      </w:r>
      <w:r w:rsidRPr="002D64DC">
        <w:fldChar w:fldCharType="end"/>
      </w:r>
      <w:r w:rsidRPr="00E46E53">
        <w:t xml:space="preserve">.  </w:t>
      </w:r>
      <w:r>
        <w:t>S</w:t>
      </w:r>
      <w:r w:rsidRPr="00E46E53">
        <w:t xml:space="preserve">olar occultation measurements have provided a reliable, accurate and essentially continuous long term record of vertically resolved aerosol extinction coefficient measurements, mostly from the series of Stratospheric Aerosol and Gas Experiment (SAGE) instruments </w:t>
      </w:r>
      <w:r>
        <w:t>including SAGE I in 1979, SAGE II in 1984, and SAGE III in 2001</w:t>
      </w:r>
      <w:r w:rsidRPr="00E46E53">
        <w:t xml:space="preserve"> (</w:t>
      </w:r>
      <w:r w:rsidRPr="00E46E53">
        <w:rPr>
          <w:i/>
        </w:rPr>
        <w:t>Russell and McCormick</w:t>
      </w:r>
      <w:r w:rsidRPr="00E46E53">
        <w:t xml:space="preserve">, 1989; </w:t>
      </w:r>
      <w:r w:rsidRPr="00E46E53">
        <w:rPr>
          <w:i/>
        </w:rPr>
        <w:t>Thomason and Taha</w:t>
      </w:r>
      <w:r w:rsidRPr="00E46E53">
        <w:t>, 2003). These SAGE measurements, which have a vertica</w:t>
      </w:r>
      <w:r>
        <w:t>l resolution of approximately 1 </w:t>
      </w:r>
      <w:r w:rsidRPr="00E46E53">
        <w:t>km, have gene</w:t>
      </w:r>
      <w:r>
        <w:t>rally compared well with ground-</w:t>
      </w:r>
      <w:r w:rsidRPr="00E46E53">
        <w:t>based and in-situ measurements, although there</w:t>
      </w:r>
      <w:r>
        <w:t xml:space="preserve"> are challenges associated with determining microphysical parameters and comparison between instruments can be</w:t>
      </w:r>
      <w:r>
        <w:rPr>
          <w:rFonts w:ascii="Segoe UI Symbol" w:hAnsi="Segoe UI Symbol" w:cs="Segoe UI Symbol"/>
        </w:rPr>
        <w:t xml:space="preserve"> </w:t>
      </w:r>
      <w:r>
        <w:t>challenging</w:t>
      </w:r>
      <w:r w:rsidRPr="00E46E53">
        <w:t xml:space="preserve"> (</w:t>
      </w:r>
      <w:r w:rsidRPr="00E46E53">
        <w:rPr>
          <w:i/>
        </w:rPr>
        <w:t>Russell and McCormick</w:t>
      </w:r>
      <w:r w:rsidRPr="00E46E53">
        <w:t xml:space="preserve">, 1989; </w:t>
      </w:r>
      <w:r w:rsidRPr="00E46E53">
        <w:rPr>
          <w:i/>
        </w:rPr>
        <w:t>Kovilakam et al.</w:t>
      </w:r>
      <w:r w:rsidRPr="00E46E53">
        <w:t>, 2015). However, solar occultation is generally a robust and stable technique as it directly measures atmospheric optical depth, along with the exo-atmospheric solar spectrum with e</w:t>
      </w:r>
      <w:r>
        <w:t>ach scan, allowing for straight</w:t>
      </w:r>
      <w:r w:rsidRPr="00E46E53">
        <w:t>forward retrieval of aerosol extinction coefficient</w:t>
      </w:r>
      <w:r>
        <w:t>s</w:t>
      </w:r>
      <w:r w:rsidRPr="00E46E53">
        <w:t xml:space="preserve"> (</w:t>
      </w:r>
      <w:r w:rsidRPr="00E46E53">
        <w:rPr>
          <w:i/>
        </w:rPr>
        <w:t>Damadeo et al</w:t>
      </w:r>
      <w:r w:rsidRPr="00E46E53">
        <w:t xml:space="preserve">, 2013). </w:t>
      </w:r>
      <w:r>
        <w:t>The major drawback to occultation instruments is that a sunrise or sunset event is required to perform a measurement limiting is the number of scans per day to 16-48 measurements depending on the orbit.</w:t>
      </w:r>
    </w:p>
    <w:p w14:paraId="5AD70310" w14:textId="77777777" w:rsidR="001412EB" w:rsidRDefault="001412EB" w:rsidP="00BB5BF9">
      <w:pPr>
        <w:pStyle w:val="BodyText"/>
        <w:keepNext/>
        <w:ind w:firstLine="0"/>
        <w:jc w:val="center"/>
      </w:pPr>
      <w:r>
        <w:rPr>
          <w:noProof/>
          <w:lang w:val="en-US"/>
        </w:rPr>
        <w:lastRenderedPageBreak/>
        <w:drawing>
          <wp:inline distT="0" distB="0" distL="0" distR="0" wp14:anchorId="7C5055DF" wp14:editId="30FB4FA9">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0">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14:paraId="059D6CAF" w14:textId="77777777" w:rsidR="001412EB" w:rsidRDefault="001412EB" w:rsidP="00D62BA2">
      <w:pPr>
        <w:jc w:val="both"/>
        <w:rPr>
          <w:sz w:val="24"/>
          <w:szCs w:val="24"/>
        </w:rPr>
      </w:pPr>
      <w:bookmarkStart w:id="26" w:name="_Ref433365111"/>
      <w:bookmarkStart w:id="27" w:name="_Toc435878543"/>
      <w:bookmarkStart w:id="28" w:name="_Toc452973850"/>
      <w:bookmarkStart w:id="29" w:name="_Toc456357166"/>
      <w:r w:rsidRPr="00D15330">
        <w:rPr>
          <w:b/>
          <w:sz w:val="24"/>
          <w:szCs w:val="24"/>
        </w:rPr>
        <w:t xml:space="preserve">Figure </w:t>
      </w:r>
      <w:r w:rsidRPr="00DB2FD3">
        <w:rPr>
          <w:b/>
          <w:sz w:val="24"/>
          <w:szCs w:val="24"/>
        </w:rPr>
        <w:t>2-</w:t>
      </w:r>
      <w:r w:rsidRPr="008F7035">
        <w:rPr>
          <w:b/>
          <w:sz w:val="24"/>
          <w:szCs w:val="24"/>
        </w:rPr>
        <w:fldChar w:fldCharType="begin"/>
      </w:r>
      <w:r w:rsidRPr="008F7035">
        <w:rPr>
          <w:b/>
          <w:sz w:val="24"/>
          <w:szCs w:val="24"/>
        </w:rPr>
        <w:instrText xml:space="preserve"> SEQ Figure \* ARABIC </w:instrText>
      </w:r>
      <w:r w:rsidRPr="008F7035">
        <w:rPr>
          <w:b/>
          <w:sz w:val="24"/>
          <w:szCs w:val="24"/>
        </w:rPr>
        <w:fldChar w:fldCharType="separate"/>
      </w:r>
      <w:r>
        <w:rPr>
          <w:b/>
          <w:noProof/>
          <w:szCs w:val="24"/>
        </w:rPr>
        <w:t>3</w:t>
      </w:r>
      <w:r w:rsidRPr="008F7035">
        <w:rPr>
          <w:b/>
          <w:sz w:val="24"/>
          <w:szCs w:val="24"/>
        </w:rPr>
        <w:fldChar w:fldCharType="end"/>
      </w:r>
      <w:bookmarkEnd w:id="26"/>
      <w:r w:rsidRPr="00D15330">
        <w:rPr>
          <w:sz w:val="24"/>
          <w:szCs w:val="24"/>
        </w:rPr>
        <w:t>: An</w:t>
      </w:r>
      <w:r w:rsidRPr="009A0793">
        <w:rPr>
          <w:sz w:val="24"/>
          <w:szCs w:val="24"/>
        </w:rPr>
        <w:t xml:space="preserve"> occultation instrument monitoring the atmosphere by scanning the atmosphere by looking directly at the sun.</w:t>
      </w:r>
      <w:bookmarkEnd w:id="27"/>
      <w:bookmarkEnd w:id="28"/>
      <w:bookmarkEnd w:id="29"/>
    </w:p>
    <w:p w14:paraId="035F3052" w14:textId="77777777" w:rsidR="001412EB" w:rsidRPr="00BB5BF9" w:rsidRDefault="001412EB" w:rsidP="00BB5BF9">
      <w:pPr>
        <w:jc w:val="center"/>
        <w:rPr>
          <w:sz w:val="24"/>
          <w:szCs w:val="24"/>
        </w:rPr>
      </w:pPr>
    </w:p>
    <w:p w14:paraId="75CD7CD9" w14:textId="6D3FAC24" w:rsidR="001412EB" w:rsidRPr="00BB5BF9" w:rsidRDefault="001412EB" w:rsidP="00BB5BF9">
      <w:pPr>
        <w:pStyle w:val="BodyText"/>
        <w:jc w:val="both"/>
      </w:pPr>
      <w:r>
        <w:t>The series</w:t>
      </w:r>
      <w:r w:rsidR="002A0B9C">
        <w:t xml:space="preserve"> of</w:t>
      </w:r>
      <w:r>
        <w:t xml:space="preserve"> SAGE missions came to an end in 2006 with the failure of SAGE III</w:t>
      </w:r>
      <w:r w:rsidR="00F2134D">
        <w:t>.</w:t>
      </w:r>
      <w:r>
        <w:t xml:space="preserve"> </w:t>
      </w:r>
      <w:r w:rsidR="00F2134D">
        <w:t>T</w:t>
      </w:r>
      <w:r>
        <w:t xml:space="preserve">he occultation measurements from the </w:t>
      </w:r>
      <w:r w:rsidRPr="00E46E53">
        <w:t>currently operational MAESTRO and ACE-Imager instruments on SciSat (</w:t>
      </w:r>
      <w:r w:rsidRPr="00E46E53">
        <w:rPr>
          <w:i/>
        </w:rPr>
        <w:t>McElroy et al.</w:t>
      </w:r>
      <w:r w:rsidRPr="00E46E53">
        <w:t xml:space="preserve">, 2007; </w:t>
      </w:r>
      <w:r w:rsidRPr="00E46E53">
        <w:rPr>
          <w:i/>
        </w:rPr>
        <w:t>Gilbert et al.</w:t>
      </w:r>
      <w:r w:rsidRPr="00E46E53">
        <w:t>, 2007) have had some success producing stratospheric aerosol extinction products (</w:t>
      </w:r>
      <w:r w:rsidRPr="009A0793">
        <w:rPr>
          <w:i/>
        </w:rPr>
        <w:t>Vanhellemont et al.</w:t>
      </w:r>
      <w:r w:rsidRPr="00E46E53">
        <w:t xml:space="preserve">, 2008; </w:t>
      </w:r>
      <w:r w:rsidRPr="009A0793">
        <w:rPr>
          <w:i/>
        </w:rPr>
        <w:t>Sioris et al.</w:t>
      </w:r>
      <w:r w:rsidRPr="00E46E53">
        <w:t>, 2010</w:t>
      </w:r>
      <w:r>
        <w:t>).  Furthermore</w:t>
      </w:r>
      <w:r w:rsidRPr="00E46E53">
        <w:t>, a manifestation of SAGE III is planned for deployment on the International Space Station in 2016 (</w:t>
      </w:r>
      <w:r w:rsidRPr="009A0793">
        <w:rPr>
          <w:i/>
        </w:rPr>
        <w:t>Cisewski et al.</w:t>
      </w:r>
      <w:r w:rsidRPr="00E46E53">
        <w:t>, 2014)</w:t>
      </w:r>
      <w:r>
        <w:t xml:space="preserve"> to continue the </w:t>
      </w:r>
      <w:r w:rsidR="00F2134D">
        <w:t xml:space="preserve">valuable </w:t>
      </w:r>
      <w:r>
        <w:t>occultation</w:t>
      </w:r>
      <w:r w:rsidR="00F2134D">
        <w:t>-based</w:t>
      </w:r>
      <w:r>
        <w:t xml:space="preserve"> aerosol record</w:t>
      </w:r>
      <w:r w:rsidRPr="00E46E53">
        <w:t>.</w:t>
      </w:r>
    </w:p>
    <w:p w14:paraId="673B8079" w14:textId="77777777" w:rsidR="001412EB" w:rsidRDefault="001412EB" w:rsidP="003D416A">
      <w:pPr>
        <w:pStyle w:val="Heading2"/>
      </w:pPr>
      <w:bookmarkStart w:id="30" w:name="_Toc452973716"/>
      <w:bookmarkStart w:id="31" w:name="_Toc456356941"/>
      <w:r>
        <w:t>2.3.3 Lidar</w:t>
      </w:r>
      <w:bookmarkEnd w:id="30"/>
      <w:bookmarkEnd w:id="31"/>
    </w:p>
    <w:p w14:paraId="70BC94AB" w14:textId="2C631B51" w:rsidR="001412EB" w:rsidRPr="00935A8D" w:rsidRDefault="001412EB" w:rsidP="00990771">
      <w:pPr>
        <w:pStyle w:val="BodyText"/>
        <w:jc w:val="both"/>
      </w:pPr>
      <w:r>
        <w:t xml:space="preserve">A method known as lidar can determine atmospheric parameters through the pulsing of a laser and </w:t>
      </w:r>
      <w:r w:rsidR="00F2134D">
        <w:t xml:space="preserve">the subsequent </w:t>
      </w:r>
      <w:r>
        <w:t>measur</w:t>
      </w:r>
      <w:r w:rsidR="00F2134D">
        <w:t>ement</w:t>
      </w:r>
      <w:r>
        <w:t xml:space="preserve"> of the intensity of the backscattered light at different wavelengths and polarizations. Lidar has been used at ground based facilities to measure aerosol layers dating back to the 1960s (</w:t>
      </w:r>
      <w:r w:rsidRPr="009D4D5E">
        <w:rPr>
          <w:i/>
        </w:rPr>
        <w:t>Fiocco and Grams</w:t>
      </w:r>
      <w:r>
        <w:t xml:space="preserve">, 1964) and are still used today.  More recently lidar instruments have been used on satellite missions including the Ice, Cloud, and land Elevation </w:t>
      </w:r>
      <w:r>
        <w:lastRenderedPageBreak/>
        <w:t>Satellite (ICESat) from 2002 to 2010 (</w:t>
      </w:r>
      <w:r w:rsidRPr="009D4D5E">
        <w:rPr>
          <w:i/>
        </w:rPr>
        <w:t>Schutz et al.</w:t>
      </w:r>
      <w:r>
        <w:t>, 2005) and Cloud-Aerosol Lidar and Infrared Pathfinder Satellite Observations (CALIPSO) which launched in 2006 (</w:t>
      </w:r>
      <w:r w:rsidRPr="009D4D5E">
        <w:rPr>
          <w:i/>
        </w:rPr>
        <w:t>Winker et al.</w:t>
      </w:r>
      <w:r>
        <w:t>, 2007). More recently Cloud Aerosol Transport System (CATS) (</w:t>
      </w:r>
      <w:r w:rsidRPr="005E1011">
        <w:rPr>
          <w:i/>
        </w:rPr>
        <w:t>Chuang et al.</w:t>
      </w:r>
      <w:r>
        <w:t>, 2013) has been mounted on the international space station in 2015 with a three year planned mission.  Traditional</w:t>
      </w:r>
      <w:r w:rsidR="00F2134D">
        <w:t>ly</w:t>
      </w:r>
      <w:r>
        <w:t xml:space="preserve"> lidar instrument </w:t>
      </w:r>
      <w:r w:rsidR="00F2134D">
        <w:t xml:space="preserve">observed in </w:t>
      </w:r>
      <w:r>
        <w:t>the nadir</w:t>
      </w:r>
      <w:r w:rsidR="00F2134D">
        <w:t xml:space="preserve"> or zenith</w:t>
      </w:r>
      <w:r>
        <w:t xml:space="preserve"> direction</w:t>
      </w:r>
      <w:r w:rsidR="00F2134D">
        <w:t>s</w:t>
      </w:r>
      <w:r>
        <w:t xml:space="preserve"> (</w:t>
      </w:r>
      <w:r w:rsidR="00F2134D" w:rsidRPr="00FD1E67">
        <w:rPr>
          <w:i/>
        </w:rPr>
        <w:t>i.e</w:t>
      </w:r>
      <w:r w:rsidR="00F2134D">
        <w:t xml:space="preserve">. </w:t>
      </w:r>
      <w:r>
        <w:t>straight down or up)</w:t>
      </w:r>
      <w:r w:rsidR="00F2134D">
        <w:t>;</w:t>
      </w:r>
      <w:r>
        <w:t xml:space="preserve"> however</w:t>
      </w:r>
      <w:r w:rsidR="00F2134D">
        <w:t>,</w:t>
      </w:r>
      <w:r>
        <w:t xml:space="preserve"> some instruments </w:t>
      </w:r>
      <w:r w:rsidR="00F2134D">
        <w:t>are mounted</w:t>
      </w:r>
      <w:r>
        <w:t xml:space="preserve"> slightly off-nadir</w:t>
      </w:r>
      <w:r w:rsidR="00F2134D">
        <w:t>.</w:t>
      </w:r>
      <w:r>
        <w:t xml:space="preserve"> </w:t>
      </w:r>
      <w:r w:rsidR="00F2134D">
        <w:t>B</w:t>
      </w:r>
      <w:r>
        <w:t>oth</w:t>
      </w:r>
      <w:r w:rsidR="00F2134D">
        <w:t xml:space="preserve"> orientations are shown </w:t>
      </w:r>
      <w:r>
        <w:t xml:space="preserve">in </w:t>
      </w:r>
      <w:r w:rsidRPr="001F785B">
        <w:fldChar w:fldCharType="begin"/>
      </w:r>
      <w:r w:rsidRPr="001F785B">
        <w:instrText xml:space="preserve"> REF _Ref433639889 \h  \* MERGEFORMAT </w:instrText>
      </w:r>
      <w:r w:rsidRPr="001F785B">
        <w:fldChar w:fldCharType="separate"/>
      </w:r>
      <w:r w:rsidR="00970B64" w:rsidRPr="00DB2FD3">
        <w:rPr>
          <w:szCs w:val="24"/>
        </w:rPr>
        <w:t>Figure 2-</w:t>
      </w:r>
      <w:r w:rsidR="00970B64">
        <w:rPr>
          <w:szCs w:val="24"/>
        </w:rPr>
        <w:t>4</w:t>
      </w:r>
      <w:r w:rsidRPr="001F785B">
        <w:fldChar w:fldCharType="end"/>
      </w:r>
      <w:r>
        <w:t xml:space="preserve"> for a space based geometry. Lidar measurements have been used to </w:t>
      </w:r>
      <w:r w:rsidR="003B032F">
        <w:t>make highly spatially resolved measurements of aerosol plumes from volcanic eruptions</w:t>
      </w:r>
      <w:r>
        <w:t xml:space="preserve"> (</w:t>
      </w:r>
      <w:r w:rsidRPr="001A647C">
        <w:rPr>
          <w:i/>
        </w:rPr>
        <w:t>Chazette et al.</w:t>
      </w:r>
      <w:r>
        <w:t xml:space="preserve">, 1995; </w:t>
      </w:r>
      <w:r w:rsidRPr="001A647C">
        <w:rPr>
          <w:i/>
        </w:rPr>
        <w:t>Sawamura et al.</w:t>
      </w:r>
      <w:r>
        <w:t xml:space="preserve">, 2012) </w:t>
      </w:r>
      <w:r w:rsidR="003B032F">
        <w:t>as well as monitoring</w:t>
      </w:r>
      <w:r>
        <w:t xml:space="preserve"> long term trends (</w:t>
      </w:r>
      <w:r w:rsidRPr="001A647C">
        <w:rPr>
          <w:i/>
        </w:rPr>
        <w:t>Hofmann et al.</w:t>
      </w:r>
      <w:r>
        <w:t>, 2009).</w:t>
      </w:r>
    </w:p>
    <w:p w14:paraId="0DA067D9" w14:textId="71FB46D4" w:rsidR="001412EB" w:rsidRDefault="006E1ABF" w:rsidP="00935A8D">
      <w:pPr>
        <w:pStyle w:val="BodyText"/>
        <w:jc w:val="both"/>
      </w:pPr>
      <w:r>
        <w:t xml:space="preserve">One of the most notable lidar instruments for stratospheric aerosol measurements is </w:t>
      </w:r>
      <w:r w:rsidR="001412EB">
        <w:t>CALIPSO</w:t>
      </w:r>
      <w:r>
        <w:t>, which</w:t>
      </w:r>
      <w:r w:rsidR="001412EB">
        <w:t xml:space="preserve"> is joint mission developed between the National Aeronautics and Space Administration (NASA) and the Centre National d'Etudes Spatiales (CNES) of the United States and France respectively. It uses a two wavelength polarized lidar system to achieve high resolution aerosol and cloud retrievals along the satellite's orbital track with global coverage from 82</w:t>
      </w:r>
      <w:r w:rsidR="001412EB">
        <w:rPr>
          <w:vertAlign w:val="superscript"/>
        </w:rPr>
        <w:t>◦</w:t>
      </w:r>
      <w:r w:rsidR="001412EB">
        <w:t>S to 82</w:t>
      </w:r>
      <w:r w:rsidR="001412EB">
        <w:rPr>
          <w:vertAlign w:val="superscript"/>
        </w:rPr>
        <w:t>◦</w:t>
      </w:r>
      <w:r w:rsidR="001412EB">
        <w:t>N (</w:t>
      </w:r>
      <w:r w:rsidR="001412EB" w:rsidRPr="00935A8D">
        <w:rPr>
          <w:i/>
        </w:rPr>
        <w:t>Young and Vaughan</w:t>
      </w:r>
      <w:r w:rsidR="001412EB">
        <w:t xml:space="preserve">, 2009). CALIPSO nominally </w:t>
      </w:r>
      <w:r w:rsidR="001412EB" w:rsidRPr="00222E24">
        <w:t xml:space="preserve">measures </w:t>
      </w:r>
      <w:r w:rsidR="001412EB">
        <w:t xml:space="preserve">backscatter profiles approximately every 300 m along track with approximately </w:t>
      </w:r>
      <w:r w:rsidR="001412EB" w:rsidRPr="00935A8D">
        <w:t>200</w:t>
      </w:r>
      <w:r w:rsidR="001412EB">
        <w:t> </w:t>
      </w:r>
      <w:r w:rsidR="001412EB" w:rsidRPr="00935A8D">
        <w:t>m</w:t>
      </w:r>
      <w:r w:rsidR="001412EB">
        <w:t xml:space="preserve"> vertical resolution</w:t>
      </w:r>
      <w:r w:rsidR="001412EB" w:rsidRPr="00222E24">
        <w:t xml:space="preserve">. </w:t>
      </w:r>
      <w:r w:rsidR="001412EB">
        <w:t xml:space="preserve"> However, the stratospheric backscatter signal is weak and requires averaging of only the night time measurements over several days</w:t>
      </w:r>
      <w:r>
        <w:t>,</w:t>
      </w:r>
      <w:r w:rsidR="001412EB">
        <w:t xml:space="preserve"> typically yielding resolutions of 0.5 km vertically and 500 km horizontally (</w:t>
      </w:r>
      <w:r w:rsidR="001412EB" w:rsidRPr="00935A8D">
        <w:rPr>
          <w:i/>
        </w:rPr>
        <w:t>Vernier et al</w:t>
      </w:r>
      <w:r w:rsidR="001412EB">
        <w:t>, 2011b</w:t>
      </w:r>
      <w:r w:rsidR="001412EB" w:rsidRPr="00222E24">
        <w:t>)</w:t>
      </w:r>
      <w:r w:rsidR="001412EB">
        <w:t>.  Additionally, the uncertainty in the calibration with respect to the molecular background is on the order of the stratospheric aerosol signal and leads to a potential bias in the stratospheric measurements (</w:t>
      </w:r>
      <w:r w:rsidR="001412EB" w:rsidRPr="00935A8D">
        <w:rPr>
          <w:i/>
        </w:rPr>
        <w:t>Rogers et al.</w:t>
      </w:r>
      <w:r w:rsidR="001412EB">
        <w:t xml:space="preserve">, 2011).  CALIPSO was launched in 2006 and although it is presently still operational, it is operating beyond its design lifetime. </w:t>
      </w:r>
    </w:p>
    <w:p w14:paraId="5DBCAFE5" w14:textId="77777777" w:rsidR="001412EB" w:rsidRDefault="001412EB" w:rsidP="005E1011">
      <w:pPr>
        <w:pStyle w:val="BodyText"/>
        <w:keepNext/>
        <w:ind w:firstLine="0"/>
        <w:jc w:val="both"/>
      </w:pPr>
      <w:r>
        <w:rPr>
          <w:noProof/>
          <w:lang w:val="en-US"/>
        </w:rPr>
        <w:lastRenderedPageBreak/>
        <w:drawing>
          <wp:inline distT="0" distB="0" distL="0" distR="0" wp14:anchorId="342BE5C7" wp14:editId="131AE5E7">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14:paraId="2AB4C9A5" w14:textId="6AC77401" w:rsidR="001412EB" w:rsidRDefault="001412EB" w:rsidP="00D62BA2">
      <w:pPr>
        <w:pStyle w:val="Caption"/>
        <w:spacing w:before="0" w:after="0"/>
        <w:jc w:val="both"/>
        <w:rPr>
          <w:b w:val="0"/>
          <w:szCs w:val="24"/>
        </w:rPr>
      </w:pPr>
      <w:bookmarkStart w:id="32" w:name="_Ref433639889"/>
      <w:bookmarkStart w:id="33" w:name="_Toc435878544"/>
      <w:bookmarkStart w:id="34" w:name="_Toc452973851"/>
      <w:bookmarkStart w:id="35" w:name="_Toc456357167"/>
      <w:r w:rsidRPr="00DB2FD3">
        <w:rPr>
          <w:szCs w:val="24"/>
        </w:rPr>
        <w:t>Figure 2-</w:t>
      </w:r>
      <w:r w:rsidRPr="00DB2FD3">
        <w:rPr>
          <w:szCs w:val="24"/>
        </w:rPr>
        <w:fldChar w:fldCharType="begin"/>
      </w:r>
      <w:r w:rsidRPr="00DB2FD3">
        <w:rPr>
          <w:szCs w:val="24"/>
        </w:rPr>
        <w:instrText xml:space="preserve"> SEQ Figure \* ARABIC </w:instrText>
      </w:r>
      <w:r w:rsidRPr="00DB2FD3">
        <w:rPr>
          <w:szCs w:val="24"/>
        </w:rPr>
        <w:fldChar w:fldCharType="separate"/>
      </w:r>
      <w:r>
        <w:rPr>
          <w:noProof/>
          <w:szCs w:val="24"/>
        </w:rPr>
        <w:t>4</w:t>
      </w:r>
      <w:r w:rsidRPr="00DB2FD3">
        <w:rPr>
          <w:szCs w:val="24"/>
        </w:rPr>
        <w:fldChar w:fldCharType="end"/>
      </w:r>
      <w:bookmarkEnd w:id="32"/>
      <w:r w:rsidRPr="002C5226">
        <w:rPr>
          <w:b w:val="0"/>
          <w:szCs w:val="24"/>
        </w:rPr>
        <w:t>:</w:t>
      </w:r>
      <w:r w:rsidRPr="00F515A1">
        <w:rPr>
          <w:b w:val="0"/>
          <w:szCs w:val="24"/>
        </w:rPr>
        <w:t xml:space="preserve"> </w:t>
      </w:r>
      <w:r w:rsidRPr="00935A8D">
        <w:rPr>
          <w:b w:val="0"/>
          <w:szCs w:val="24"/>
        </w:rPr>
        <w:t>L</w:t>
      </w:r>
      <w:r>
        <w:rPr>
          <w:b w:val="0"/>
          <w:szCs w:val="24"/>
        </w:rPr>
        <w:t>idar</w:t>
      </w:r>
      <w:r w:rsidRPr="00935A8D">
        <w:rPr>
          <w:b w:val="0"/>
          <w:szCs w:val="24"/>
        </w:rPr>
        <w:t xml:space="preserve"> instrument showing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33"/>
      <w:bookmarkEnd w:id="34"/>
      <w:bookmarkEnd w:id="35"/>
    </w:p>
    <w:p w14:paraId="74A89688" w14:textId="77777777" w:rsidR="001412EB" w:rsidRPr="005E1011" w:rsidRDefault="001412EB" w:rsidP="005E1011"/>
    <w:p w14:paraId="02A3C636" w14:textId="77777777" w:rsidR="001412EB" w:rsidRDefault="001412EB" w:rsidP="003D416A">
      <w:pPr>
        <w:pStyle w:val="Heading2"/>
      </w:pPr>
      <w:bookmarkStart w:id="36" w:name="_Toc452973717"/>
      <w:bookmarkStart w:id="37" w:name="_Toc456356942"/>
      <w:r>
        <w:t>2.3.4 Limb Scatter</w:t>
      </w:r>
      <w:bookmarkEnd w:id="36"/>
      <w:bookmarkEnd w:id="37"/>
    </w:p>
    <w:p w14:paraId="5FF7C12F" w14:textId="00BA46AC" w:rsidR="001412EB" w:rsidRDefault="001412EB" w:rsidP="00954FF1">
      <w:pPr>
        <w:pStyle w:val="BodyText"/>
        <w:jc w:val="both"/>
      </w:pPr>
      <w:r>
        <w:t xml:space="preserve">The limb scatter technique </w:t>
      </w:r>
      <w:r w:rsidR="00682230">
        <w:t xml:space="preserve">has an observing geometry that is similar to occultation but </w:t>
      </w:r>
      <w:r>
        <w:t xml:space="preserve">measures </w:t>
      </w:r>
      <w:r w:rsidR="00682230">
        <w:t xml:space="preserve">sunlight </w:t>
      </w:r>
      <w:r>
        <w:t>light that is scattered into the line of sight of the instrument from atmospheric interactions</w:t>
      </w:r>
      <w:r w:rsidR="00682230">
        <w:t xml:space="preserve"> rather than directly observing the sun</w:t>
      </w:r>
      <w:r>
        <w:t>. These scattering interaction</w:t>
      </w:r>
      <w:r w:rsidR="00970B64">
        <w:t>s</w:t>
      </w:r>
      <w:r>
        <w:t xml:space="preserve"> can </w:t>
      </w:r>
      <w:r w:rsidR="00682230">
        <w:t>include both</w:t>
      </w:r>
      <w:r>
        <w:t xml:space="preserve"> single </w:t>
      </w:r>
      <w:r w:rsidR="00682230">
        <w:t>and multiple scattering</w:t>
      </w:r>
      <w:r>
        <w:t xml:space="preserve"> events. Single scatter</w:t>
      </w:r>
      <w:r w:rsidR="00682230">
        <w:t>ing occurs</w:t>
      </w:r>
      <w:r>
        <w:t xml:space="preserve"> when light from the sun interacts with a particle in the atmosphere and scatters it directly into the line of sight of the instrument. Multiple scatter is when the photon undergoes several scattering events before entering the line of sight</w:t>
      </w:r>
      <w:r w:rsidR="00682230">
        <w:t xml:space="preserve">. This can </w:t>
      </w:r>
      <w:r>
        <w:t>includ</w:t>
      </w:r>
      <w:r w:rsidR="00682230">
        <w:t>e</w:t>
      </w:r>
      <w:r>
        <w:t xml:space="preserve"> scattering </w:t>
      </w:r>
      <w:r w:rsidR="00682230">
        <w:t>from</w:t>
      </w:r>
      <w:r>
        <w:t xml:space="preserve"> multiple particles in the atmosphere </w:t>
      </w:r>
      <w:r w:rsidR="00682230">
        <w:t>and</w:t>
      </w:r>
      <w:r>
        <w:t xml:space="preserve"> scattering </w:t>
      </w:r>
      <w:r w:rsidR="00682230">
        <w:t xml:space="preserve">from </w:t>
      </w:r>
      <w:r>
        <w:t>the ground</w:t>
      </w:r>
      <w:r w:rsidR="00682230">
        <w:t xml:space="preserve"> surface</w:t>
      </w:r>
      <w:r>
        <w:t xml:space="preserve">. </w:t>
      </w:r>
      <w:r w:rsidR="00682230">
        <w:t>In general, t</w:t>
      </w:r>
      <w:r>
        <w:t xml:space="preserve">hese events can occur any number of times before entering the instrument. The geometry for the limb scatter technique </w:t>
      </w:r>
      <w:r w:rsidR="00682230">
        <w:t>is shown</w:t>
      </w:r>
      <w:r>
        <w:t xml:space="preserve"> in </w:t>
      </w:r>
      <w:r w:rsidRPr="001F785B">
        <w:fldChar w:fldCharType="begin"/>
      </w:r>
      <w:r w:rsidRPr="001F785B">
        <w:instrText xml:space="preserve"> REF _Ref434222559 \h  \* MERGEFORMAT </w:instrText>
      </w:r>
      <w:r w:rsidRPr="001F785B">
        <w:fldChar w:fldCharType="separate"/>
      </w:r>
      <w:r w:rsidR="00970B64" w:rsidRPr="003321F6">
        <w:rPr>
          <w:szCs w:val="24"/>
        </w:rPr>
        <w:t>Figure 2-</w:t>
      </w:r>
      <w:r w:rsidR="00970B64">
        <w:rPr>
          <w:szCs w:val="24"/>
        </w:rPr>
        <w:t>5</w:t>
      </w:r>
      <w:r w:rsidRPr="001F785B">
        <w:fldChar w:fldCharType="end"/>
      </w:r>
      <w:r>
        <w:t xml:space="preserve"> </w:t>
      </w:r>
      <w:r w:rsidR="00682230">
        <w:t>along with</w:t>
      </w:r>
      <w:r>
        <w:t xml:space="preserve"> the fundamental angles </w:t>
      </w:r>
      <w:r w:rsidR="00682230">
        <w:t>used to describe this condition</w:t>
      </w:r>
      <w:r>
        <w:t xml:space="preserve">. All angles are defined from the tangent point, which is the point where the distance between the line of sight and the surface of the earth is minimized, represented by the black dot. The Solar Zenith Angle (SZA) is the angle between the </w:t>
      </w:r>
      <w:r>
        <w:lastRenderedPageBreak/>
        <w:t>local vertical and the direction of the sun; the Solar Scattering Angle (SSA) is the defined to be the angle between the direction of the sun and the line of sight</w:t>
      </w:r>
      <w:r w:rsidR="00682230">
        <w:t>;</w:t>
      </w:r>
      <w:r>
        <w:t xml:space="preserve"> and the Solar Azimuth Angle (SAA) is the angle between the projection of the sun </w:t>
      </w:r>
      <w:r w:rsidR="00682230">
        <w:t xml:space="preserve">direction </w:t>
      </w:r>
      <w:r>
        <w:t>on</w:t>
      </w:r>
      <w:r w:rsidR="00682230">
        <w:t xml:space="preserve">to </w:t>
      </w:r>
      <w:r>
        <w:t xml:space="preserve">the </w:t>
      </w:r>
      <w:r w:rsidR="00682230">
        <w:t xml:space="preserve">horizontal </w:t>
      </w:r>
      <w:r>
        <w:t xml:space="preserve">plane </w:t>
      </w:r>
      <w:r w:rsidR="00682230">
        <w:t xml:space="preserve">at the tangent point </w:t>
      </w:r>
      <w:r>
        <w:t xml:space="preserve">and the line of sight. </w:t>
      </w:r>
    </w:p>
    <w:p w14:paraId="3EBB116D" w14:textId="77777777" w:rsidR="001412EB" w:rsidRDefault="001412EB" w:rsidP="00954FF1">
      <w:pPr>
        <w:pStyle w:val="BodyText"/>
        <w:keepNext/>
        <w:ind w:firstLine="0"/>
      </w:pPr>
      <w:r>
        <w:rPr>
          <w:noProof/>
          <w:lang w:val="en-US"/>
        </w:rPr>
        <w:drawing>
          <wp:inline distT="0" distB="0" distL="0" distR="0" wp14:anchorId="09F283E5" wp14:editId="37BAABC7">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14:paraId="29985BEA" w14:textId="77777777" w:rsidR="001412EB" w:rsidRDefault="001412EB" w:rsidP="00D62BA2">
      <w:pPr>
        <w:pStyle w:val="Caption"/>
        <w:spacing w:before="0" w:after="0"/>
        <w:jc w:val="both"/>
        <w:rPr>
          <w:b w:val="0"/>
          <w:szCs w:val="24"/>
        </w:rPr>
      </w:pPr>
      <w:bookmarkStart w:id="38" w:name="_Ref434222559"/>
      <w:bookmarkStart w:id="39" w:name="_Toc435878545"/>
      <w:bookmarkStart w:id="40" w:name="_Toc452973852"/>
      <w:bookmarkStart w:id="41" w:name="_Toc456357168"/>
      <w:r w:rsidRPr="003321F6">
        <w:rPr>
          <w:szCs w:val="24"/>
        </w:rPr>
        <w:t>Figure 2-</w:t>
      </w:r>
      <w:r w:rsidRPr="003321F6">
        <w:rPr>
          <w:szCs w:val="24"/>
        </w:rPr>
        <w:fldChar w:fldCharType="begin"/>
      </w:r>
      <w:r w:rsidRPr="003321F6">
        <w:rPr>
          <w:szCs w:val="24"/>
        </w:rPr>
        <w:instrText xml:space="preserve"> SEQ Figure \* ARABIC </w:instrText>
      </w:r>
      <w:r w:rsidRPr="003321F6">
        <w:rPr>
          <w:szCs w:val="24"/>
        </w:rPr>
        <w:fldChar w:fldCharType="separate"/>
      </w:r>
      <w:r>
        <w:rPr>
          <w:noProof/>
          <w:szCs w:val="24"/>
        </w:rPr>
        <w:t>5</w:t>
      </w:r>
      <w:r w:rsidRPr="003321F6">
        <w:rPr>
          <w:szCs w:val="24"/>
        </w:rPr>
        <w:fldChar w:fldCharType="end"/>
      </w:r>
      <w:bookmarkEnd w:id="38"/>
      <w:r w:rsidRPr="002C5226">
        <w:rPr>
          <w:b w:val="0"/>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39"/>
      <w:bookmarkEnd w:id="40"/>
      <w:bookmarkEnd w:id="41"/>
    </w:p>
    <w:p w14:paraId="550AE743" w14:textId="77777777" w:rsidR="001412EB" w:rsidRPr="00954FF1" w:rsidRDefault="001412EB" w:rsidP="00954FF1"/>
    <w:p w14:paraId="1E56EB94" w14:textId="50760249" w:rsidR="001412EB" w:rsidRDefault="001412EB" w:rsidP="00954FF1">
      <w:pPr>
        <w:pStyle w:val="BodyText"/>
        <w:jc w:val="both"/>
      </w:pPr>
      <w:r>
        <w:t>The limb scatter method yields relatively good vertical resolution</w:t>
      </w:r>
      <w:r w:rsidR="00586FF7">
        <w:t>, comparable to occultation,</w:t>
      </w:r>
      <w:r>
        <w:t xml:space="preserve"> and allows for measurements to be taken during any daylight period</w:t>
      </w:r>
      <w:r w:rsidR="00586FF7">
        <w:t>;</w:t>
      </w:r>
      <w:r>
        <w:t xml:space="preserve"> however</w:t>
      </w:r>
      <w:r w:rsidR="00586FF7">
        <w:t>,</w:t>
      </w:r>
      <w:r>
        <w:t xml:space="preserve"> it requires the use of a complex forward model to calculate the scattering events along with </w:t>
      </w:r>
      <w:r w:rsidR="00586FF7">
        <w:t xml:space="preserve">typically </w:t>
      </w:r>
      <w:r>
        <w:t xml:space="preserve">some </w:t>
      </w:r>
      <w:r w:rsidRPr="00586FF7">
        <w:rPr>
          <w:i/>
        </w:rPr>
        <w:t>a priori</w:t>
      </w:r>
      <w:r>
        <w:t xml:space="preserve"> knowledge of the aerosol scattering cross section in order to retrieve the extinction coefficient profile. The model needs to accurately determine the effect of multiple scatter</w:t>
      </w:r>
      <w:r w:rsidR="00586FF7">
        <w:t>ing</w:t>
      </w:r>
      <w:r>
        <w:t xml:space="preserve"> since it consists of 10-50% of the measured signal depending of the specific geometry and wavelength (</w:t>
      </w:r>
      <w:r w:rsidRPr="00745CB4">
        <w:rPr>
          <w:i/>
        </w:rPr>
        <w:t>Oikarinen et al.</w:t>
      </w:r>
      <w:r>
        <w:t xml:space="preserve">, 1999). Furthermore, due to the complex nature of the problem; a large amount of computational time and memory is required for an accurate calculation. </w:t>
      </w:r>
    </w:p>
    <w:p w14:paraId="0798585F" w14:textId="238885C0" w:rsidR="001412EB" w:rsidRPr="00745CB4" w:rsidRDefault="001412EB"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 including </w:t>
      </w:r>
      <w:r>
        <w:lastRenderedPageBreak/>
        <w:t>the Optical Spectrograph and InfraRed Imaging System (OSIRIS) launched on the Odin satellite in 2001 (</w:t>
      </w:r>
      <w:r w:rsidRPr="001B2F70">
        <w:rPr>
          <w:i/>
        </w:rPr>
        <w:t>Llewellyn et al.</w:t>
      </w:r>
      <w:r>
        <w:t>, 2004) and the SCanning Imaging Absorption spectroMeter for Atmospheric CHartographY (SCIAMACHY) on Envisat launched in 2002 (</w:t>
      </w:r>
      <w:r w:rsidRPr="001B2F70">
        <w:rPr>
          <w:i/>
        </w:rPr>
        <w:t>Bovensmann et al.</w:t>
      </w:r>
      <w:r>
        <w:t xml:space="preserve">, 1999). Both of these instruments are scanning grating spectrometers </w:t>
      </w:r>
      <w:r w:rsidR="00586FF7">
        <w:t>with a single line-of-sight</w:t>
      </w:r>
      <w:r>
        <w:t xml:space="preserve"> and scan the atmosphere </w:t>
      </w:r>
      <w:r w:rsidR="00586FF7">
        <w:t xml:space="preserve">vertically </w:t>
      </w:r>
      <w:r>
        <w:t>to complete a vertical profile</w:t>
      </w:r>
      <w:r w:rsidR="00586FF7">
        <w:t xml:space="preserve"> measurement</w:t>
      </w:r>
      <w:r>
        <w:t xml:space="preserve">. </w:t>
      </w:r>
    </w:p>
    <w:p w14:paraId="7A82F28D" w14:textId="03150A9F" w:rsidR="001412EB" w:rsidRDefault="001412EB" w:rsidP="00954FF1">
      <w:pPr>
        <w:pStyle w:val="BodyText"/>
        <w:jc w:val="both"/>
      </w:pPr>
      <w:r>
        <w:t xml:space="preserve">The OSIRIS version 5.07 data product provides 750 nm </w:t>
      </w:r>
      <w:r w:rsidR="00AF10ED">
        <w:t xml:space="preserve">aerosol </w:t>
      </w:r>
      <w:r>
        <w:t>extinction profiles at approximately 2 km vertical resolution (</w:t>
      </w:r>
      <w:r w:rsidRPr="001B2F70">
        <w:rPr>
          <w:i/>
        </w:rPr>
        <w:t>Bourassa et al.</w:t>
      </w:r>
      <w:r>
        <w:t>, 2007) and has been shown to agree relatively well, generally within 30%, with SAGE II and SAGE III occultation measurements (</w:t>
      </w:r>
      <w:r w:rsidRPr="001B2F70">
        <w:rPr>
          <w:i/>
        </w:rPr>
        <w:t>Bourassa et al.</w:t>
      </w:r>
      <w:r>
        <w:t xml:space="preserve">, 2012b; </w:t>
      </w:r>
      <w:r w:rsidRPr="00491D13">
        <w:rPr>
          <w:i/>
        </w:rPr>
        <w:t>Rieger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von Savigny et al.</w:t>
      </w:r>
      <w:r>
        <w:t>, 2015). However SCIAMACHY observations ceased with the demise of Envisat in 2012 and although OSIRIS continues to operate, it is now in the sixteenth year of a mission designed for two years.</w:t>
      </w:r>
    </w:p>
    <w:p w14:paraId="0C9FF45A" w14:textId="77777777" w:rsidR="001412EB" w:rsidRDefault="001412EB" w:rsidP="000927B6">
      <w:pPr>
        <w:pStyle w:val="BodyText"/>
        <w:jc w:val="both"/>
      </w:pPr>
      <w:r>
        <w:t>The most recently launched limb scatter instrument is the Ozone Mapping Profiler Suite Limb Profiler (OMPS-LP) on the Suomi-NPP satellite in 2011.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r w:rsidRPr="00210627">
        <w:rPr>
          <w:i/>
        </w:rPr>
        <w:t>Rault and Loughman</w:t>
      </w:r>
      <w:r>
        <w:t>, 2013).</w:t>
      </w:r>
    </w:p>
    <w:p w14:paraId="6F6DCE2D" w14:textId="0535F527" w:rsidR="001412EB" w:rsidRDefault="001412EB" w:rsidP="000927B6">
      <w:pPr>
        <w:pStyle w:val="BodyText"/>
        <w:jc w:val="both"/>
      </w:pPr>
      <w:r>
        <w:t xml:space="preserve">An instrument that is currently under development </w:t>
      </w:r>
      <w:r w:rsidR="00AF10ED">
        <w:t xml:space="preserve">for a European Space Agency satellite mission </w:t>
      </w:r>
      <w:r>
        <w:t>is</w:t>
      </w:r>
      <w:r w:rsidRPr="00222E24">
        <w:t xml:space="preserve"> </w:t>
      </w:r>
      <w:r>
        <w:t>ALTIUS</w:t>
      </w:r>
      <w:r w:rsidRPr="00222E24">
        <w:t xml:space="preserve"> (</w:t>
      </w:r>
      <w:r w:rsidRPr="00210627">
        <w:rPr>
          <w:i/>
        </w:rPr>
        <w:t>Dekemper et al.</w:t>
      </w:r>
      <w:r w:rsidRPr="00222E24">
        <w:t>, 2012)</w:t>
      </w:r>
      <w:r>
        <w:t>, which</w:t>
      </w:r>
      <w:r w:rsidRPr="00222E24">
        <w:t xml:space="preserve"> is a </w:t>
      </w:r>
      <w:r>
        <w:t xml:space="preserve">concept from the Belgium Institute for Space Aeronomy.  ALTIUS is designed to image </w:t>
      </w:r>
      <w:r w:rsidRPr="00222E24">
        <w:t>limb scatter</w:t>
      </w:r>
      <w:r>
        <w:t>ed</w:t>
      </w:r>
      <w:r w:rsidRPr="00222E24">
        <w:t xml:space="preserve"> </w:t>
      </w:r>
      <w:r>
        <w:t xml:space="preserve">sunlight, both vertically and </w:t>
      </w:r>
      <w:r>
        <w:lastRenderedPageBreak/>
        <w:t>horizontally across the track through the use of Acousto-Optic Tunable Filter (AOTF) technology (see section 3.2)</w:t>
      </w:r>
      <w:r w:rsidR="00AF10ED">
        <w:t>.  ALTIUS</w:t>
      </w:r>
      <w:r>
        <w:t xml:space="preserve"> </w:t>
      </w:r>
      <w:r w:rsidR="00AF10ED">
        <w:t>is also designed to have s</w:t>
      </w:r>
      <w:r w:rsidRPr="00222E24">
        <w:t>olar, stellar, and planetary occultation</w:t>
      </w:r>
      <w:r>
        <w:t xml:space="preserve"> modes. ALTIUS is scientifically focused on trace gas measurements, particularly for ozone and the instrument has three </w:t>
      </w:r>
      <w:r w:rsidR="00AF10ED">
        <w:t xml:space="preserve">hardware </w:t>
      </w:r>
      <w:r>
        <w:t xml:space="preserve">channels, each channel with a separate AOTF, </w:t>
      </w:r>
      <w:r w:rsidR="00AF10ED">
        <w:t xml:space="preserve">overall </w:t>
      </w:r>
      <w:r>
        <w:t>measuring wavelengths from 250-2000 nm</w:t>
      </w:r>
      <w:r w:rsidR="00AF10ED">
        <w:t xml:space="preserve">.  These measurements </w:t>
      </w:r>
      <w:r>
        <w:t>could eventually be used for</w:t>
      </w:r>
      <w:r w:rsidR="00AF10ED">
        <w:t xml:space="preserve"> aerosol extinction retrieval</w:t>
      </w:r>
      <w:r>
        <w:t>.</w:t>
      </w:r>
    </w:p>
    <w:p w14:paraId="628B7800" w14:textId="16764DC0" w:rsidR="001412EB" w:rsidRPr="00A24B7F" w:rsidRDefault="001412EB" w:rsidP="000927B6">
      <w:pPr>
        <w:pStyle w:val="BodyText"/>
        <w:jc w:val="both"/>
      </w:pPr>
      <w:r>
        <w:t xml:space="preserve">The limb scatter technique is </w:t>
      </w:r>
      <w:r w:rsidR="00AF10ED">
        <w:t xml:space="preserve">the one </w:t>
      </w:r>
      <w:r>
        <w:t>selected for the ALI instrument</w:t>
      </w:r>
      <w:r w:rsidR="00AF10ED">
        <w:t xml:space="preserve"> in this thesis work</w:t>
      </w:r>
      <w:r>
        <w:t xml:space="preserve">. </w:t>
      </w:r>
      <w:r w:rsidR="00896C1D">
        <w:t>The limb scatter</w:t>
      </w:r>
      <w:r>
        <w:t xml:space="preserve"> technique was selected </w:t>
      </w:r>
      <w:r w:rsidR="00AF10ED">
        <w:t xml:space="preserve">for ALI </w:t>
      </w:r>
      <w:r>
        <w:t xml:space="preserve">due to the </w:t>
      </w:r>
      <w:r w:rsidR="00AF10ED">
        <w:t>potential for global coverage, high vertical resolution and the high quality of aerosol extinction retrieval as proven the OSIRIS heritage</w:t>
      </w:r>
      <w:r>
        <w:t xml:space="preserve">. </w:t>
      </w:r>
      <w:r w:rsidR="00896C1D">
        <w:t xml:space="preserve">Like ALTUIS, ALI also uses an AOTF to spectrally image the limb scattered signal. </w:t>
      </w:r>
      <w:r w:rsidR="00AF10ED">
        <w:t xml:space="preserve">As discussed in detail in Chapter 3, </w:t>
      </w:r>
      <w:r>
        <w:t xml:space="preserve">the </w:t>
      </w:r>
      <w:r w:rsidR="00AF10ED">
        <w:t xml:space="preserve">hyperspectral </w:t>
      </w:r>
      <w:r>
        <w:t xml:space="preserve">imaging nature of the </w:t>
      </w:r>
      <w:r w:rsidR="00AF10ED">
        <w:t xml:space="preserve">ALI design with the </w:t>
      </w:r>
      <w:r>
        <w:t>AOTF allow</w:t>
      </w:r>
      <w:r w:rsidR="00AF10ED">
        <w:t>s for rapid</w:t>
      </w:r>
      <w:r>
        <w:t xml:space="preserve"> </w:t>
      </w:r>
      <w:r w:rsidR="00AF10ED">
        <w:t xml:space="preserve">image collection for the </w:t>
      </w:r>
      <w:r>
        <w:t>retriev</w:t>
      </w:r>
      <w:r w:rsidR="00AF10ED">
        <w:t>al of high spatial resolution</w:t>
      </w:r>
      <w:r>
        <w:t xml:space="preserve"> aerosol extinction.</w:t>
      </w:r>
    </w:p>
    <w:p w14:paraId="1B878852" w14:textId="77777777" w:rsidR="001412EB" w:rsidRDefault="001412EB" w:rsidP="003D416A">
      <w:pPr>
        <w:pStyle w:val="Heading1"/>
      </w:pPr>
      <w:bookmarkStart w:id="42" w:name="_Toc452973718"/>
      <w:bookmarkStart w:id="43" w:name="_Toc456356943"/>
      <w:r>
        <w:t>2.4 Radiative Transfer</w:t>
      </w:r>
      <w:bookmarkEnd w:id="42"/>
      <w:bookmarkEnd w:id="43"/>
    </w:p>
    <w:p w14:paraId="39856FFB" w14:textId="6AF2D69D" w:rsidR="001412EB" w:rsidRDefault="00F85E61" w:rsidP="007E1609">
      <w:pPr>
        <w:pStyle w:val="BodyText"/>
        <w:jc w:val="both"/>
      </w:pPr>
      <w:r>
        <w:t>The</w:t>
      </w:r>
      <w:r w:rsidR="001412EB">
        <w:t xml:space="preserve"> use </w:t>
      </w:r>
      <w:r>
        <w:t xml:space="preserve">of </w:t>
      </w:r>
      <w:r w:rsidR="001412EB">
        <w:t xml:space="preserve">the limb scatter technique </w:t>
      </w:r>
      <w:r>
        <w:t>requires a detailed</w:t>
      </w:r>
      <w:r w:rsidR="001412EB">
        <w:t xml:space="preserve"> unde</w:t>
      </w:r>
      <w:r>
        <w:t xml:space="preserve">rstanding of radiative transfer, and the </w:t>
      </w:r>
      <w:r w:rsidR="001412EB">
        <w:t xml:space="preserve">modeling </w:t>
      </w:r>
      <w:r>
        <w:t xml:space="preserve">of </w:t>
      </w:r>
      <w:r w:rsidR="001412EB">
        <w:t xml:space="preserve">the complex scattering interactions of light within the atmosphere is </w:t>
      </w:r>
      <w:r>
        <w:t xml:space="preserve">somewhat involved. In this section, a necessary </w:t>
      </w:r>
      <w:r w:rsidR="001412EB">
        <w:t>overview of scalar radiative transfer is p</w:t>
      </w:r>
      <w:r>
        <w:t>rovided</w:t>
      </w:r>
      <w:r w:rsidR="001412EB">
        <w:t>, followed by the necessary modifications to</w:t>
      </w:r>
      <w:r>
        <w:t xml:space="preserve"> the theory to</w:t>
      </w:r>
      <w:r w:rsidR="001412EB">
        <w:t xml:space="preserve"> form</w:t>
      </w:r>
      <w:r>
        <w:t xml:space="preserve"> the</w:t>
      </w:r>
      <w:r w:rsidR="001412EB">
        <w:t xml:space="preserve"> polarized radiative transfer equation. A description of scattering interactions important to aerosols is also developed. Finally, an overview of the SASKTRAN radiative transfer model used within this work is provided. </w:t>
      </w:r>
    </w:p>
    <w:p w14:paraId="4F25C0E1" w14:textId="77777777" w:rsidR="001412EB" w:rsidRDefault="001412EB" w:rsidP="00D54B14">
      <w:pPr>
        <w:pStyle w:val="Heading2"/>
      </w:pPr>
      <w:bookmarkStart w:id="44" w:name="_Toc452973719"/>
      <w:bookmarkStart w:id="45" w:name="_Toc456356944"/>
      <w:r>
        <w:t>2.4.1 Scalar Radiative Transfer</w:t>
      </w:r>
      <w:bookmarkEnd w:id="44"/>
      <w:bookmarkEnd w:id="45"/>
    </w:p>
    <w:p w14:paraId="766569A0" w14:textId="44A2E806" w:rsidR="001412EB" w:rsidRDefault="001412EB" w:rsidP="00A32789">
      <w:pPr>
        <w:pStyle w:val="BodyText"/>
        <w:jc w:val="both"/>
      </w:pPr>
      <w:r>
        <w:t xml:space="preserve">The following presents a derivation of radiative transfer equations for the atmosphere </w:t>
      </w:r>
      <w:r w:rsidR="00D50AD8">
        <w:t xml:space="preserve">in terms of the </w:t>
      </w:r>
      <w:r>
        <w:t>scalar radiance</w:t>
      </w:r>
      <w:r w:rsidR="00D50AD8">
        <w:t>, a theory</w:t>
      </w:r>
      <w:r>
        <w:t xml:space="preserve"> which does not account for polarization. In order to accurately discuss radiative transfer, a coordinate system must first be defined. If we assume that a ray of light, </w:t>
      </w:r>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w:t>
      </w:r>
      <w:r>
        <w:lastRenderedPageBreak/>
        <w:t xml:space="preserve">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The basis of path length is used to define the radiative transfer equations.</w:t>
      </w:r>
    </w:p>
    <w:p w14:paraId="2B9222ED" w14:textId="0A2C0581" w:rsidR="001412EB" w:rsidRPr="00A15663" w:rsidRDefault="001412EB" w:rsidP="003E0CAD">
      <w:pPr>
        <w:pStyle w:val="BodyText"/>
        <w:jc w:val="both"/>
      </w:pPr>
      <w:r>
        <w:t xml:space="preserve">The fundamental theory for radiative transfer is known as </w:t>
      </w:r>
      <w:r w:rsidR="00D50AD8">
        <w:t xml:space="preserve">the </w:t>
      </w:r>
      <w:r>
        <w:t xml:space="preserve">Beer-Lambert law. The law describes the change in intensity or radiance of light, </w:t>
      </w:r>
      <m:oMath>
        <m:r>
          <w:rPr>
            <w:rFonts w:ascii="Cambria Math" w:hAnsi="Cambria Math"/>
          </w:rPr>
          <m:t>dI</m:t>
        </m:r>
      </m:oMath>
      <w:r>
        <w:t xml:space="preserve">, as it interacts with a thin layer of space or atmosphere, </w:t>
      </w:r>
      <m:oMath>
        <m:r>
          <w:rPr>
            <w:rFonts w:ascii="Cambria Math" w:hAnsi="Cambria Math"/>
          </w:rPr>
          <m:t>ds</m:t>
        </m:r>
      </m:oMath>
      <w:r>
        <w:t xml:space="preserve">. The thin layer has particles which affect the attenuation of the light which is dependent on the number of particles, </w:t>
      </w:r>
      <m:oMath>
        <m:r>
          <w:rPr>
            <w:rFonts w:ascii="Cambria Math" w:hAnsi="Cambria Math"/>
          </w:rPr>
          <m:t>n</m:t>
        </m:r>
      </m:oMath>
      <w:r>
        <w:t xml:space="preserve">, and the particle cross section, </w:t>
      </w:r>
      <m:oMath>
        <m:r>
          <w:rPr>
            <w:rFonts w:ascii="Cambria Math" w:hAnsi="Cambria Math"/>
          </w:rPr>
          <m:t>σ</m:t>
        </m:r>
      </m:oMath>
      <w:r>
        <w:t xml:space="preserve">. If there are several different particles, the attenuation is a summation of the number densities and cross sections. The Beer-Lambert Law </w:t>
      </w:r>
      <w:r w:rsidR="00D50AD8">
        <w:t>describes the change in radiance along the path</w:t>
      </w:r>
    </w:p>
    <w:tbl>
      <w:tblPr>
        <w:tblStyle w:val="TableGrid"/>
        <w:tblW w:w="8050" w:type="dxa"/>
        <w:tblInd w:w="1418" w:type="dxa"/>
        <w:tblLook w:val="04A0" w:firstRow="1" w:lastRow="0" w:firstColumn="1" w:lastColumn="0" w:noHBand="0" w:noVBand="1"/>
      </w:tblPr>
      <w:tblGrid>
        <w:gridCol w:w="6804"/>
        <w:gridCol w:w="1246"/>
      </w:tblGrid>
      <w:tr w:rsidR="001412EB" w14:paraId="2752EBDE" w14:textId="77777777" w:rsidTr="000927B6">
        <w:tc>
          <w:tcPr>
            <w:tcW w:w="6804" w:type="dxa"/>
            <w:tcBorders>
              <w:top w:val="nil"/>
              <w:left w:val="nil"/>
              <w:bottom w:val="nil"/>
              <w:right w:val="nil"/>
            </w:tcBorders>
          </w:tcPr>
          <w:p w14:paraId="2052A50F" w14:textId="77777777" w:rsidR="001412EB" w:rsidRPr="0076182D" w:rsidRDefault="00FD1E67"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1D92E474" w14:textId="77777777" w:rsidR="001412EB" w:rsidRDefault="001412EB" w:rsidP="000927B6">
            <w:pPr>
              <w:pStyle w:val="BodyText"/>
              <w:ind w:firstLine="0"/>
              <w:jc w:val="right"/>
            </w:pPr>
            <w:r>
              <w:t>(2.2)</w:t>
            </w:r>
          </w:p>
        </w:tc>
      </w:tr>
    </w:tbl>
    <w:p w14:paraId="332F6031" w14:textId="77777777" w:rsidR="001412EB" w:rsidRDefault="001412EB" w:rsidP="009C3B73">
      <w:pPr>
        <w:pStyle w:val="BodyText"/>
        <w:ind w:firstLine="0"/>
        <w:jc w:val="both"/>
      </w:pPr>
      <w:r>
        <w:t>The extinction of the particles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1412EB" w14:paraId="309CD7C3" w14:textId="77777777" w:rsidTr="000927B6">
        <w:tc>
          <w:tcPr>
            <w:tcW w:w="6804" w:type="dxa"/>
            <w:tcBorders>
              <w:top w:val="nil"/>
              <w:left w:val="nil"/>
              <w:bottom w:val="nil"/>
              <w:right w:val="nil"/>
            </w:tcBorders>
          </w:tcPr>
          <w:p w14:paraId="3B8A08A6" w14:textId="77777777" w:rsidR="001412EB" w:rsidRPr="0076182D" w:rsidRDefault="001412EB" w:rsidP="005344FB">
            <w:pPr>
              <w:pStyle w:val="BodyText"/>
              <w:ind w:firstLine="289"/>
              <w:jc w:val="right"/>
              <w:rPr>
                <w:i/>
              </w:rPr>
            </w:pPr>
            <m:oMathPara>
              <m:oMath>
                <m:r>
                  <w:rPr>
                    <w:rFonts w:ascii="Cambria Math" w:hAnsi="Cambria Math"/>
                  </w:rPr>
                  <m:t>k(s)=</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397AA1C5" w14:textId="77777777" w:rsidR="001412EB" w:rsidRDefault="001412EB" w:rsidP="000927B6">
            <w:pPr>
              <w:pStyle w:val="BodyText"/>
              <w:ind w:firstLine="0"/>
              <w:jc w:val="right"/>
            </w:pPr>
            <w:r>
              <w:t>(2.3)</w:t>
            </w:r>
          </w:p>
        </w:tc>
      </w:tr>
    </w:tbl>
    <w:p w14:paraId="0C0E1B7A" w14:textId="77777777" w:rsidR="001412EB" w:rsidRDefault="001412EB"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1412EB" w14:paraId="531DEEBA" w14:textId="77777777" w:rsidTr="000927B6">
        <w:tc>
          <w:tcPr>
            <w:tcW w:w="6804" w:type="dxa"/>
            <w:tcBorders>
              <w:top w:val="nil"/>
              <w:left w:val="nil"/>
              <w:bottom w:val="nil"/>
              <w:right w:val="nil"/>
            </w:tcBorders>
          </w:tcPr>
          <w:p w14:paraId="1440BD50" w14:textId="77777777" w:rsidR="001412EB" w:rsidRPr="0076182D" w:rsidRDefault="001412EB"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14:paraId="12AB5D10" w14:textId="77777777" w:rsidR="001412EB" w:rsidRDefault="001412EB" w:rsidP="000927B6">
            <w:pPr>
              <w:pStyle w:val="BodyText"/>
              <w:ind w:firstLine="0"/>
              <w:jc w:val="right"/>
            </w:pPr>
            <w:r>
              <w:t>(2.4)</w:t>
            </w:r>
          </w:p>
        </w:tc>
      </w:tr>
    </w:tbl>
    <w:p w14:paraId="3E5C2D16" w14:textId="77777777" w:rsidR="001412EB" w:rsidRDefault="001412EB" w:rsidP="003E0CAD">
      <w:pPr>
        <w:pStyle w:val="BodyText"/>
        <w:ind w:firstLine="0"/>
        <w:jc w:val="both"/>
      </w:pPr>
      <w:r>
        <w:t xml:space="preserve">The optical depth, </w:t>
      </w:r>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1412EB" w14:paraId="2C517A84" w14:textId="77777777" w:rsidTr="000927B6">
        <w:tc>
          <w:tcPr>
            <w:tcW w:w="6804" w:type="dxa"/>
            <w:tcBorders>
              <w:top w:val="nil"/>
              <w:left w:val="nil"/>
              <w:bottom w:val="nil"/>
              <w:right w:val="nil"/>
            </w:tcBorders>
          </w:tcPr>
          <w:p w14:paraId="713A84D3" w14:textId="77777777" w:rsidR="001412EB" w:rsidRPr="0076182D" w:rsidRDefault="001412EB"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14:paraId="6D0678B4" w14:textId="77777777" w:rsidR="001412EB" w:rsidRDefault="001412EB" w:rsidP="000927B6">
            <w:pPr>
              <w:pStyle w:val="BodyText"/>
              <w:ind w:firstLine="0"/>
              <w:jc w:val="right"/>
            </w:pPr>
            <w:r>
              <w:t>(2.5)</w:t>
            </w:r>
          </w:p>
        </w:tc>
      </w:tr>
    </w:tbl>
    <w:p w14:paraId="4CD5EDCC" w14:textId="291B355E" w:rsidR="001412EB" w:rsidRDefault="001412EB"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w:t>
      </w:r>
      <w:r w:rsidR="00D50AD8">
        <w:t xml:space="preserve">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14:paraId="46108EC4" w14:textId="17C00985" w:rsidR="001412EB" w:rsidRDefault="001412EB" w:rsidP="00314761">
      <w:pPr>
        <w:pStyle w:val="BodyText"/>
        <w:jc w:val="both"/>
      </w:pPr>
      <w:r>
        <w:t xml:space="preserve">Although this form of the Beer-Lambert’s Law is useful for describing the loss of light through scattering or absorbing from an initial source though a medium, </w:t>
      </w:r>
      <w:r w:rsidR="00C94861">
        <w:t xml:space="preserve">in </w:t>
      </w:r>
      <w:r>
        <w:t xml:space="preserve">the atmosphere </w:t>
      </w:r>
      <w:r w:rsidR="00C94861">
        <w:t xml:space="preserve">we must </w:t>
      </w:r>
      <w:r>
        <w:t xml:space="preserve">also </w:t>
      </w:r>
      <w:r w:rsidR="00C94861">
        <w:t xml:space="preserve">account for </w:t>
      </w:r>
      <w:r>
        <w:t xml:space="preserve">incoming light that is scattered into the line of sight from other directions or </w:t>
      </w:r>
      <w:r w:rsidR="00C94861">
        <w:lastRenderedPageBreak/>
        <w:t xml:space="preserve">directly </w:t>
      </w:r>
      <w:r>
        <w:t>emitted from particles</w:t>
      </w:r>
      <w:r w:rsidR="00C94861">
        <w:t xml:space="preserve"> along the path</w:t>
      </w:r>
      <w:r>
        <w:t xml:space="preserve">. To account for this additional source of light a source term, </w:t>
      </w:r>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1412EB" w14:paraId="44B3B6E9" w14:textId="77777777" w:rsidTr="000927B6">
        <w:tc>
          <w:tcPr>
            <w:tcW w:w="6804" w:type="dxa"/>
            <w:tcBorders>
              <w:top w:val="nil"/>
              <w:left w:val="nil"/>
              <w:bottom w:val="nil"/>
              <w:right w:val="nil"/>
            </w:tcBorders>
          </w:tcPr>
          <w:p w14:paraId="0441BF03" w14:textId="77777777" w:rsidR="001412EB" w:rsidRPr="0076182D" w:rsidRDefault="00FD1E67"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14:paraId="69498657" w14:textId="77777777" w:rsidR="001412EB" w:rsidRDefault="001412EB" w:rsidP="000927B6">
            <w:pPr>
              <w:pStyle w:val="BodyText"/>
              <w:ind w:firstLine="0"/>
              <w:jc w:val="right"/>
            </w:pPr>
            <w:r>
              <w:t>(2.6)</w:t>
            </w:r>
          </w:p>
        </w:tc>
      </w:tr>
    </w:tbl>
    <w:p w14:paraId="3D7CD36C" w14:textId="77777777" w:rsidR="001412EB" w:rsidRDefault="001412EB"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1412EB" w14:paraId="7FD78F43" w14:textId="77777777" w:rsidTr="000927B6">
        <w:tc>
          <w:tcPr>
            <w:tcW w:w="6804" w:type="dxa"/>
            <w:tcBorders>
              <w:top w:val="nil"/>
              <w:left w:val="nil"/>
              <w:bottom w:val="nil"/>
              <w:right w:val="nil"/>
            </w:tcBorders>
          </w:tcPr>
          <w:p w14:paraId="78C7BAB6" w14:textId="77777777" w:rsidR="001412EB" w:rsidRPr="0076182D" w:rsidRDefault="001412EB"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14:paraId="2152C836" w14:textId="77777777" w:rsidR="001412EB" w:rsidRDefault="001412EB" w:rsidP="000927B6">
            <w:pPr>
              <w:pStyle w:val="BodyText"/>
              <w:ind w:firstLine="0"/>
              <w:jc w:val="right"/>
            </w:pPr>
            <w:r>
              <w:t>(2.7)</w:t>
            </w:r>
          </w:p>
        </w:tc>
      </w:tr>
    </w:tbl>
    <w:p w14:paraId="0BA000C5" w14:textId="77777777" w:rsidR="001412EB" w:rsidRDefault="001412EB" w:rsidP="003E0CAD">
      <w:pPr>
        <w:pStyle w:val="BodyText"/>
        <w:ind w:firstLine="0"/>
        <w:jc w:val="both"/>
      </w:pPr>
      <w:r>
        <w:t xml:space="preserve">Equation 2.6 is rearrange into </w:t>
      </w:r>
    </w:p>
    <w:tbl>
      <w:tblPr>
        <w:tblStyle w:val="TableGrid"/>
        <w:tblW w:w="8050" w:type="dxa"/>
        <w:tblInd w:w="1418" w:type="dxa"/>
        <w:tblLook w:val="04A0" w:firstRow="1" w:lastRow="0" w:firstColumn="1" w:lastColumn="0" w:noHBand="0" w:noVBand="1"/>
      </w:tblPr>
      <w:tblGrid>
        <w:gridCol w:w="6804"/>
        <w:gridCol w:w="1246"/>
      </w:tblGrid>
      <w:tr w:rsidR="001412EB" w14:paraId="765113D0" w14:textId="77777777" w:rsidTr="000927B6">
        <w:tc>
          <w:tcPr>
            <w:tcW w:w="6804" w:type="dxa"/>
            <w:tcBorders>
              <w:top w:val="nil"/>
              <w:left w:val="nil"/>
              <w:bottom w:val="nil"/>
              <w:right w:val="nil"/>
            </w:tcBorders>
          </w:tcPr>
          <w:p w14:paraId="144A29C3" w14:textId="77777777" w:rsidR="001412EB" w:rsidRPr="0076182D" w:rsidRDefault="00FD1E67"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14:paraId="7C30C70C" w14:textId="77777777" w:rsidR="001412EB" w:rsidRDefault="001412EB" w:rsidP="000927B6">
            <w:pPr>
              <w:pStyle w:val="BodyText"/>
              <w:ind w:firstLine="0"/>
              <w:jc w:val="right"/>
            </w:pPr>
            <w:r>
              <w:t>(2.8)</w:t>
            </w:r>
          </w:p>
        </w:tc>
      </w:tr>
    </w:tbl>
    <w:p w14:paraId="1F720787" w14:textId="77777777" w:rsidR="001412EB" w:rsidRDefault="001412EB"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1412EB" w14:paraId="392C24E8" w14:textId="77777777" w:rsidTr="000927B6">
        <w:tc>
          <w:tcPr>
            <w:tcW w:w="6804" w:type="dxa"/>
            <w:tcBorders>
              <w:top w:val="nil"/>
              <w:left w:val="nil"/>
              <w:bottom w:val="nil"/>
              <w:right w:val="nil"/>
            </w:tcBorders>
          </w:tcPr>
          <w:p w14:paraId="74978E59" w14:textId="77777777" w:rsidR="001412EB" w:rsidRPr="0076182D" w:rsidRDefault="00FD1E67"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14:paraId="753CD108" w14:textId="77777777" w:rsidR="001412EB" w:rsidRDefault="001412EB" w:rsidP="000927B6">
            <w:pPr>
              <w:pStyle w:val="BodyText"/>
              <w:ind w:firstLine="0"/>
              <w:jc w:val="right"/>
            </w:pPr>
            <w:r>
              <w:t>(2.9)</w:t>
            </w:r>
          </w:p>
        </w:tc>
      </w:tr>
    </w:tbl>
    <w:p w14:paraId="6D909BA4" w14:textId="77777777" w:rsidR="001412EB" w:rsidRDefault="001412EB" w:rsidP="003E0CAD">
      <w:pPr>
        <w:pStyle w:val="BodyText"/>
        <w:ind w:firstLine="0"/>
        <w:jc w:val="both"/>
      </w:pPr>
      <w:r>
        <w:t>and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1412EB" w14:paraId="6B4DB11D" w14:textId="77777777" w:rsidTr="000927B6">
        <w:tc>
          <w:tcPr>
            <w:tcW w:w="6804" w:type="dxa"/>
            <w:tcBorders>
              <w:top w:val="nil"/>
              <w:left w:val="nil"/>
              <w:bottom w:val="nil"/>
              <w:right w:val="nil"/>
            </w:tcBorders>
          </w:tcPr>
          <w:p w14:paraId="5FAFC7BB" w14:textId="77777777" w:rsidR="001412EB" w:rsidRPr="0076182D" w:rsidRDefault="00FD1E67"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14:paraId="758E3329" w14:textId="77777777" w:rsidR="001412EB" w:rsidRDefault="001412EB" w:rsidP="000927B6">
            <w:pPr>
              <w:pStyle w:val="BodyText"/>
              <w:ind w:firstLine="0"/>
              <w:jc w:val="right"/>
            </w:pPr>
            <w:r>
              <w:t>(2.10)</w:t>
            </w:r>
          </w:p>
        </w:tc>
      </w:tr>
    </w:tbl>
    <w:p w14:paraId="1E90A43E" w14:textId="77777777" w:rsidR="001412EB" w:rsidRDefault="001412EB"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1412EB" w14:paraId="13934621" w14:textId="77777777" w:rsidTr="000927B6">
        <w:tc>
          <w:tcPr>
            <w:tcW w:w="6804" w:type="dxa"/>
            <w:tcBorders>
              <w:top w:val="nil"/>
              <w:left w:val="nil"/>
              <w:bottom w:val="nil"/>
              <w:right w:val="nil"/>
            </w:tcBorders>
          </w:tcPr>
          <w:p w14:paraId="2DF997FF" w14:textId="77777777" w:rsidR="001412EB" w:rsidRPr="0076182D" w:rsidRDefault="001412EB"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5B48D153" w14:textId="77777777" w:rsidR="001412EB" w:rsidRDefault="001412EB" w:rsidP="000927B6">
            <w:pPr>
              <w:pStyle w:val="BodyText"/>
              <w:ind w:firstLine="0"/>
              <w:jc w:val="right"/>
            </w:pPr>
            <w:r>
              <w:t>(2.11)</w:t>
            </w:r>
          </w:p>
        </w:tc>
      </w:tr>
    </w:tbl>
    <w:p w14:paraId="13F625D3" w14:textId="77777777" w:rsidR="001412EB" w:rsidRDefault="001412EB"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1412EB" w14:paraId="404E569A" w14:textId="77777777" w:rsidTr="000927B6">
        <w:tc>
          <w:tcPr>
            <w:tcW w:w="6804" w:type="dxa"/>
            <w:tcBorders>
              <w:top w:val="nil"/>
              <w:left w:val="nil"/>
              <w:bottom w:val="nil"/>
              <w:right w:val="nil"/>
            </w:tcBorders>
          </w:tcPr>
          <w:p w14:paraId="6515CE37" w14:textId="77777777" w:rsidR="001412EB" w:rsidRPr="0076182D" w:rsidRDefault="001412EB"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14:paraId="10950786" w14:textId="77777777" w:rsidR="001412EB" w:rsidRDefault="001412EB" w:rsidP="000927B6">
            <w:pPr>
              <w:pStyle w:val="BodyText"/>
              <w:ind w:firstLine="0"/>
              <w:jc w:val="right"/>
            </w:pPr>
            <w:r>
              <w:t>(2.12)</w:t>
            </w:r>
          </w:p>
        </w:tc>
      </w:tr>
    </w:tbl>
    <w:p w14:paraId="185D3142" w14:textId="77777777" w:rsidR="001412EB" w:rsidRDefault="001412EB" w:rsidP="003E0CAD">
      <w:pPr>
        <w:pStyle w:val="BodyText"/>
        <w:ind w:firstLine="0"/>
        <w:jc w:val="both"/>
      </w:pPr>
      <w:r>
        <w:t xml:space="preserve">which gives the radiance as seen from an observer at a point, </w:t>
      </w:r>
      <m:oMath>
        <m:r>
          <w:rPr>
            <w:rFonts w:ascii="Cambria Math" w:hAnsi="Cambria Math"/>
          </w:rPr>
          <m:t>s</m:t>
        </m:r>
      </m:oMath>
      <w:r>
        <w:t>, along the line of sight.</w:t>
      </w:r>
    </w:p>
    <w:p w14:paraId="4A376640" w14:textId="0C7809F4" w:rsidR="001412EB" w:rsidRDefault="001412EB" w:rsidP="003A4D25">
      <w:pPr>
        <w:pStyle w:val="BodyText"/>
        <w:jc w:val="both"/>
      </w:pPr>
      <w:r>
        <w:t>In the atmosphere there are three sources of additional radiation</w:t>
      </w:r>
      <w:r w:rsidR="00C72B36">
        <w:t xml:space="preserve"> that contribute to the source term:</w:t>
      </w:r>
      <w:r>
        <w:t xml:space="preserve"> thermal emissions, photochemical reactions, and scattered light. For wavelengths from the visible to the near infrared (</w:t>
      </w:r>
      <w:r w:rsidRPr="00FD1E67">
        <w:rPr>
          <w:i/>
        </w:rPr>
        <w:t>i.e</w:t>
      </w:r>
      <w:r w:rsidRPr="003A4D25">
        <w:rPr>
          <w:i/>
        </w:rPr>
        <w:t>.</w:t>
      </w:r>
      <w:r>
        <w:t xml:space="preserve"> wavelengths less than 2 µm) there is </w:t>
      </w:r>
      <w:r w:rsidR="00C72B36">
        <w:t xml:space="preserve">negligible </w:t>
      </w:r>
      <w:r>
        <w:lastRenderedPageBreak/>
        <w:t xml:space="preserve">contribution from thermal emissions. Furthermore, as long as </w:t>
      </w:r>
      <w:r w:rsidR="00C72B36">
        <w:t xml:space="preserve">distinct </w:t>
      </w:r>
      <w:r>
        <w:t xml:space="preserve">wavelengths where photochemical reactions </w:t>
      </w:r>
      <w:r w:rsidR="00C72B36">
        <w:t xml:space="preserve">emit </w:t>
      </w:r>
      <w:r>
        <w:t xml:space="preserve">are avoided this source term can </w:t>
      </w:r>
      <w:r w:rsidR="00C72B36">
        <w:t xml:space="preserve">also be ignored. This leaves scattering as the </w:t>
      </w:r>
      <w:r>
        <w:t>only significant source of light to be added into the line of sight.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1412EB" w14:paraId="1A8056BC" w14:textId="77777777" w:rsidTr="000927B6">
        <w:tc>
          <w:tcPr>
            <w:tcW w:w="6804" w:type="dxa"/>
            <w:tcBorders>
              <w:top w:val="nil"/>
              <w:left w:val="nil"/>
              <w:bottom w:val="nil"/>
              <w:right w:val="nil"/>
            </w:tcBorders>
          </w:tcPr>
          <w:p w14:paraId="4A5A84B5" w14:textId="77777777" w:rsidR="001412EB" w:rsidRPr="0076182D" w:rsidRDefault="001412EB"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0DA1FD55" w14:textId="77777777" w:rsidR="001412EB" w:rsidRDefault="001412EB" w:rsidP="000927B6">
            <w:pPr>
              <w:pStyle w:val="BodyText"/>
              <w:ind w:firstLine="0"/>
              <w:jc w:val="right"/>
            </w:pPr>
            <w:r>
              <w:t>(2.13)</w:t>
            </w:r>
          </w:p>
        </w:tc>
      </w:tr>
    </w:tbl>
    <w:p w14:paraId="488C2E42" w14:textId="77777777" w:rsidR="001412EB" w:rsidRDefault="001412EB"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 </w:t>
      </w:r>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is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xml:space="preserve">. The scattering angle, </w:t>
      </w:r>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1412EB" w14:paraId="5FF36D13" w14:textId="77777777" w:rsidTr="000927B6">
        <w:tc>
          <w:tcPr>
            <w:tcW w:w="6804" w:type="dxa"/>
            <w:tcBorders>
              <w:top w:val="nil"/>
              <w:left w:val="nil"/>
              <w:bottom w:val="nil"/>
              <w:right w:val="nil"/>
            </w:tcBorders>
          </w:tcPr>
          <w:p w14:paraId="44D76A26" w14:textId="77777777" w:rsidR="001412EB" w:rsidRPr="0076182D" w:rsidRDefault="00FD1E67"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14:paraId="17101B49" w14:textId="77777777" w:rsidR="001412EB" w:rsidRDefault="001412EB" w:rsidP="000927B6">
            <w:pPr>
              <w:pStyle w:val="BodyText"/>
              <w:ind w:firstLine="0"/>
              <w:jc w:val="right"/>
            </w:pPr>
            <w:r>
              <w:t>(2.14)</w:t>
            </w:r>
          </w:p>
        </w:tc>
      </w:tr>
    </w:tbl>
    <w:p w14:paraId="18AC5C87" w14:textId="77777777" w:rsidR="001412EB" w:rsidRDefault="001412EB"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absorption.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14:paraId="27666CBA" w14:textId="77777777" w:rsidR="001412EB" w:rsidRDefault="001412EB"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1412EB" w14:paraId="0AF40979" w14:textId="77777777" w:rsidTr="000927B6">
        <w:tc>
          <w:tcPr>
            <w:tcW w:w="6804" w:type="dxa"/>
            <w:tcBorders>
              <w:top w:val="nil"/>
              <w:left w:val="nil"/>
              <w:bottom w:val="nil"/>
              <w:right w:val="nil"/>
            </w:tcBorders>
          </w:tcPr>
          <w:p w14:paraId="1F65F290" w14:textId="77777777" w:rsidR="001412EB" w:rsidRPr="0076182D" w:rsidRDefault="001412EB"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251753BC" w14:textId="77777777" w:rsidR="001412EB" w:rsidRDefault="001412EB" w:rsidP="000927B6">
            <w:pPr>
              <w:pStyle w:val="BodyText"/>
              <w:ind w:firstLine="0"/>
              <w:jc w:val="right"/>
            </w:pPr>
            <w:r>
              <w:t>(2.15)</w:t>
            </w:r>
          </w:p>
        </w:tc>
      </w:tr>
    </w:tbl>
    <w:p w14:paraId="4F1C26F2" w14:textId="789BD1BC" w:rsidR="001412EB" w:rsidRDefault="001412EB" w:rsidP="00851023">
      <w:pPr>
        <w:pStyle w:val="BodyText"/>
        <w:ind w:firstLine="0"/>
        <w:jc w:val="both"/>
      </w:pPr>
      <w:r>
        <w:lastRenderedPageBreak/>
        <w:t xml:space="preserve">The multiple scatter term is calculated </w:t>
      </w:r>
      <w:r w:rsidR="002B6091">
        <w:t xml:space="preserve">for each successive order </w:t>
      </w:r>
      <w:r>
        <w:t>until the contribution is sufficiently small to be negligible.</w:t>
      </w:r>
    </w:p>
    <w:p w14:paraId="060EF067" w14:textId="77777777" w:rsidR="001412EB" w:rsidRDefault="001412EB" w:rsidP="00FA7303">
      <w:pPr>
        <w:pStyle w:val="Heading2"/>
      </w:pPr>
      <w:bookmarkStart w:id="46" w:name="_Toc452973720"/>
      <w:bookmarkStart w:id="47" w:name="_Toc456356945"/>
      <w:r>
        <w:t>2.4.2 Vector Radiative Transfer</w:t>
      </w:r>
      <w:bookmarkEnd w:id="46"/>
      <w:bookmarkEnd w:id="47"/>
    </w:p>
    <w:p w14:paraId="062954C5" w14:textId="77777777" w:rsidR="001412EB" w:rsidRDefault="001412EB" w:rsidP="00D54B14">
      <w:pPr>
        <w:pStyle w:val="BodyText"/>
        <w:jc w:val="both"/>
      </w:pPr>
      <w:r>
        <w:t>The scalar radiative transfer equation works well for systems that do not measure polarized light as the effect of polarization on the total radiance is small. However, for instruments that measure polarized light, a vector radiative transfer equation is required. Before polarization can even be discussed, a method to quantify polarization must be defined which is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1412EB" w14:paraId="1EF1974B" w14:textId="77777777" w:rsidTr="000927B6">
        <w:tc>
          <w:tcPr>
            <w:tcW w:w="6804" w:type="dxa"/>
            <w:tcBorders>
              <w:top w:val="nil"/>
              <w:left w:val="nil"/>
              <w:bottom w:val="nil"/>
              <w:right w:val="nil"/>
            </w:tcBorders>
          </w:tcPr>
          <w:p w14:paraId="7AA5C9A0" w14:textId="77777777" w:rsidR="001412EB" w:rsidRPr="0076182D" w:rsidRDefault="001412EB" w:rsidP="00DA4460">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14:paraId="45350AF1" w14:textId="77777777" w:rsidR="001412EB" w:rsidRDefault="001412EB" w:rsidP="009C3B73">
            <w:pPr>
              <w:pStyle w:val="BodyText"/>
              <w:ind w:firstLine="0"/>
              <w:jc w:val="right"/>
            </w:pPr>
            <w:r>
              <w:t>(2.16)</w:t>
            </w:r>
          </w:p>
        </w:tc>
      </w:tr>
    </w:tbl>
    <w:p w14:paraId="3545E69F" w14:textId="77777777" w:rsidR="001412EB" w:rsidRDefault="001412EB" w:rsidP="005530E3">
      <w:pPr>
        <w:pStyle w:val="BodyText"/>
        <w:ind w:firstLine="0"/>
        <w:jc w:val="both"/>
      </w:pPr>
      <w:r>
        <w:t xml:space="preserve">where </w:t>
      </w:r>
      <m:oMath>
        <m:r>
          <w:rPr>
            <w:rFonts w:ascii="Cambria Math" w:hAnsi="Cambria Math"/>
          </w:rPr>
          <m:t>I</m:t>
        </m:r>
      </m:oMath>
      <w:r>
        <w:t xml:space="preserve"> is the scalar or total radiance, </w:t>
      </w:r>
      <m:oMath>
        <m:r>
          <w:rPr>
            <w:rFonts w:ascii="Cambria Math" w:hAnsi="Cambria Math"/>
          </w:rPr>
          <m:t>Q</m:t>
        </m:r>
      </m:oMath>
      <w:r>
        <w:t xml:space="preserve"> is </w:t>
      </w:r>
      <w:r>
        <w:rPr>
          <w:rFonts w:eastAsiaTheme="minorEastAsia"/>
        </w:rPr>
        <w:t>the difference between horizontal polarization to vertical polarization</w:t>
      </w:r>
      <w:r>
        <w:t xml:space="preserve">, </w:t>
      </w:r>
      <m:oMath>
        <m:r>
          <w:rPr>
            <w:rFonts w:ascii="Cambria Math" w:hAnsi="Cambria Math"/>
          </w:rPr>
          <m:t>U</m:t>
        </m:r>
      </m:oMath>
      <w:r>
        <w:t xml:space="preserve"> is </w:t>
      </w:r>
      <w:r>
        <w:rPr>
          <w:rFonts w:eastAsiaTheme="minorEastAsia"/>
        </w:rPr>
        <w:t>the difference between +45</w:t>
      </w:r>
      <w:r>
        <w:rPr>
          <w:rFonts w:eastAsiaTheme="minorEastAsia"/>
          <w:vertAlign w:val="superscript"/>
        </w:rPr>
        <w:t>◦</w:t>
      </w:r>
      <w:r>
        <w:rPr>
          <w:rFonts w:eastAsiaTheme="minorEastAsia"/>
        </w:rPr>
        <w:t xml:space="preserve"> diagonal polarization to -45</w:t>
      </w:r>
      <w:r w:rsidRPr="00FD2A2B">
        <w:rPr>
          <w:rFonts w:eastAsiaTheme="minorEastAsia"/>
        </w:rPr>
        <w:t xml:space="preserve"> polarization</w:t>
      </w:r>
      <w:r>
        <w:t xml:space="preserve">, and </w:t>
      </w:r>
      <m:oMath>
        <m:r>
          <w:rPr>
            <w:rFonts w:ascii="Cambria Math" w:hAnsi="Cambria Math"/>
          </w:rPr>
          <m:t>V</m:t>
        </m:r>
      </m:oMath>
      <w:r>
        <w:t xml:space="preserve"> is </w:t>
      </w:r>
      <w:r>
        <w:rPr>
          <w:rFonts w:eastAsiaTheme="minorEastAsia"/>
        </w:rPr>
        <w:t>the difference between the counter clockwise circular polarization to clockwise polarization</w:t>
      </w:r>
      <w:r>
        <w:t xml:space="preserve"> (</w:t>
      </w:r>
      <w:r>
        <w:rPr>
          <w:i/>
        </w:rPr>
        <w:t>Bickel and Bailey</w:t>
      </w:r>
      <w:r>
        <w:t>, 1985). Using a reference frame where the local x-axis is defined to be the horizontal polarization leads to the following definition for the Stokes vector</w:t>
      </w:r>
    </w:p>
    <w:tbl>
      <w:tblPr>
        <w:tblStyle w:val="TableGrid"/>
        <w:tblW w:w="8050" w:type="dxa"/>
        <w:tblInd w:w="1418" w:type="dxa"/>
        <w:tblLook w:val="04A0" w:firstRow="1" w:lastRow="0" w:firstColumn="1" w:lastColumn="0" w:noHBand="0" w:noVBand="1"/>
      </w:tblPr>
      <w:tblGrid>
        <w:gridCol w:w="6804"/>
        <w:gridCol w:w="1246"/>
      </w:tblGrid>
      <w:tr w:rsidR="001412EB" w14:paraId="1D323702" w14:textId="77777777" w:rsidTr="009C3B73">
        <w:tc>
          <w:tcPr>
            <w:tcW w:w="6804" w:type="dxa"/>
            <w:tcBorders>
              <w:top w:val="nil"/>
              <w:left w:val="nil"/>
              <w:bottom w:val="nil"/>
              <w:right w:val="nil"/>
            </w:tcBorders>
          </w:tcPr>
          <w:p w14:paraId="55AD3B73" w14:textId="77777777" w:rsidR="001412EB" w:rsidRPr="0076182D" w:rsidRDefault="001412EB" w:rsidP="00DA4460">
            <w:pPr>
              <w:pStyle w:val="BodyText"/>
              <w:ind w:firstLine="289"/>
              <w:jc w:val="right"/>
              <w:rPr>
                <w:i/>
              </w:rPr>
            </w:pPr>
            <m:oMathPara>
              <m:oMath>
                <m:r>
                  <m:rPr>
                    <m:sty m:val="b"/>
                  </m:rPr>
                  <w:rPr>
                    <w:rFonts w:ascii="Cambria Math" w:hAnsi="Cambria Math"/>
                  </w:rPr>
                  <m:t xml:space="preserve"> </m:t>
                </m:r>
                <m:m>
                  <m:mPr>
                    <m:mcs>
                      <m:mc>
                        <m:mcPr>
                          <m:count m:val="1"/>
                          <m:mcJc m:val="center"/>
                        </m:mcPr>
                      </m:mc>
                    </m:mcs>
                    <m:ctrlPr>
                      <w:rPr>
                        <w:rFonts w:ascii="Cambria Math" w:hAnsi="Cambria Math"/>
                        <w:b/>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m>
                        <m:mPr>
                          <m:mcs>
                            <m:mc>
                              <m:mcPr>
                                <m:count m:val="1"/>
                                <m:mcJc m:val="center"/>
                              </m:mcPr>
                            </m:mc>
                          </m:mcs>
                          <m:ctrlPr>
                            <w:rPr>
                              <w:rFonts w:ascii="Cambria Math" w:hAnsi="Cambria Math"/>
                              <w:b/>
                              <w:i/>
                            </w:rPr>
                          </m:ctrlPr>
                        </m:mPr>
                        <m:mr>
                          <m:e>
                            <m:r>
                              <w:rPr>
                                <w:rFonts w:ascii="Cambria Math" w:hAnsi="Cambria Math"/>
                              </w:rPr>
                              <m:t>U=2</m:t>
                            </m:r>
                            <m:r>
                              <m:rPr>
                                <m:sty m:val="p"/>
                              </m:rPr>
                              <w:rPr>
                                <w:rFonts w:ascii="Cambria Math" w:hAnsi="Cambria Math"/>
                              </w:rPr>
                              <m:t>Re</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r>
                          <m:e>
                            <m:r>
                              <w:rPr>
                                <w:rFonts w:ascii="Cambria Math" w:hAnsi="Cambria Math"/>
                              </w:rPr>
                              <m:t>V=2</m:t>
                            </m:r>
                            <m:r>
                              <m:rPr>
                                <m:sty m:val="p"/>
                              </m:rPr>
                              <w:rPr>
                                <w:rFonts w:ascii="Cambria Math" w:hAnsi="Cambria Math"/>
                              </w:rPr>
                              <m:t>Im</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
                    </m:e>
                  </m:mr>
                </m:m>
                <m:r>
                  <w:rPr>
                    <w:rFonts w:ascii="Cambria Math" w:hAnsi="Cambria Math"/>
                  </w:rPr>
                  <m:t>.</m:t>
                </m:r>
              </m:oMath>
            </m:oMathPara>
          </w:p>
        </w:tc>
        <w:tc>
          <w:tcPr>
            <w:tcW w:w="1246" w:type="dxa"/>
            <w:tcBorders>
              <w:top w:val="nil"/>
              <w:left w:val="nil"/>
              <w:bottom w:val="nil"/>
              <w:right w:val="nil"/>
            </w:tcBorders>
            <w:vAlign w:val="center"/>
          </w:tcPr>
          <w:p w14:paraId="71CE94E0" w14:textId="77777777" w:rsidR="001412EB" w:rsidRDefault="001412EB" w:rsidP="009C3B73">
            <w:pPr>
              <w:pStyle w:val="BodyText"/>
              <w:ind w:firstLine="0"/>
              <w:jc w:val="right"/>
            </w:pPr>
            <w:r>
              <w:t>(2.17)</w:t>
            </w:r>
          </w:p>
        </w:tc>
      </w:tr>
    </w:tbl>
    <w:p w14:paraId="2A751547" w14:textId="77777777" w:rsidR="001412EB" w:rsidRDefault="001412EB" w:rsidP="005530E3">
      <w:pPr>
        <w:pStyle w:val="BodyText"/>
        <w:ind w:firstLine="0"/>
        <w:jc w:val="both"/>
      </w:pPr>
      <w:r>
        <w:t xml:space="preserve">The electric field aligned with the x and y-axis are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respectively, the star is the complex conjugate, and </w:t>
      </w:r>
      <m:oMath>
        <m:r>
          <m:rPr>
            <m:sty m:val="p"/>
          </m:rPr>
          <w:rPr>
            <w:rFonts w:ascii="Cambria Math" w:hAnsi="Cambria Math"/>
          </w:rPr>
          <m:t>Re</m:t>
        </m:r>
      </m:oMath>
      <w:r>
        <w:t xml:space="preserve"> and </w:t>
      </w:r>
      <m:oMath>
        <m:r>
          <m:rPr>
            <m:sty m:val="p"/>
          </m:rPr>
          <w:rPr>
            <w:rFonts w:ascii="Cambria Math" w:hAnsi="Cambria Math"/>
          </w:rPr>
          <m:t>Im</m:t>
        </m:r>
      </m:oMath>
      <w:r>
        <w:t xml:space="preserve"> are the “real part of” and “imaginary part of” respectively. The degree of polarization can be determined with the Stokes vectors.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 if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14:paraId="68BE1E8E" w14:textId="77777777" w:rsidR="001412EB" w:rsidRDefault="001412EB" w:rsidP="00BD1ABC">
      <w:pPr>
        <w:pStyle w:val="BodyText"/>
        <w:jc w:val="both"/>
      </w:pPr>
      <w:r>
        <w:lastRenderedPageBreak/>
        <w:t>With the addition of polarization, the radiative transfer and source term equations (Equations 2.12 and 2.13) need to be rewritten with polarization state included. The polarized radiative transfer equation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1412EB" w14:paraId="3E0C1490" w14:textId="77777777" w:rsidTr="000927B6">
        <w:tc>
          <w:tcPr>
            <w:tcW w:w="6804" w:type="dxa"/>
          </w:tcPr>
          <w:p w14:paraId="60A71EA7" w14:textId="77777777" w:rsidR="001412EB" w:rsidRPr="0076182D" w:rsidRDefault="001412EB"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14:paraId="064FCA2F" w14:textId="77777777" w:rsidR="001412EB" w:rsidRDefault="001412EB" w:rsidP="009C3B73">
            <w:pPr>
              <w:pStyle w:val="BodyText"/>
              <w:ind w:firstLine="0"/>
              <w:jc w:val="right"/>
            </w:pPr>
            <w:r>
              <w:t>(2.18)</w:t>
            </w:r>
          </w:p>
        </w:tc>
      </w:tr>
      <w:tr w:rsidR="001412EB" w14:paraId="665CE5FC" w14:textId="77777777" w:rsidTr="000927B6">
        <w:tc>
          <w:tcPr>
            <w:tcW w:w="6804" w:type="dxa"/>
          </w:tcPr>
          <w:p w14:paraId="707DA796" w14:textId="77777777" w:rsidR="001412EB" w:rsidRPr="0076182D" w:rsidRDefault="001412EB" w:rsidP="00CA79A7">
            <w:pPr>
              <w:pStyle w:val="BodyText"/>
              <w:ind w:firstLine="289"/>
              <w:jc w:val="right"/>
              <w:rPr>
                <w:i/>
              </w:rPr>
            </w:pPr>
            <m:oMathPara>
              <m:oMath>
                <m:r>
                  <m:rPr>
                    <m:sty m:val="bi"/>
                  </m:rP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m:rPr>
                        <m:sty m:val="bi"/>
                      </m:rP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p>
                        <m:r>
                          <w:rPr>
                            <w:rFonts w:ascii="Cambria Math" w:hAnsi="Cambria Math"/>
                          </w:rPr>
                          <m:t>'</m:t>
                        </m:r>
                      </m:sup>
                    </m:sSup>
                  </m:e>
                </m:nary>
                <m:r>
                  <w:rPr>
                    <w:rFonts w:ascii="Cambria Math" w:hAnsi="Cambria Math"/>
                  </w:rPr>
                  <m:t>,</m:t>
                </m:r>
              </m:oMath>
            </m:oMathPara>
          </w:p>
        </w:tc>
        <w:tc>
          <w:tcPr>
            <w:tcW w:w="1246" w:type="dxa"/>
            <w:vAlign w:val="center"/>
          </w:tcPr>
          <w:p w14:paraId="1F930614" w14:textId="77777777" w:rsidR="001412EB" w:rsidRDefault="001412EB" w:rsidP="009C3B73">
            <w:pPr>
              <w:pStyle w:val="BodyText"/>
              <w:ind w:firstLine="0"/>
              <w:jc w:val="right"/>
            </w:pPr>
            <w:r>
              <w:t>(2.19)</w:t>
            </w:r>
          </w:p>
        </w:tc>
      </w:tr>
    </w:tbl>
    <w:p w14:paraId="14EFE1A5" w14:textId="77777777" w:rsidR="001412EB" w:rsidRDefault="001412EB" w:rsidP="00097F5B">
      <w:pPr>
        <w:pStyle w:val="BodyText"/>
        <w:ind w:firstLine="0"/>
        <w:jc w:val="both"/>
      </w:pPr>
      <w:r>
        <w:t>which are the vector radiative transfer and source term equations respectively (</w:t>
      </w:r>
      <w:r>
        <w:rPr>
          <w:i/>
        </w:rPr>
        <w:t>Mishchenko et al.</w:t>
      </w:r>
      <w:r>
        <w:t xml:space="preserve">, 2002). With polarization a scattering reference frame is defined and incoming radiance is rotated into the scattering frame multiplied by the scattering matrix, </w:t>
      </w:r>
      <m:oMath>
        <m:r>
          <m:rPr>
            <m:sty m:val="bi"/>
          </m:rPr>
          <w:rPr>
            <w:rFonts w:ascii="Cambria Math" w:hAnsi="Cambria Math"/>
          </w:rPr>
          <m:t>P(</m:t>
        </m:r>
        <m:r>
          <w:rPr>
            <w:rFonts w:ascii="Cambria Math" w:hAnsi="Cambria Math"/>
          </w:rPr>
          <m:t xml:space="preserve">s </m:t>
        </m:r>
        <m:r>
          <m:rPr>
            <m:sty m:val="p"/>
          </m:rPr>
          <w:rPr>
            <w:rFonts w:ascii="Cambria Math" w:hAnsi="Cambria Math"/>
          </w:rPr>
          <m:t>Θ</m:t>
        </m:r>
        <m:r>
          <w:rPr>
            <w:rFonts w:ascii="Cambria Math" w:hAnsi="Cambria Math"/>
          </w:rPr>
          <m:t>)</m:t>
        </m:r>
      </m:oMath>
      <w:r>
        <w:t>,  then returned to the original propagation frame. The rotation matrix is defined as</w:t>
      </w:r>
    </w:p>
    <w:tbl>
      <w:tblPr>
        <w:tblStyle w:val="TableGrid"/>
        <w:tblW w:w="8050" w:type="dxa"/>
        <w:tblInd w:w="1418" w:type="dxa"/>
        <w:tblLook w:val="04A0" w:firstRow="1" w:lastRow="0" w:firstColumn="1" w:lastColumn="0" w:noHBand="0" w:noVBand="1"/>
      </w:tblPr>
      <w:tblGrid>
        <w:gridCol w:w="6804"/>
        <w:gridCol w:w="1246"/>
      </w:tblGrid>
      <w:tr w:rsidR="001412EB" w14:paraId="274F1FA6" w14:textId="77777777" w:rsidTr="00D75640">
        <w:tc>
          <w:tcPr>
            <w:tcW w:w="6804" w:type="dxa"/>
            <w:tcBorders>
              <w:top w:val="nil"/>
              <w:left w:val="nil"/>
              <w:bottom w:val="nil"/>
              <w:right w:val="nil"/>
            </w:tcBorders>
          </w:tcPr>
          <w:p w14:paraId="51B03C66" w14:textId="77777777" w:rsidR="001412EB" w:rsidRPr="008E2476" w:rsidRDefault="001412EB" w:rsidP="00CA79A7">
            <w:pPr>
              <w:pStyle w:val="BodyText"/>
              <w:ind w:firstLine="289"/>
              <w:jc w:val="right"/>
              <w:rPr>
                <w:i/>
              </w:rPr>
            </w:pPr>
            <m:oMathPara>
              <m:oMath>
                <m:r>
                  <m:rPr>
                    <m:sty m:val="bi"/>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m:rPr>
                                      <m:sty m:val="p"/>
                                    </m:rPr>
                                    <w:rPr>
                                      <w:rFonts w:ascii="Cambria Math" w:hAnsi="Cambria Math"/>
                                    </w:rPr>
                                    <m:t>θ</m:t>
                                  </m:r>
                                </m:e>
                              </m:d>
                            </m:e>
                          </m:func>
                        </m:e>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2</m:t>
                                  </m:r>
                                  <m:r>
                                    <m:rPr>
                                      <m:sty m:val="p"/>
                                    </m:rPr>
                                    <w:rPr>
                                      <w:rFonts w:ascii="Cambria Math" w:hAnsi="Cambria Math"/>
                                    </w:rPr>
                                    <m:t>θ</m:t>
                                  </m:r>
                                </m:e>
                              </m:d>
                            </m:e>
                          </m:func>
                        </m:e>
                        <m:e>
                          <m:r>
                            <w:rPr>
                              <w:rFonts w:ascii="Cambria Math" w:hAnsi="Cambria Math"/>
                            </w:rPr>
                            <m:t>0</m:t>
                          </m:r>
                        </m:e>
                      </m:mr>
                      <m:mr>
                        <m:e>
                          <m:r>
                            <w:rPr>
                              <w:rFonts w:ascii="Cambria Math" w:hAnsi="Cambria Math"/>
                            </w:rPr>
                            <m:t>0</m:t>
                          </m:r>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r>
                                    <m:rPr>
                                      <m:sty m:val="p"/>
                                    </m:rPr>
                                    <w:rPr>
                                      <w:rFonts w:ascii="Cambria Math" w:hAnsi="Cambria Math"/>
                                    </w:rPr>
                                    <m:t>θ</m:t>
                                  </m:r>
                                </m:e>
                              </m:d>
                            </m:e>
                          </m:func>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m:rPr>
                                      <m:sty m:val="p"/>
                                    </m:rPr>
                                    <w:rPr>
                                      <w:rFonts w:ascii="Cambria Math" w:hAnsi="Cambria Math"/>
                                    </w:rPr>
                                    <m:t>θ</m:t>
                                  </m:r>
                                </m:e>
                              </m:d>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1246" w:type="dxa"/>
            <w:tcBorders>
              <w:top w:val="nil"/>
              <w:left w:val="nil"/>
              <w:bottom w:val="nil"/>
              <w:right w:val="nil"/>
            </w:tcBorders>
            <w:vAlign w:val="center"/>
          </w:tcPr>
          <w:p w14:paraId="7109FD81" w14:textId="77777777" w:rsidR="001412EB" w:rsidRDefault="001412EB" w:rsidP="009C3B73">
            <w:pPr>
              <w:pStyle w:val="BodyText"/>
              <w:ind w:firstLine="0"/>
              <w:jc w:val="right"/>
            </w:pPr>
            <w:r>
              <w:t>(2.20)</w:t>
            </w:r>
          </w:p>
        </w:tc>
      </w:tr>
    </w:tbl>
    <w:p w14:paraId="217DD86E" w14:textId="21488560" w:rsidR="001412EB" w:rsidRDefault="001412EB" w:rsidP="00097F5B">
      <w:pPr>
        <w:pStyle w:val="BodyText"/>
        <w:ind w:firstLine="0"/>
        <w:jc w:val="both"/>
      </w:pPr>
      <w:r>
        <w:t xml:space="preserve">where </w:t>
      </w:r>
      <m:oMath>
        <m:r>
          <w:rPr>
            <w:rFonts w:ascii="Cambria Math" w:hAnsi="Cambria Math"/>
          </w:rPr>
          <m:t>θ</m:t>
        </m:r>
      </m:oMath>
      <w:r>
        <w:t xml:space="preserve"> is the angle between the propagation and scattering reference frame. The radiance and the source terms are now Stokes vectors in 4 by 1 matrices and the scattering matrix, </w:t>
      </w:r>
      <m:oMath>
        <m:r>
          <m:rPr>
            <m:sty m:val="bi"/>
          </m:rPr>
          <w:rPr>
            <w:rFonts w:ascii="Cambria Math" w:hAnsi="Cambria Math"/>
          </w:rPr>
          <m:t>P(</m:t>
        </m:r>
        <m:r>
          <w:rPr>
            <w:rFonts w:ascii="Cambria Math" w:hAnsi="Cambria Math"/>
          </w:rPr>
          <m:t xml:space="preserve">s </m:t>
        </m:r>
        <m:r>
          <m:rPr>
            <m:sty m:val="p"/>
          </m:rPr>
          <w:rPr>
            <w:rFonts w:ascii="Cambria Math" w:hAnsi="Cambria Math" w:hint="eastAsia"/>
          </w:rPr>
          <m:t>Θ</m:t>
        </m:r>
        <m:r>
          <w:rPr>
            <w:rFonts w:ascii="Cambria Math" w:hAnsi="Cambria Math"/>
          </w:rPr>
          <m:t>)</m:t>
        </m:r>
      </m:oMath>
      <w:r>
        <w:t xml:space="preserve">, is a 4 by 4 tensor that is related the probability of the incoming light to be scattered in the propagation direction with a specific polarization. As a note, the operation of </w:t>
      </w:r>
      <m:oMath>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m:rPr>
            <m:sty m:val="bi"/>
          </m:rP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oMath>
      <w:r>
        <w:t xml:space="preserve"> is commonly referred to as the phase matrix. The polarization equation adds extra computation and memory consumption since the polarization must be computed at each scattering in the radiative transfer equation, which is nontrivial, and stored in memory, </w:t>
      </w:r>
      <w:r w:rsidR="002B6091">
        <w:t>essentially</w:t>
      </w:r>
      <w:r>
        <w:t xml:space="preserve"> four times the size of a standard scalar radiance calculation. </w:t>
      </w:r>
    </w:p>
    <w:p w14:paraId="73E4C57B" w14:textId="3E4187C3" w:rsidR="001412EB" w:rsidRDefault="001412EB" w:rsidP="00040164">
      <w:pPr>
        <w:pStyle w:val="BodyText"/>
        <w:jc w:val="both"/>
      </w:pPr>
      <w:r>
        <w:t xml:space="preserve">With the complete vector polarized radiative transfer expression the two scattering interactions that pertain to determining aerosol </w:t>
      </w:r>
      <w:r w:rsidR="002B6091">
        <w:t>are</w:t>
      </w:r>
      <w:r>
        <w:t xml:space="preserve"> described. The first interaction is Rayleigh scattering</w:t>
      </w:r>
      <w:r w:rsidR="002B6091">
        <w:t>,</w:t>
      </w:r>
      <w:r>
        <w:t xml:space="preserve"> which defines the scattering </w:t>
      </w:r>
      <w:r w:rsidR="002B6091">
        <w:t>process from</w:t>
      </w:r>
      <w:r>
        <w:t xml:space="preserve"> the </w:t>
      </w:r>
      <w:r w:rsidR="002B6091">
        <w:t xml:space="preserve">molecular </w:t>
      </w:r>
      <w:r>
        <w:t xml:space="preserve">atmosphere, and Mie </w:t>
      </w:r>
      <w:r>
        <w:lastRenderedPageBreak/>
        <w:t>scattering</w:t>
      </w:r>
      <w:r w:rsidR="002B6091">
        <w:t>,</w:t>
      </w:r>
      <w:r>
        <w:t xml:space="preserve"> which determines how incoming light scatters from </w:t>
      </w:r>
      <w:r w:rsidR="002B6091">
        <w:t xml:space="preserve">spherical particles, </w:t>
      </w:r>
      <w:r w:rsidR="002B6091" w:rsidRPr="00FD1E67">
        <w:rPr>
          <w:i/>
        </w:rPr>
        <w:t>i.e</w:t>
      </w:r>
      <w:r w:rsidR="002B6091">
        <w:t>. a model for stratospheric aerosol scattering</w:t>
      </w:r>
      <w:r>
        <w:t>.</w:t>
      </w:r>
    </w:p>
    <w:p w14:paraId="2A78F180" w14:textId="77777777" w:rsidR="001412EB" w:rsidRDefault="001412EB" w:rsidP="00FA7303">
      <w:pPr>
        <w:pStyle w:val="Heading2"/>
      </w:pPr>
      <w:bookmarkStart w:id="48" w:name="_Toc452973721"/>
      <w:bookmarkStart w:id="49" w:name="_Toc456356946"/>
      <w:r>
        <w:t>2.4.3 Rayleigh Scattering</w:t>
      </w:r>
      <w:bookmarkEnd w:id="48"/>
      <w:bookmarkEnd w:id="49"/>
    </w:p>
    <w:p w14:paraId="7CD5920A" w14:textId="17088526" w:rsidR="001412EB" w:rsidRDefault="001412EB" w:rsidP="008E2476">
      <w:pPr>
        <w:pStyle w:val="BodyText"/>
        <w:jc w:val="both"/>
      </w:pPr>
      <w:r>
        <w:t xml:space="preserve">Rayleigh scatter is the scattering </w:t>
      </w:r>
      <w:r w:rsidR="00482846">
        <w:t>process</w:t>
      </w:r>
      <w:r>
        <w:t xml:space="preserve"> by the molecular background atmosphere, </w:t>
      </w:r>
      <w:r w:rsidRPr="00A33039">
        <w:rPr>
          <w:i/>
        </w:rPr>
        <w:t>i.e</w:t>
      </w:r>
      <w:r>
        <w:t xml:space="preserve">. by molecules of the air.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 </w:t>
      </w:r>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1412EB" w14:paraId="3CA2151F" w14:textId="77777777" w:rsidTr="000927B6">
        <w:tc>
          <w:tcPr>
            <w:tcW w:w="6804" w:type="dxa"/>
            <w:tcBorders>
              <w:top w:val="nil"/>
              <w:left w:val="nil"/>
              <w:bottom w:val="nil"/>
              <w:right w:val="nil"/>
            </w:tcBorders>
          </w:tcPr>
          <w:p w14:paraId="285081F8" w14:textId="77777777" w:rsidR="001412EB" w:rsidRPr="008E2476" w:rsidRDefault="00FD1E67"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14:paraId="3396D625" w14:textId="77777777" w:rsidR="001412EB" w:rsidRDefault="001412EB" w:rsidP="009C3B73">
            <w:pPr>
              <w:pStyle w:val="BodyText"/>
              <w:ind w:firstLine="0"/>
              <w:jc w:val="right"/>
            </w:pPr>
            <w:r>
              <w:t>(2.21)</w:t>
            </w:r>
          </w:p>
        </w:tc>
      </w:tr>
    </w:tbl>
    <w:p w14:paraId="31110B46" w14:textId="7F0A5FD2" w:rsidR="001412EB" w:rsidRDefault="001412EB" w:rsidP="008E2476">
      <w:pPr>
        <w:pStyle w:val="BodyText"/>
        <w:ind w:firstLine="0"/>
        <w:jc w:val="both"/>
      </w:pPr>
      <w:r>
        <w:t xml:space="preserve">which is highly dependent on wavelength, </w:t>
      </w:r>
      <m:oMath>
        <m:r>
          <w:rPr>
            <w:rFonts w:ascii="Cambria Math" w:hAnsi="Cambria Math"/>
          </w:rPr>
          <m:t>λ</m:t>
        </m:r>
      </m:oMath>
      <w:r>
        <w:t xml:space="preserve">.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are the volume polarizability, </w:t>
      </w:r>
      <w:r w:rsidR="00482846">
        <w:t>given per unit volume</w:t>
      </w:r>
      <w:r>
        <w:t>, and the depolarization ratio, which is unitless (</w:t>
      </w:r>
      <w:r>
        <w:rPr>
          <w:i/>
        </w:rPr>
        <w:t>Sneep and Ubachs</w:t>
      </w:r>
      <w:r>
        <w:t xml:space="preserve">, 2005). </w:t>
      </w:r>
    </w:p>
    <w:p w14:paraId="75EA3B11" w14:textId="5165345F" w:rsidR="001412EB" w:rsidRDefault="001412EB" w:rsidP="000E00D9">
      <w:pPr>
        <w:pStyle w:val="BodyText"/>
        <w:jc w:val="both"/>
      </w:pPr>
      <w:r>
        <w:t>The other important quantity for scattering is the scattering matrix</w:t>
      </w:r>
      <w:r w:rsidR="00482846">
        <w:t>, which is analogous to the scattering phase function in the scalar theory</w:t>
      </w:r>
      <w:r>
        <w:t>. For Rayleigh scattering, the vector model scattering matrix is given by the Rayleigh-Gans approximation (</w:t>
      </w:r>
      <w:r>
        <w:rPr>
          <w:i/>
        </w:rPr>
        <w:t>Mishchenko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1412EB" w14:paraId="60D2F936" w14:textId="77777777" w:rsidTr="000927B6">
        <w:tc>
          <w:tcPr>
            <w:tcW w:w="6804" w:type="dxa"/>
            <w:tcBorders>
              <w:top w:val="nil"/>
              <w:left w:val="nil"/>
              <w:bottom w:val="nil"/>
              <w:right w:val="nil"/>
            </w:tcBorders>
          </w:tcPr>
          <w:p w14:paraId="35E8F5AF" w14:textId="77777777" w:rsidR="001412EB" w:rsidRPr="008E2476" w:rsidRDefault="001412EB" w:rsidP="00D70117">
            <w:pPr>
              <w:pStyle w:val="BodyText"/>
              <w:ind w:firstLine="289"/>
              <w:jc w:val="right"/>
              <w:rPr>
                <w:i/>
              </w:rPr>
            </w:pPr>
            <m:oMathPara>
              <m:oMath>
                <m:r>
                  <m:rPr>
                    <m:sty m:val="bi"/>
                  </m:rPr>
                  <w:rPr>
                    <w:rFonts w:ascii="Cambria Math" w:hAnsi="Cambria Math"/>
                  </w:rPr>
                  <m:t>P</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14:paraId="452613D0" w14:textId="77777777" w:rsidR="001412EB" w:rsidRDefault="001412EB" w:rsidP="009C3B73">
            <w:pPr>
              <w:pStyle w:val="BodyText"/>
              <w:ind w:firstLine="0"/>
              <w:jc w:val="right"/>
            </w:pPr>
            <w:r>
              <w:t>(2.22)</w:t>
            </w:r>
          </w:p>
        </w:tc>
      </w:tr>
    </w:tbl>
    <w:p w14:paraId="18AF86FA" w14:textId="04CE6A0D" w:rsidR="001412EB" w:rsidRDefault="001412EB" w:rsidP="002B54E1">
      <w:pPr>
        <w:pStyle w:val="BodyText"/>
        <w:ind w:firstLine="0"/>
        <w:jc w:val="both"/>
      </w:pPr>
      <w:r>
        <w:t>Each component of the scattering matrix itself is smooth</w:t>
      </w:r>
      <w:r w:rsidR="00482846">
        <w:t>ly varying and analytically determined,</w:t>
      </w:r>
      <w:r>
        <w:t xml:space="preserve"> which allows for easy and accurate calculation </w:t>
      </w:r>
      <w:r w:rsidR="00482846">
        <w:t>of</w:t>
      </w:r>
      <w:r>
        <w:t xml:space="preserve"> Rayleigh scattering. </w:t>
      </w:r>
    </w:p>
    <w:p w14:paraId="20D9F00D" w14:textId="77777777" w:rsidR="001412EB" w:rsidRDefault="001412EB" w:rsidP="00FA7303">
      <w:pPr>
        <w:pStyle w:val="Heading2"/>
      </w:pPr>
      <w:bookmarkStart w:id="50" w:name="_Toc452973722"/>
      <w:bookmarkStart w:id="51" w:name="_Toc456356947"/>
      <w:r>
        <w:t>2.4.4 Mie Scattering</w:t>
      </w:r>
      <w:bookmarkEnd w:id="50"/>
      <w:bookmarkEnd w:id="51"/>
    </w:p>
    <w:p w14:paraId="63DAE448" w14:textId="206A2680" w:rsidR="001412EB" w:rsidRDefault="001412EB" w:rsidP="001E4300">
      <w:pPr>
        <w:pStyle w:val="BodyText"/>
        <w:jc w:val="both"/>
      </w:pPr>
      <w:r>
        <w:t xml:space="preserve">For larger particles, like sulfate aerosol, Rayleigh scattering no longer holds since the size of the particles is on the order of the wavelength and Mie scattering must be used. </w:t>
      </w:r>
      <w:r>
        <w:rPr>
          <w:i/>
        </w:rPr>
        <w:t xml:space="preserve">Mie </w:t>
      </w:r>
      <w:r>
        <w:t xml:space="preserve">(1908) </w:t>
      </w:r>
      <w:r>
        <w:lastRenderedPageBreak/>
        <w:t>solved Maxwell’s equations</w:t>
      </w:r>
      <w:r w:rsidR="00112AA3">
        <w:t xml:space="preserve"> for scattering from a dielectric sphere</w:t>
      </w:r>
      <w:r>
        <w:t xml:space="preserve"> in a general sense with a solution using </w:t>
      </w:r>
      <w:r w:rsidR="00112AA3">
        <w:t xml:space="preserve">a series of </w:t>
      </w:r>
      <w:r>
        <w:t xml:space="preserve">spherical Bessel and Henkel functions. Only the fundamental Mie scatter equation is presented here but a full derivation of Mie scatter can be found in </w:t>
      </w:r>
      <w:r>
        <w:rPr>
          <w:i/>
        </w:rPr>
        <w:t xml:space="preserve">van de Hulst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1412EB" w14:paraId="1CDF28B8" w14:textId="77777777" w:rsidTr="000927B6">
        <w:tc>
          <w:tcPr>
            <w:tcW w:w="6804" w:type="dxa"/>
            <w:tcBorders>
              <w:top w:val="nil"/>
              <w:left w:val="nil"/>
              <w:bottom w:val="nil"/>
              <w:right w:val="nil"/>
            </w:tcBorders>
          </w:tcPr>
          <w:p w14:paraId="5F749BE2" w14:textId="77777777" w:rsidR="001412EB" w:rsidRPr="008E2476" w:rsidRDefault="00FD1E67"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14:paraId="178D255D" w14:textId="77777777" w:rsidR="001412EB" w:rsidRDefault="001412EB" w:rsidP="009C3B73">
            <w:pPr>
              <w:pStyle w:val="BodyText"/>
              <w:ind w:firstLine="0"/>
              <w:jc w:val="right"/>
            </w:pPr>
            <w:r>
              <w:t>(2.23)</w:t>
            </w:r>
          </w:p>
        </w:tc>
      </w:tr>
    </w:tbl>
    <w:p w14:paraId="3829DCB5" w14:textId="77777777" w:rsidR="001412EB" w:rsidRDefault="001412EB" w:rsidP="000927B6">
      <w:pPr>
        <w:pStyle w:val="BodyText"/>
        <w:ind w:firstLine="0"/>
      </w:pPr>
      <w:r>
        <w:t xml:space="preserve">where  </w:t>
      </w:r>
      <m:oMath>
        <m:r>
          <w:rPr>
            <w:rFonts w:ascii="Cambria Math" w:hAnsi="Cambria Math"/>
          </w:rPr>
          <m:t>k</m:t>
        </m:r>
      </m:oMath>
      <w:r>
        <w:t xml:space="preserve"> is the wavenumber, r is the particle radius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1412EB" w14:paraId="77007A21" w14:textId="77777777" w:rsidTr="005519E0">
        <w:tc>
          <w:tcPr>
            <w:tcW w:w="6804" w:type="dxa"/>
          </w:tcPr>
          <w:p w14:paraId="3904D8A2" w14:textId="77777777" w:rsidR="001412EB" w:rsidRPr="008E2476" w:rsidRDefault="00FD1E67"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09F78045" w14:textId="77777777" w:rsidR="001412EB" w:rsidRDefault="001412EB" w:rsidP="009C3B73">
            <w:pPr>
              <w:pStyle w:val="BodyText"/>
              <w:ind w:firstLine="0"/>
              <w:jc w:val="right"/>
            </w:pPr>
            <w:r>
              <w:t>(2.24)</w:t>
            </w:r>
          </w:p>
        </w:tc>
      </w:tr>
      <w:tr w:rsidR="001412EB" w14:paraId="77B7CBC7" w14:textId="77777777" w:rsidTr="005519E0">
        <w:tc>
          <w:tcPr>
            <w:tcW w:w="6804" w:type="dxa"/>
          </w:tcPr>
          <w:p w14:paraId="685A447D" w14:textId="77777777" w:rsidR="001412EB" w:rsidRPr="008E2476" w:rsidRDefault="00FD1E67"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6A025D07" w14:textId="77777777" w:rsidR="001412EB" w:rsidRDefault="001412EB" w:rsidP="009C3B73">
            <w:pPr>
              <w:pStyle w:val="BodyText"/>
              <w:ind w:firstLine="0"/>
              <w:jc w:val="right"/>
            </w:pPr>
            <w:r>
              <w:t>(2.25)</w:t>
            </w:r>
          </w:p>
        </w:tc>
      </w:tr>
    </w:tbl>
    <w:p w14:paraId="61118342" w14:textId="77777777" w:rsidR="001412EB" w:rsidRDefault="001412EB" w:rsidP="001E4300">
      <w:pPr>
        <w:pStyle w:val="BodyText"/>
        <w:ind w:firstLine="0"/>
        <w:jc w:val="both"/>
      </w:pPr>
      <w:r>
        <w:t xml:space="preserve">The index of refraction of the particle is given by </w:t>
      </w:r>
      <m:oMath>
        <m:r>
          <w:rPr>
            <w:rFonts w:ascii="Cambria Math" w:hAnsi="Cambria Math"/>
          </w:rPr>
          <m:t>n</m:t>
        </m:r>
      </m:oMath>
      <w:r>
        <w:t xml:space="preserv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t xml:space="preserve"> are the normalized half-integer order Bessel functions of the first kind and Henkel functions of the second kind respectively. The scattering matrix for Mie scatter for a vector solution has the following form (</w:t>
      </w:r>
      <w:r>
        <w:rPr>
          <w:i/>
        </w:rPr>
        <w:t>Hansen and Travis</w:t>
      </w:r>
      <w:r>
        <w:t xml:space="preserve">, 1974) </w:t>
      </w:r>
    </w:p>
    <w:tbl>
      <w:tblPr>
        <w:tblStyle w:val="TableGrid"/>
        <w:tblW w:w="9498" w:type="dxa"/>
        <w:tblLook w:val="04A0" w:firstRow="1" w:lastRow="0" w:firstColumn="1" w:lastColumn="0" w:noHBand="0" w:noVBand="1"/>
      </w:tblPr>
      <w:tblGrid>
        <w:gridCol w:w="8364"/>
        <w:gridCol w:w="1134"/>
      </w:tblGrid>
      <w:tr w:rsidR="001412EB" w14:paraId="50802E72" w14:textId="77777777" w:rsidTr="009C3B73">
        <w:tc>
          <w:tcPr>
            <w:tcW w:w="8364" w:type="dxa"/>
            <w:tcBorders>
              <w:top w:val="nil"/>
              <w:left w:val="nil"/>
              <w:bottom w:val="nil"/>
              <w:right w:val="nil"/>
            </w:tcBorders>
          </w:tcPr>
          <w:p w14:paraId="77E55F74" w14:textId="77777777" w:rsidR="001412EB" w:rsidRPr="008E2476" w:rsidRDefault="001412EB" w:rsidP="00136819">
            <w:pPr>
              <w:pStyle w:val="BodyText"/>
              <w:ind w:firstLine="289"/>
              <w:jc w:val="right"/>
              <w:rPr>
                <w:i/>
              </w:rPr>
            </w:pPr>
            <m:oMathPara>
              <m:oMath>
                <m:r>
                  <m:rPr>
                    <m:sty m:val="bi"/>
                  </m:rPr>
                  <w:rPr>
                    <w:rFonts w:ascii="Cambria Math" w:hAnsi="Cambria Math"/>
                  </w:rPr>
                  <m:t>P</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mr>
                    </m:m>
                  </m:e>
                </m:d>
                <m:r>
                  <w:rPr>
                    <w:rFonts w:ascii="Cambria Math" w:hAnsi="Cambria Math"/>
                  </w:rPr>
                  <m:t>.</m:t>
                </m:r>
              </m:oMath>
            </m:oMathPara>
          </w:p>
        </w:tc>
        <w:tc>
          <w:tcPr>
            <w:tcW w:w="1134" w:type="dxa"/>
            <w:tcBorders>
              <w:top w:val="nil"/>
              <w:left w:val="nil"/>
              <w:bottom w:val="nil"/>
              <w:right w:val="nil"/>
            </w:tcBorders>
            <w:vAlign w:val="center"/>
          </w:tcPr>
          <w:p w14:paraId="358BD53C" w14:textId="77777777" w:rsidR="001412EB" w:rsidRDefault="001412EB" w:rsidP="009C3B73">
            <w:pPr>
              <w:pStyle w:val="BodyText"/>
              <w:ind w:left="32" w:hanging="32"/>
              <w:jc w:val="right"/>
            </w:pPr>
            <w:r>
              <w:t>(2.26)</w:t>
            </w:r>
          </w:p>
        </w:tc>
      </w:tr>
    </w:tbl>
    <w:p w14:paraId="6082A879" w14:textId="77777777" w:rsidR="001412EB" w:rsidRDefault="001412EB" w:rsidP="001E4300">
      <w:pPr>
        <w:pStyle w:val="BodyText"/>
        <w:ind w:firstLine="0"/>
        <w:jc w:val="both"/>
      </w:pPr>
      <w:r>
        <w:t xml:space="preserve">The terms in the scattering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1412EB" w14:paraId="1839B697" w14:textId="77777777" w:rsidTr="001E4300">
        <w:tc>
          <w:tcPr>
            <w:tcW w:w="6804" w:type="dxa"/>
          </w:tcPr>
          <w:p w14:paraId="0F861ABA" w14:textId="77777777" w:rsidR="001412EB" w:rsidRPr="008E2476" w:rsidRDefault="00FD1E67"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26BC1336" w14:textId="77777777" w:rsidR="001412EB" w:rsidRDefault="001412EB" w:rsidP="009C3B73">
            <w:pPr>
              <w:pStyle w:val="BodyText"/>
              <w:ind w:firstLine="0"/>
              <w:jc w:val="right"/>
            </w:pPr>
            <w:r>
              <w:t>(2.27)</w:t>
            </w:r>
          </w:p>
        </w:tc>
      </w:tr>
      <w:tr w:rsidR="001412EB" w14:paraId="121B4250" w14:textId="77777777" w:rsidTr="001E4300">
        <w:tc>
          <w:tcPr>
            <w:tcW w:w="6804" w:type="dxa"/>
          </w:tcPr>
          <w:p w14:paraId="791E8CA1" w14:textId="77777777" w:rsidR="001412EB" w:rsidRPr="008E2476" w:rsidRDefault="00FD1E67"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2405EB29" w14:textId="77777777" w:rsidR="001412EB" w:rsidRDefault="001412EB" w:rsidP="009C3B73">
            <w:pPr>
              <w:pStyle w:val="BodyText"/>
              <w:ind w:firstLine="0"/>
              <w:jc w:val="right"/>
            </w:pPr>
            <w:r>
              <w:t>(2.28)</w:t>
            </w:r>
          </w:p>
        </w:tc>
      </w:tr>
    </w:tbl>
    <w:p w14:paraId="3ACBB64D" w14:textId="77777777" w:rsidR="001412EB" w:rsidRDefault="001412EB" w:rsidP="001E4300">
      <w:pPr>
        <w:pStyle w:val="BodyText"/>
        <w:ind w:firstLine="0"/>
        <w:jc w:val="both"/>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14:paraId="341D8D80" w14:textId="77777777" w:rsidR="001412EB" w:rsidRDefault="001412EB" w:rsidP="00A7651A">
      <w:pPr>
        <w:pStyle w:val="BodyText"/>
        <w:jc w:val="both"/>
      </w:pPr>
      <w:r>
        <w:lastRenderedPageBreak/>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1412EB" w14:paraId="291C245F" w14:textId="77777777" w:rsidTr="00C23298">
        <w:tc>
          <w:tcPr>
            <w:tcW w:w="6804" w:type="dxa"/>
            <w:tcBorders>
              <w:top w:val="nil"/>
              <w:left w:val="nil"/>
              <w:bottom w:val="nil"/>
              <w:right w:val="nil"/>
            </w:tcBorders>
          </w:tcPr>
          <w:p w14:paraId="6CCA460F" w14:textId="77777777" w:rsidR="001412EB" w:rsidRPr="008E2476" w:rsidRDefault="00FD1E67"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14:paraId="26EE9022" w14:textId="77777777" w:rsidR="001412EB" w:rsidRDefault="001412EB" w:rsidP="009C3B73">
            <w:pPr>
              <w:pStyle w:val="BodyText"/>
              <w:ind w:firstLine="0"/>
              <w:jc w:val="right"/>
            </w:pPr>
            <w:r>
              <w:t>(2.29)</w:t>
            </w:r>
          </w:p>
        </w:tc>
      </w:tr>
    </w:tbl>
    <w:p w14:paraId="37AC16F2" w14:textId="77777777" w:rsidR="001412EB" w:rsidRDefault="001412EB" w:rsidP="00C452B7">
      <w:pPr>
        <w:pStyle w:val="BodyText"/>
        <w:ind w:firstLine="0"/>
        <w:jc w:val="both"/>
      </w:pPr>
      <w:r>
        <w:t>The weighted average is similarly performed to determine the effective phase matrix for a particle size distribution.</w:t>
      </w:r>
    </w:p>
    <w:p w14:paraId="5FF911DC" w14:textId="2B41B77D" w:rsidR="001412EB" w:rsidRDefault="001412EB" w:rsidP="00832BF3">
      <w:pPr>
        <w:pStyle w:val="BodyText"/>
        <w:jc w:val="both"/>
      </w:pPr>
      <w:r>
        <w:t xml:space="preserve">There are stark differences between Rayleigh and Mie scattering cross sections and scattering matrices. Using standard atmospheric conditions, a comparisons of the extinctions and thus the scattering cross sections </w:t>
      </w:r>
      <w:r w:rsidR="00112AA3">
        <w:t>as a function of</w:t>
      </w:r>
      <w:r>
        <w:t xml:space="preserve"> wavelength </w:t>
      </w:r>
      <w:r w:rsidR="00112AA3">
        <w:t>are shown</w:t>
      </w:r>
      <w:r>
        <w:t xml:space="preserve"> in </w:t>
      </w:r>
      <w:r>
        <w:fldChar w:fldCharType="begin"/>
      </w:r>
      <w:r>
        <w:instrText xml:space="preserve"> REF _Ref455578667 \h </w:instrText>
      </w:r>
      <w:r>
        <w:fldChar w:fldCharType="separate"/>
      </w:r>
      <w:r>
        <w:t>Figure 2-</w:t>
      </w:r>
      <w:r>
        <w:rPr>
          <w:noProof/>
        </w:rPr>
        <w:t>6</w:t>
      </w:r>
      <w:r>
        <w:fldChar w:fldCharType="end"/>
      </w:r>
      <w:r>
        <w:t xml:space="preserve">a. The </w:t>
      </w:r>
      <w:r w:rsidR="00112AA3">
        <w:t>“</w:t>
      </w:r>
      <w:r>
        <w:t>wavelength to the fourth</w:t>
      </w:r>
      <w:r w:rsidR="00112AA3">
        <w:t>” dependence is shown for</w:t>
      </w:r>
      <w:r>
        <w:t xml:space="preserve"> Rayleigh scattering, in blue, (Equation 2.21) whereas Mie scattering, in red, </w:t>
      </w:r>
      <w:r w:rsidR="00112AA3">
        <w:t>has a flatter spectral dependence, which changes with particle size</w:t>
      </w:r>
      <w:r>
        <w:t xml:space="preserve">. Due to </w:t>
      </w:r>
      <w:r w:rsidR="00112AA3">
        <w:t>this</w:t>
      </w:r>
      <w:r>
        <w:t xml:space="preserve"> difference</w:t>
      </w:r>
      <w:r w:rsidR="00112AA3">
        <w:t>,</w:t>
      </w:r>
      <w:r>
        <w:t xml:space="preserve"> the </w:t>
      </w:r>
      <w:r w:rsidR="00112AA3">
        <w:t>contribution</w:t>
      </w:r>
      <w:r>
        <w:t xml:space="preserve"> of Mie scattering becomes more predominant as wavelength increases. </w:t>
      </w:r>
      <w:r w:rsidR="00112AA3">
        <w:t>T</w:t>
      </w:r>
      <w:r>
        <w:t xml:space="preserve">he </w:t>
      </w:r>
      <w:r w:rsidR="00112AA3">
        <w:t xml:space="preserve">terms of the </w:t>
      </w:r>
      <w:r>
        <w:t xml:space="preserve">scattering </w:t>
      </w:r>
      <w:r w:rsidR="00112AA3">
        <w:t xml:space="preserve">phase </w:t>
      </w:r>
      <w:r>
        <w:t xml:space="preserve">matrix </w:t>
      </w:r>
      <w:r w:rsidR="00112AA3">
        <w:t>are</w:t>
      </w:r>
      <w:r>
        <w:t xml:space="preserve"> also radically different</w:t>
      </w:r>
      <w:r w:rsidR="00112AA3">
        <w:t xml:space="preserve"> for the two scattering processes</w:t>
      </w:r>
      <w:r>
        <w:t xml:space="preserve"> (</w:t>
      </w:r>
      <w:r>
        <w:fldChar w:fldCharType="begin"/>
      </w:r>
      <w:r>
        <w:instrText xml:space="preserve"> REF _Ref455578667 \h </w:instrText>
      </w:r>
      <w:r>
        <w:fldChar w:fldCharType="separate"/>
      </w:r>
      <w:r>
        <w:t>Figure 2-</w:t>
      </w:r>
      <w:r>
        <w:rPr>
          <w:noProof/>
        </w:rPr>
        <w:t>6</w:t>
      </w:r>
      <w:r>
        <w:fldChar w:fldCharType="end"/>
      </w:r>
      <w:r>
        <w:t xml:space="preserve">b). </w:t>
      </w:r>
      <w:r w:rsidR="00112AA3">
        <w:t>For</w:t>
      </w:r>
      <w:r>
        <w:t xml:space="preserve"> the first term of the scattering matrix, </w:t>
      </w:r>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oMath>
      <w:r>
        <w:t xml:space="preserve">, the Rayleigh term is smooth with even forward and back scattering and </w:t>
      </w:r>
      <w:r w:rsidR="00112AA3">
        <w:t>decreases at</w:t>
      </w:r>
      <w:r>
        <w:t xml:space="preserve"> 90</w:t>
      </w:r>
      <w:r>
        <w:rPr>
          <w:vertAlign w:val="superscript"/>
        </w:rPr>
        <w:t xml:space="preserve">◦ </w:t>
      </w:r>
      <w:r w:rsidRPr="00344919">
        <w:t xml:space="preserve">scattering </w:t>
      </w:r>
      <w:r w:rsidRPr="00C94AB1">
        <w:t>angle</w:t>
      </w:r>
      <w:r w:rsidRPr="00344919">
        <w:t xml:space="preserve">. </w:t>
      </w:r>
      <w:r>
        <w:t xml:space="preserve">The scattering term for Mie on the other hand has a strong tendency for forward scattering compared with </w:t>
      </w:r>
      <w:r w:rsidR="00112AA3">
        <w:t>much lower values</w:t>
      </w:r>
      <w:r>
        <w:t xml:space="preserve"> for scattering angles past 90</w:t>
      </w:r>
      <w:r>
        <w:rPr>
          <w:vertAlign w:val="superscript"/>
        </w:rPr>
        <w:t>◦</w:t>
      </w:r>
      <w:r>
        <w:t>. Further, for certain wavelengths and size parameters the Mie phase matrix can have oscillations s</w:t>
      </w:r>
      <w:r w:rsidR="00112AA3">
        <w:t>uper-</w:t>
      </w:r>
      <w:r>
        <w:t xml:space="preserve">imposed onto the curve making the phase matrix even more complex than Rayleigh scattering. </w:t>
      </w:r>
    </w:p>
    <w:p w14:paraId="5A4DE6F7" w14:textId="79A26D11" w:rsidR="003C6943" w:rsidRDefault="003C6943" w:rsidP="00832BF3">
      <w:pPr>
        <w:pStyle w:val="BodyText"/>
        <w:jc w:val="both"/>
      </w:pPr>
      <w:r>
        <w:t xml:space="preserve">It should be noted that although the theory is well understood, the calculation of the Mie scattering cross sections and phase matrices in practice is computationally intensive since the terms consist of infinite sums of Bessel and Henkel functions. Comprehensive work done by </w:t>
      </w:r>
      <w:r>
        <w:rPr>
          <w:i/>
        </w:rPr>
        <w:t>Wiscombe</w:t>
      </w:r>
      <w:r>
        <w:t xml:space="preserve"> </w:t>
      </w:r>
      <w:r>
        <w:lastRenderedPageBreak/>
        <w:t>(1980) has allowed for accurate and efficient computation of the Mie scattering coefficients, and these are used within the modelling work presented here.</w:t>
      </w:r>
    </w:p>
    <w:p w14:paraId="712F1DDA" w14:textId="77777777" w:rsidR="001412EB" w:rsidRDefault="001412EB" w:rsidP="00832BF3">
      <w:pPr>
        <w:pStyle w:val="BodyText"/>
        <w:keepNext/>
        <w:ind w:firstLine="0"/>
        <w:jc w:val="both"/>
      </w:pPr>
      <w:r>
        <w:rPr>
          <w:noProof/>
          <w:lang w:val="en-US"/>
        </w:rPr>
        <w:drawing>
          <wp:inline distT="0" distB="0" distL="0" distR="0" wp14:anchorId="0F5CC4FE" wp14:editId="74FDF3A0">
            <wp:extent cx="5943600" cy="2771775"/>
            <wp:effectExtent l="0" t="0" r="0" b="9525"/>
            <wp:docPr id="10" name="Picture 10" descr="C:\Users\bje035\Documents\MATLAB\ALI\ThesisFigures\2-4-RayAndMieScattering\2-4-RayAndMieScat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e035\Documents\MATLAB\ALI\ThesisFigures\2-4-RayAndMieScattering\2-4-RayAndMieScatter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3A92716E" w14:textId="1313B711" w:rsidR="001412EB" w:rsidRDefault="001412EB" w:rsidP="003C6943">
      <w:pPr>
        <w:pStyle w:val="Caption"/>
        <w:spacing w:before="0" w:after="0"/>
        <w:jc w:val="both"/>
        <w:rPr>
          <w:b w:val="0"/>
        </w:rPr>
      </w:pPr>
      <w:bookmarkStart w:id="52" w:name="_Ref455578667"/>
      <w:bookmarkStart w:id="53" w:name="_Toc456357169"/>
      <w:r>
        <w:t>Figure 2-</w:t>
      </w:r>
      <w:fldSimple w:instr=" SEQ Figure \* ARABIC ">
        <w:r>
          <w:rPr>
            <w:noProof/>
          </w:rPr>
          <w:t>6</w:t>
        </w:r>
      </w:fldSimple>
      <w:bookmarkEnd w:id="52"/>
      <w:r>
        <w:t>:</w:t>
      </w:r>
      <w:r>
        <w:rPr>
          <w:b w:val="0"/>
        </w:rPr>
        <w:t xml:space="preserve"> (a) Change in scattering cross section for Rayleigh and Mie scattering over wavelength. The Mie scattering uses a log-normal distribution with a mode width of 1.6 and a mode radius of 0.08 µm. (b) The first term of scattering matrix, </w:t>
      </w:r>
      <m:oMath>
        <m:sSub>
          <m:sSubPr>
            <m:ctrlPr>
              <w:rPr>
                <w:rFonts w:ascii="Cambria Math" w:hAnsi="Cambria Math"/>
                <w:b w:val="0"/>
                <w:i/>
              </w:rPr>
            </m:ctrlPr>
          </m:sSubPr>
          <m:e>
            <m:r>
              <w:rPr>
                <w:rFonts w:ascii="Cambria Math" w:hAnsi="Cambria Math"/>
              </w:rPr>
              <m:t>P</m:t>
            </m:r>
          </m:e>
          <m:sub>
            <m:r>
              <m:rPr>
                <m:sty m:val="bi"/>
              </m:rPr>
              <w:rPr>
                <w:rFonts w:ascii="Cambria Math" w:hAnsi="Cambria Math"/>
              </w:rPr>
              <m:t>11</m:t>
            </m:r>
          </m:sub>
        </m:sSub>
        <m:r>
          <m:rPr>
            <m:sty m:val="bi"/>
          </m:rPr>
          <w:rPr>
            <w:rFonts w:ascii="Cambria Math" w:hAnsi="Cambria Math"/>
          </w:rPr>
          <m:t>(</m:t>
        </m:r>
        <m:r>
          <m:rPr>
            <m:sty m:val="b"/>
          </m:rPr>
          <w:rPr>
            <w:rFonts w:ascii="Cambria Math" w:hAnsi="Cambria Math"/>
          </w:rPr>
          <m:t>Θ</m:t>
        </m:r>
        <m:r>
          <m:rPr>
            <m:sty m:val="bi"/>
          </m:rPr>
          <w:rPr>
            <w:rFonts w:ascii="Cambria Math" w:hAnsi="Cambria Math"/>
          </w:rPr>
          <m:t>)</m:t>
        </m:r>
      </m:oMath>
      <w:r>
        <w:rPr>
          <w:b w:val="0"/>
        </w:rPr>
        <w:t>, for Rayleigh and Mie scattering across scattering angle.</w:t>
      </w:r>
      <w:bookmarkEnd w:id="53"/>
    </w:p>
    <w:p w14:paraId="1D905D72" w14:textId="77777777" w:rsidR="003C6943" w:rsidRPr="003C6943" w:rsidRDefault="003C6943" w:rsidP="003C6943"/>
    <w:p w14:paraId="1F164CEC" w14:textId="77777777" w:rsidR="001412EB" w:rsidRDefault="001412EB" w:rsidP="00BA54C2">
      <w:pPr>
        <w:pStyle w:val="Heading2"/>
      </w:pPr>
      <w:bookmarkStart w:id="54" w:name="_Toc452973723"/>
      <w:bookmarkStart w:id="55" w:name="_Toc456356948"/>
      <w:r>
        <w:t>2.4.5 SASKTRAN Radiative Transfer Model</w:t>
      </w:r>
      <w:bookmarkEnd w:id="54"/>
      <w:bookmarkEnd w:id="55"/>
    </w:p>
    <w:p w14:paraId="3591C9E9" w14:textId="64AFBC19" w:rsidR="001412EB" w:rsidRDefault="001412EB" w:rsidP="00AB70C3">
      <w:pPr>
        <w:pStyle w:val="BodyText"/>
        <w:jc w:val="both"/>
      </w:pPr>
      <w:r>
        <w:t>The SASKTRAN radiative transfer was first developed to solve the scalar radiative transfer equation in a fully spherical atmosphere for both single and multiple scatter</w:t>
      </w:r>
      <w:r w:rsidR="00AF1E5B">
        <w:t>ing</w:t>
      </w:r>
      <w:r>
        <w:t xml:space="preserve"> with a one dimensional atmosphere, </w:t>
      </w:r>
      <w:r w:rsidRPr="00A33039">
        <w:rPr>
          <w:i/>
        </w:rPr>
        <w:t>i.e</w:t>
      </w:r>
      <w:r>
        <w:t>. considering the variation in altitude only (</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xml:space="preserve">, is the </w:t>
      </w:r>
      <w:r w:rsidR="00AF1E5B">
        <w:t>l</w:t>
      </w:r>
      <w:r>
        <w:t>ight from the sun attenuated and scattered into the instrument line of sight, and it is assumed the incoming solar irradiance encounters the earth in parallel randomly polarized rays. To include higher order terms, a successive orders method is used to simulate second, third and higher orders of scattering within the atmospheric model. Another important assumption in the SASKTRAN model is that the ground reflection is assumed to have a depolarizing Lambertian distribution, which will evenly distribute the incoming radiance evenly in all outgoing directions with the efficiency of the planetary albedo.</w:t>
      </w:r>
    </w:p>
    <w:p w14:paraId="34FBB0C2" w14:textId="77F66D8F" w:rsidR="001412EB" w:rsidRDefault="001412EB" w:rsidP="00AB70C3">
      <w:pPr>
        <w:pStyle w:val="BodyText"/>
        <w:jc w:val="both"/>
      </w:pPr>
      <w:r>
        <w:lastRenderedPageBreak/>
        <w:t xml:space="preserve">Recent upgrades have been performed on SASKTRAN and have led to a new </w:t>
      </w:r>
      <w:r w:rsidR="00AF1E5B">
        <w:t>solver, or “</w:t>
      </w:r>
      <w:r>
        <w:t>engine</w:t>
      </w:r>
      <w:r w:rsidR="00AF1E5B">
        <w:t>”</w:t>
      </w:r>
      <w:r>
        <w:t xml:space="preserve"> known as SASKTRAN High Resolution or SASKTRAN-HR (</w:t>
      </w:r>
      <w:r w:rsidRPr="005C4C73">
        <w:rPr>
          <w:i/>
        </w:rPr>
        <w:t>Zawada et al.</w:t>
      </w:r>
      <w:r>
        <w:t>, 2015) which has expanded the model</w:t>
      </w:r>
      <w:r w:rsidR="00AF1E5B">
        <w:t xml:space="preserve"> capabilities</w:t>
      </w:r>
      <w:r>
        <w:t xml:space="preserve"> to be able to perform radiative transfer calculations with a fully three dimensional atmosphere. This update allows the model to vary the atmospheric concentrations in not just the vertical direction, like the original SASKTRAN, but in both of the horizontal geometries (</w:t>
      </w:r>
      <w:r>
        <w:rPr>
          <w:i/>
        </w:rPr>
        <w:t>i.e.</w:t>
      </w:r>
      <w:r>
        <w:t xml:space="preserve"> latitude and longitude), allowing for </w:t>
      </w:r>
      <w:r w:rsidR="00AF1E5B">
        <w:t>more accurate modelling of the variation of atmospheric parameters along the instrument line of sight and the potential for tomographic inversions</w:t>
      </w:r>
      <w:r>
        <w:t xml:space="preserve">. </w:t>
      </w:r>
    </w:p>
    <w:p w14:paraId="36B8D666" w14:textId="2686DDA1" w:rsidR="001412EB" w:rsidRDefault="001412EB" w:rsidP="00AB70C3">
      <w:pPr>
        <w:pStyle w:val="BodyText"/>
        <w:jc w:val="both"/>
      </w:pPr>
      <w:r>
        <w:t>The most important update to the SASKTRAN-HR model for th</w:t>
      </w:r>
      <w:r w:rsidR="00AF1E5B">
        <w:t xml:space="preserve">is thesis work </w:t>
      </w:r>
      <w:r>
        <w:t xml:space="preserve">is the </w:t>
      </w:r>
      <w:r w:rsidR="00AF1E5B">
        <w:t>capab</w:t>
      </w:r>
      <w:r>
        <w:t>ility to calculate the vector or polarized radiances (</w:t>
      </w:r>
      <w:r w:rsidRPr="005C4C73">
        <w:rPr>
          <w:i/>
        </w:rPr>
        <w:t>Dueck et al.</w:t>
      </w:r>
      <w:r>
        <w:t xml:space="preserve">, 2016). </w:t>
      </w:r>
      <w:r w:rsidR="00AF1E5B">
        <w:t>Solving</w:t>
      </w:r>
      <w:r>
        <w:t xml:space="preserve"> the vector</w:t>
      </w:r>
      <w:r w:rsidR="00AF1E5B">
        <w:t xml:space="preserve"> radiative transfer equation</w:t>
      </w:r>
      <w:r>
        <w:t xml:space="preserve"> allows for SASKTRAN to compute the Stokes vectors in the reference frame of the model, which </w:t>
      </w:r>
      <w:r w:rsidR="00AF1E5B">
        <w:t>can then</w:t>
      </w:r>
      <w:r>
        <w:t xml:space="preserve"> be rotated into any desired </w:t>
      </w:r>
      <w:r w:rsidR="00AF1E5B">
        <w:t xml:space="preserve">instrument </w:t>
      </w:r>
      <w:r>
        <w:t xml:space="preserve">frame of reference. The polarization </w:t>
      </w:r>
      <w:r w:rsidR="00AF1E5B">
        <w:t>algorithm</w:t>
      </w:r>
      <w:r>
        <w:t xml:space="preserve"> </w:t>
      </w:r>
      <w:r w:rsidR="00AF1E5B">
        <w:t>implemented in</w:t>
      </w:r>
      <w:r>
        <w:t xml:space="preserve"> SASKTRAN-HR </w:t>
      </w:r>
      <w:r w:rsidR="00AF1E5B">
        <w:t>provides</w:t>
      </w:r>
      <w:r>
        <w:t xml:space="preserve"> polarized calculations up to a </w:t>
      </w:r>
      <w:r w:rsidR="00AF1E5B">
        <w:t>user-specified number of orders of scattering, with all successive</w:t>
      </w:r>
      <w:r>
        <w:t xml:space="preserve"> </w:t>
      </w:r>
      <w:r w:rsidR="00AF1E5B">
        <w:t>orders approximated as randomly polarized</w:t>
      </w:r>
      <w:r>
        <w:t xml:space="preserve">. </w:t>
      </w:r>
    </w:p>
    <w:p w14:paraId="6C05CB50" w14:textId="77777777" w:rsidR="001412EB" w:rsidRDefault="001412EB" w:rsidP="00C36322">
      <w:pPr>
        <w:pStyle w:val="Heading1"/>
      </w:pPr>
      <w:bookmarkStart w:id="56" w:name="_Toc456356949"/>
      <w:r>
        <w:t>2.5 Inversion Techniques</w:t>
      </w:r>
      <w:bookmarkEnd w:id="56"/>
    </w:p>
    <w:p w14:paraId="3555A81C" w14:textId="1C91DF03" w:rsidR="001412EB" w:rsidRDefault="001412EB" w:rsidP="005E5B67">
      <w:pPr>
        <w:pStyle w:val="BodyText"/>
        <w:jc w:val="both"/>
      </w:pPr>
      <w:r>
        <w:t xml:space="preserve">Remote sensing methods indirectly measure the </w:t>
      </w:r>
      <w:r w:rsidR="007762A7">
        <w:t xml:space="preserve">desired </w:t>
      </w:r>
      <w:r>
        <w:t>atmosphere</w:t>
      </w:r>
      <w:r w:rsidR="007762A7">
        <w:t xml:space="preserve"> state</w:t>
      </w:r>
      <w:r>
        <w:t xml:space="preserve"> and require a method to be able to </w:t>
      </w:r>
      <w:r w:rsidR="007762A7">
        <w:t>transform the measurement into the desired</w:t>
      </w:r>
      <w:r>
        <w:t xml:space="preserve"> physical atmospheric quantity. This process is known as a measurement </w:t>
      </w:r>
      <w:r w:rsidR="007762A7">
        <w:t>“</w:t>
      </w:r>
      <w:r>
        <w:t>inversion</w:t>
      </w:r>
      <w:r w:rsidR="007762A7">
        <w:t>”, “retrieval”,</w:t>
      </w:r>
      <w:r>
        <w:t xml:space="preserve"> or </w:t>
      </w:r>
      <w:r w:rsidR="007762A7">
        <w:t xml:space="preserve">more generally as the </w:t>
      </w:r>
      <w:r>
        <w:t xml:space="preserve">inverse problem. A measurement vector, </w:t>
      </w:r>
      <m:oMath>
        <m:r>
          <m:rPr>
            <m:sty m:val="bi"/>
          </m:rPr>
          <w:rPr>
            <w:rFonts w:ascii="Cambria Math" w:hAnsi="Cambria Math"/>
          </w:rPr>
          <m:t>y</m:t>
        </m:r>
      </m:oMath>
      <w:r>
        <w:t>, is constructed from the spectral radiance that has sensitivity to the desired physical parameter while reducing sensitivity to other physical parameters as much as possible. A forward model (</w:t>
      </w:r>
      <w:r w:rsidR="007762A7">
        <w:t xml:space="preserve">for example in this case </w:t>
      </w:r>
      <w:r>
        <w:t xml:space="preserve">SASKTRAN-HR), </w:t>
      </w:r>
      <m:oMath>
        <m:r>
          <m:rPr>
            <m:sty m:val="bi"/>
          </m:rPr>
          <w:rPr>
            <w:rFonts w:ascii="Cambria Math" w:hAnsi="Cambria Math"/>
          </w:rPr>
          <m:t>F(x,b)</m:t>
        </m:r>
      </m:oMath>
      <w:r>
        <w:t xml:space="preserve"> is used to compute the measurement vector using an input </w:t>
      </w:r>
      <w:r w:rsidR="007762A7">
        <w:t xml:space="preserve">atmospheric </w:t>
      </w:r>
      <w:r>
        <w:t xml:space="preserve">state, </w:t>
      </w:r>
      <m:oMath>
        <m:r>
          <m:rPr>
            <m:sty m:val="bi"/>
          </m:rPr>
          <w:rPr>
            <w:rFonts w:ascii="Cambria Math" w:hAnsi="Cambria Math"/>
          </w:rPr>
          <m:t>b</m:t>
        </m:r>
      </m:oMath>
      <w:r>
        <w:t xml:space="preserve">, and </w:t>
      </w:r>
      <w:r w:rsidR="007762A7">
        <w:t xml:space="preserve">desired </w:t>
      </w:r>
      <w:r>
        <w:t xml:space="preserve">physical </w:t>
      </w:r>
      <w:r>
        <w:lastRenderedPageBreak/>
        <w:t xml:space="preserve">parameter state, </w:t>
      </w:r>
      <m:oMath>
        <m:r>
          <m:rPr>
            <m:sty m:val="bi"/>
          </m:rPr>
          <w:rPr>
            <w:rFonts w:ascii="Cambria Math" w:hAnsi="Cambria Math"/>
          </w:rPr>
          <m:t>x</m:t>
        </m:r>
      </m:oMath>
      <w:r>
        <w:t xml:space="preserve">. The length of the measurement vector and state vector are </w:t>
      </w:r>
      <m:oMath>
        <m:r>
          <w:rPr>
            <w:rFonts w:ascii="Cambria Math" w:hAnsi="Cambria Math"/>
          </w:rPr>
          <m:t>m</m:t>
        </m:r>
      </m:oMath>
      <w:r>
        <w:t xml:space="preserve"> and </w:t>
      </w:r>
      <m:oMath>
        <m:r>
          <w:rPr>
            <w:rFonts w:ascii="Cambria Math" w:hAnsi="Cambria Math"/>
          </w:rPr>
          <m:t>n</m:t>
        </m:r>
      </m:oMath>
      <w:r>
        <w:t xml:space="preserve"> respectively. It is important to note that the length of the measurement vector and state vector do not have to be the same. This leads to the following formation</w:t>
      </w:r>
    </w:p>
    <w:tbl>
      <w:tblPr>
        <w:tblStyle w:val="TableGrid"/>
        <w:tblW w:w="8050" w:type="dxa"/>
        <w:tblInd w:w="1418" w:type="dxa"/>
        <w:tblLook w:val="04A0" w:firstRow="1" w:lastRow="0" w:firstColumn="1" w:lastColumn="0" w:noHBand="0" w:noVBand="1"/>
      </w:tblPr>
      <w:tblGrid>
        <w:gridCol w:w="6804"/>
        <w:gridCol w:w="1246"/>
      </w:tblGrid>
      <w:tr w:rsidR="001412EB" w14:paraId="1D57962B" w14:textId="77777777" w:rsidTr="000214D1">
        <w:tc>
          <w:tcPr>
            <w:tcW w:w="6804" w:type="dxa"/>
            <w:tcBorders>
              <w:top w:val="nil"/>
              <w:left w:val="nil"/>
              <w:bottom w:val="nil"/>
              <w:right w:val="nil"/>
            </w:tcBorders>
          </w:tcPr>
          <w:p w14:paraId="321F1151" w14:textId="77777777" w:rsidR="001412EB" w:rsidRPr="008E2476" w:rsidRDefault="001412EB" w:rsidP="00224869">
            <w:pPr>
              <w:pStyle w:val="BodyText"/>
              <w:ind w:firstLine="289"/>
              <w:jc w:val="right"/>
              <w:rPr>
                <w:i/>
              </w:rPr>
            </w:pPr>
            <m:oMathPara>
              <m:oMath>
                <m:r>
                  <m:rPr>
                    <m:sty m:val="bi"/>
                  </m:rPr>
                  <w:rPr>
                    <w:rFonts w:ascii="Cambria Math" w:hAnsi="Cambria Math"/>
                  </w:rPr>
                  <m:t>y=F</m:t>
                </m:r>
                <m:d>
                  <m:dPr>
                    <m:ctrlPr>
                      <w:rPr>
                        <w:rFonts w:ascii="Cambria Math" w:hAnsi="Cambria Math"/>
                        <w:b/>
                        <w:i/>
                      </w:rPr>
                    </m:ctrlPr>
                  </m:dPr>
                  <m:e>
                    <m:r>
                      <m:rPr>
                        <m:sty m:val="bi"/>
                      </m:rPr>
                      <w:rPr>
                        <w:rFonts w:ascii="Cambria Math" w:hAnsi="Cambria Math"/>
                      </w:rPr>
                      <m:t>x,b</m:t>
                    </m:r>
                  </m:e>
                </m:d>
                <m:r>
                  <m:rPr>
                    <m:sty m:val="bi"/>
                  </m:rPr>
                  <w:rPr>
                    <w:rFonts w:ascii="Cambria Math" w:hAnsi="Cambria Math"/>
                  </w:rPr>
                  <m:t>+ϵ,</m:t>
                </m:r>
              </m:oMath>
            </m:oMathPara>
          </w:p>
        </w:tc>
        <w:tc>
          <w:tcPr>
            <w:tcW w:w="1246" w:type="dxa"/>
            <w:tcBorders>
              <w:top w:val="nil"/>
              <w:left w:val="nil"/>
              <w:bottom w:val="nil"/>
              <w:right w:val="nil"/>
            </w:tcBorders>
            <w:vAlign w:val="center"/>
          </w:tcPr>
          <w:p w14:paraId="6CE80D6A" w14:textId="77777777" w:rsidR="001412EB" w:rsidRDefault="001412EB" w:rsidP="00224869">
            <w:pPr>
              <w:pStyle w:val="BodyText"/>
              <w:ind w:firstLine="0"/>
              <w:jc w:val="right"/>
            </w:pPr>
            <w:r>
              <w:t>(2.30)</w:t>
            </w:r>
          </w:p>
        </w:tc>
      </w:tr>
    </w:tbl>
    <w:p w14:paraId="4428B06F" w14:textId="4574712D" w:rsidR="001412EB" w:rsidRDefault="001412EB" w:rsidP="00C36322">
      <w:pPr>
        <w:pStyle w:val="BodyText"/>
        <w:ind w:firstLine="0"/>
        <w:jc w:val="both"/>
      </w:pPr>
      <w:r>
        <w:t xml:space="preserve">where </w:t>
      </w:r>
      <m:oMath>
        <m:r>
          <m:rPr>
            <m:sty m:val="bi"/>
          </m:rPr>
          <w:rPr>
            <w:rFonts w:ascii="Cambria Math" w:hAnsi="Cambria Math"/>
          </w:rPr>
          <m:t>ϵ</m:t>
        </m:r>
      </m:oMath>
      <w:r>
        <w:t>, is the measurement noise</w:t>
      </w:r>
      <w:r w:rsidR="007762A7">
        <w:t>.</w:t>
      </w:r>
      <w:r>
        <w:t xml:space="preserve"> </w:t>
      </w:r>
      <w:r w:rsidR="007762A7">
        <w:t>This is the equation that</w:t>
      </w:r>
      <w:r>
        <w:t xml:space="preserve"> needs to be inver</w:t>
      </w:r>
      <w:r w:rsidR="007762A7">
        <w:t>ted to yield the desired atmospheric state</w:t>
      </w:r>
      <w:r>
        <w:t>.</w:t>
      </w:r>
    </w:p>
    <w:p w14:paraId="680570BB" w14:textId="77777777" w:rsidR="001412EB" w:rsidRDefault="001412EB" w:rsidP="00224869">
      <w:pPr>
        <w:pStyle w:val="BodyText"/>
        <w:jc w:val="both"/>
      </w:pPr>
      <w:r>
        <w:t xml:space="preserve">The inverse is found directly if it is assumed that there is no measurement error and the problem is linear. Using an initial guess or </w:t>
      </w:r>
      <w:r w:rsidRPr="007762A7">
        <w:rPr>
          <w:i/>
        </w:rPr>
        <w:t>a priori</w:t>
      </w:r>
      <w:r>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oMath>
      <w:r>
        <w:t>, the retrieved parameter state can be found through</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1412EB" w14:paraId="029644CB" w14:textId="77777777" w:rsidTr="00C36322">
        <w:tc>
          <w:tcPr>
            <w:tcW w:w="6804" w:type="dxa"/>
          </w:tcPr>
          <w:p w14:paraId="33C2B10B" w14:textId="77777777" w:rsidR="001412EB" w:rsidRPr="008E2476" w:rsidRDefault="001412EB" w:rsidP="003664F3">
            <w:pPr>
              <w:pStyle w:val="BodyText"/>
              <w:ind w:firstLine="289"/>
              <w:jc w:val="right"/>
              <w:rPr>
                <w:i/>
              </w:rPr>
            </w:pPr>
            <m:oMathPara>
              <m:oMath>
                <m:r>
                  <m:rPr>
                    <m:sty m:val="bi"/>
                  </m:rPr>
                  <w:rPr>
                    <w:rFonts w:ascii="Cambria Math" w:hAnsi="Cambria Math"/>
                  </w:rPr>
                  <m:t>y=K</m:t>
                </m:r>
                <m:d>
                  <m:dPr>
                    <m:ctrlPr>
                      <w:rPr>
                        <w:rFonts w:ascii="Cambria Math" w:hAnsi="Cambria Math"/>
                        <w:b/>
                        <w:i/>
                      </w:rPr>
                    </m:ctrlPr>
                  </m:dPr>
                  <m:e>
                    <m:r>
                      <m:rPr>
                        <m:sty m:val="bi"/>
                      </m:rPr>
                      <w:rPr>
                        <w:rFonts w:ascii="Cambria Math" w:hAnsi="Cambria Math"/>
                      </w:rPr>
                      <m:t>x-</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e>
                </m:d>
                <m:r>
                  <m:rPr>
                    <m:sty m:val="bi"/>
                  </m:rPr>
                  <w:rPr>
                    <w:rFonts w:ascii="Cambria Math" w:hAnsi="Cambria Math"/>
                  </w:rPr>
                  <m:t>+F(</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,b),</m:t>
                </m:r>
              </m:oMath>
            </m:oMathPara>
          </w:p>
        </w:tc>
        <w:tc>
          <w:tcPr>
            <w:tcW w:w="1246" w:type="dxa"/>
            <w:vAlign w:val="center"/>
          </w:tcPr>
          <w:p w14:paraId="4F0EB72E" w14:textId="77777777" w:rsidR="001412EB" w:rsidRDefault="001412EB" w:rsidP="003664F3">
            <w:pPr>
              <w:pStyle w:val="BodyText"/>
              <w:ind w:firstLine="0"/>
              <w:jc w:val="right"/>
            </w:pPr>
            <w:r>
              <w:t>(2.31)</w:t>
            </w:r>
          </w:p>
        </w:tc>
      </w:tr>
      <w:tr w:rsidR="001412EB" w14:paraId="3A0098C6" w14:textId="77777777" w:rsidTr="00C36322">
        <w:tc>
          <w:tcPr>
            <w:tcW w:w="6804" w:type="dxa"/>
          </w:tcPr>
          <w:p w14:paraId="59D9D47F" w14:textId="77777777" w:rsidR="001412EB" w:rsidRPr="008E2476" w:rsidRDefault="00FD1E67" w:rsidP="003664F3">
            <w:pPr>
              <w:pStyle w:val="BodyText"/>
              <w:ind w:firstLine="289"/>
              <w:jc w:val="right"/>
              <w:rPr>
                <w:i/>
              </w:rPr>
            </w:pPr>
            <m:oMathPara>
              <m:oMath>
                <m:acc>
                  <m:accPr>
                    <m:ctrlPr>
                      <w:rPr>
                        <w:rFonts w:ascii="Cambria Math" w:hAnsi="Cambria Math"/>
                        <w:b/>
                        <w:i/>
                      </w:rPr>
                    </m:ctrlPr>
                  </m:accPr>
                  <m:e>
                    <m:r>
                      <m:rPr>
                        <m:sty m:val="bi"/>
                      </m:rPr>
                      <w:rPr>
                        <w:rFonts w:ascii="Cambria Math" w:hAnsi="Cambria Math"/>
                      </w:rPr>
                      <m:t>x</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K</m:t>
                    </m:r>
                  </m:e>
                  <m:sup>
                    <m:r>
                      <w:rPr>
                        <w:rFonts w:ascii="Cambria Math" w:hAnsi="Cambria Math"/>
                      </w:rPr>
                      <m:t>-1</m:t>
                    </m:r>
                  </m:sup>
                </m:sSup>
                <m:d>
                  <m:dPr>
                    <m:ctrlPr>
                      <w:rPr>
                        <w:rFonts w:ascii="Cambria Math" w:hAnsi="Cambria Math"/>
                        <w:b/>
                        <w:i/>
                      </w:rPr>
                    </m:ctrlPr>
                  </m:dPr>
                  <m:e>
                    <m:r>
                      <m:rPr>
                        <m:sty m:val="bi"/>
                      </m:rPr>
                      <w:rPr>
                        <w:rFonts w:ascii="Cambria Math" w:hAnsi="Cambria Math"/>
                      </w:rPr>
                      <m:t>y-F</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,b</m:t>
                        </m:r>
                      </m:e>
                    </m:d>
                  </m:e>
                </m:d>
                <m:r>
                  <m:rPr>
                    <m:sty m:val="bi"/>
                  </m:rPr>
                  <w:rPr>
                    <w:rFonts w:ascii="Cambria Math" w:hAnsi="Cambria Math"/>
                  </w:rPr>
                  <m:t>.</m:t>
                </m:r>
              </m:oMath>
            </m:oMathPara>
          </w:p>
        </w:tc>
        <w:tc>
          <w:tcPr>
            <w:tcW w:w="1246" w:type="dxa"/>
          </w:tcPr>
          <w:p w14:paraId="14B9E130" w14:textId="77777777" w:rsidR="001412EB" w:rsidRDefault="001412EB" w:rsidP="003664F3">
            <w:pPr>
              <w:pStyle w:val="BodyText"/>
              <w:ind w:firstLine="0"/>
              <w:jc w:val="right"/>
            </w:pPr>
            <w:r>
              <w:t>(2.32)</w:t>
            </w:r>
          </w:p>
        </w:tc>
      </w:tr>
    </w:tbl>
    <w:p w14:paraId="43F1AF75" w14:textId="1ABE4DC6" w:rsidR="001412EB" w:rsidRPr="00C36322" w:rsidRDefault="001412EB" w:rsidP="00C36322">
      <w:pPr>
        <w:pStyle w:val="BodyText"/>
        <w:ind w:firstLine="0"/>
        <w:jc w:val="both"/>
        <w:rPr>
          <w:i/>
        </w:rPr>
      </w:pPr>
      <w:r>
        <w:t xml:space="preserve">The Jacobian is represented by </w:t>
      </w:r>
      <m:oMath>
        <m:r>
          <m:rPr>
            <m:sty m:val="bi"/>
          </m:rPr>
          <w:rPr>
            <w:rFonts w:ascii="Cambria Math" w:hAnsi="Cambria Math"/>
          </w:rPr>
          <m:t>K</m:t>
        </m:r>
      </m:oMath>
      <w:r>
        <w:t xml:space="preserve">, and is the partial derivative of the forward model to the state vector. The Jacobian is an </w:t>
      </w:r>
      <m:oMath>
        <m:r>
          <w:rPr>
            <w:rFonts w:ascii="Cambria Math" w:hAnsi="Cambria Math"/>
          </w:rPr>
          <m:t xml:space="preserve">m </m:t>
        </m:r>
        <m:r>
          <m:rPr>
            <m:sty m:val="p"/>
          </m:rPr>
          <w:rPr>
            <w:rFonts w:ascii="Cambria Math" w:hAnsi="Cambria Math"/>
          </w:rPr>
          <m:t xml:space="preserve">× </m:t>
        </m:r>
        <m:r>
          <w:rPr>
            <w:rFonts w:ascii="Cambria Math" w:hAnsi="Cambria Math"/>
          </w:rPr>
          <m:t>n</m:t>
        </m:r>
      </m:oMath>
      <w:r>
        <w:t xml:space="preserve"> matrix. However, remote sensing methods are generally non-linear and </w:t>
      </w:r>
      <w:r w:rsidR="007762A7">
        <w:t>contain</w:t>
      </w:r>
      <w:r>
        <w:t xml:space="preserve"> measurement noise; additionally numerical approximation</w:t>
      </w:r>
      <w:r w:rsidR="007762A7">
        <w:t>s</w:t>
      </w:r>
      <w:r>
        <w:t xml:space="preserve"> are </w:t>
      </w:r>
      <w:r w:rsidR="007762A7">
        <w:t xml:space="preserve">usually </w:t>
      </w:r>
      <w:r>
        <w:t>used to calculate the forward model and Jacobian</w:t>
      </w:r>
      <w:r w:rsidR="007762A7">
        <w:t xml:space="preserve"> in realistic time frames</w:t>
      </w:r>
      <w:r>
        <w:t>. These issues make the direct method generally ineffective and iterative methods are used. This section will briefly cover common methods used for atmospheric inversions.</w:t>
      </w:r>
    </w:p>
    <w:p w14:paraId="29E4F8F1" w14:textId="0904B936" w:rsidR="001412EB" w:rsidRDefault="001412EB" w:rsidP="00C36322">
      <w:pPr>
        <w:pStyle w:val="Heading2"/>
      </w:pPr>
      <w:bookmarkStart w:id="57" w:name="_Toc456356950"/>
      <w:r>
        <w:t>2.</w:t>
      </w:r>
      <w:r w:rsidR="00FD1E67">
        <w:t>5</w:t>
      </w:r>
      <w:r>
        <w:t>.1 Optimal Estimation</w:t>
      </w:r>
      <w:bookmarkEnd w:id="57"/>
    </w:p>
    <w:p w14:paraId="502EFC6F" w14:textId="37B8025A" w:rsidR="001412EB" w:rsidRDefault="009F6257" w:rsidP="00224869">
      <w:pPr>
        <w:pStyle w:val="BodyText"/>
        <w:jc w:val="both"/>
      </w:pPr>
      <w:r>
        <w:t>Very commonly</w:t>
      </w:r>
      <w:r w:rsidR="007762A7">
        <w:t xml:space="preserve"> in atmospheric remote sensing, a</w:t>
      </w:r>
      <w:r w:rsidR="001412EB">
        <w:t xml:space="preserve"> Bayesian approach is used to update the atmospheric state</w:t>
      </w:r>
      <w:r w:rsidR="007762A7">
        <w:t>, and this is</w:t>
      </w:r>
      <w:r w:rsidR="001412EB">
        <w:t xml:space="preserve"> known as optimal estimation (</w:t>
      </w:r>
      <w:r w:rsidR="001412EB">
        <w:rPr>
          <w:i/>
        </w:rPr>
        <w:t>Rodgers,</w:t>
      </w:r>
      <w:r w:rsidR="001412EB">
        <w:t xml:space="preserve"> 2000). This method uses statistical knowledge of the </w:t>
      </w:r>
      <w:r w:rsidR="001412EB" w:rsidRPr="007762A7">
        <w:rPr>
          <w:i/>
        </w:rPr>
        <w:t>a priori</w:t>
      </w:r>
      <w:r w:rsidR="001412EB">
        <w:t xml:space="preserve"> and state parameter with measurement noise to determine the probability that the state parameter is </w:t>
      </w:r>
      <m:oMath>
        <m:r>
          <m:rPr>
            <m:sty m:val="bi"/>
          </m:rPr>
          <w:rPr>
            <w:rFonts w:ascii="Cambria Math" w:hAnsi="Cambria Math"/>
          </w:rPr>
          <m:t>x</m:t>
        </m:r>
      </m:oMath>
      <w:r w:rsidR="001412EB">
        <w:t xml:space="preserve"> given a measurement of </w:t>
      </w:r>
      <m:oMath>
        <m:r>
          <m:rPr>
            <m:sty m:val="bi"/>
          </m:rPr>
          <w:rPr>
            <w:rFonts w:ascii="Cambria Math" w:hAnsi="Cambria Math"/>
          </w:rPr>
          <m:t>y</m:t>
        </m:r>
      </m:oMath>
      <w:r w:rsidR="007762A7">
        <w:rPr>
          <w:b/>
        </w:rPr>
        <w:t>,</w:t>
      </w:r>
      <w:r w:rsidR="001412EB">
        <w:t xml:space="preserve"> </w:t>
      </w:r>
      <w:r w:rsidR="001412EB" w:rsidRPr="00525375">
        <w:t>and i</w:t>
      </w:r>
      <w:r w:rsidR="001412EB">
        <w:t>s given by</w:t>
      </w:r>
    </w:p>
    <w:tbl>
      <w:tblPr>
        <w:tblStyle w:val="TableGrid"/>
        <w:tblW w:w="8050" w:type="dxa"/>
        <w:tblInd w:w="1418" w:type="dxa"/>
        <w:tblLook w:val="04A0" w:firstRow="1" w:lastRow="0" w:firstColumn="1" w:lastColumn="0" w:noHBand="0" w:noVBand="1"/>
      </w:tblPr>
      <w:tblGrid>
        <w:gridCol w:w="6804"/>
        <w:gridCol w:w="1246"/>
      </w:tblGrid>
      <w:tr w:rsidR="001412EB" w14:paraId="481F6541" w14:textId="77777777" w:rsidTr="000214D1">
        <w:tc>
          <w:tcPr>
            <w:tcW w:w="6804" w:type="dxa"/>
            <w:tcBorders>
              <w:top w:val="nil"/>
              <w:left w:val="nil"/>
              <w:bottom w:val="nil"/>
              <w:right w:val="nil"/>
            </w:tcBorders>
          </w:tcPr>
          <w:p w14:paraId="359701B8" w14:textId="77777777" w:rsidR="001412EB" w:rsidRPr="008E2476" w:rsidRDefault="001412EB">
            <w:pPr>
              <w:pStyle w:val="BodyText"/>
              <w:ind w:firstLine="289"/>
              <w:jc w:val="right"/>
              <w:rPr>
                <w:i/>
              </w:rPr>
            </w:pPr>
            <m:oMathPara>
              <m:oMath>
                <m:r>
                  <w:rPr>
                    <w:rFonts w:ascii="Cambria Math" w:hAnsi="Cambria Math"/>
                  </w:rPr>
                  <w:lastRenderedPageBreak/>
                  <m:t>P</m:t>
                </m:r>
                <m:d>
                  <m:dPr>
                    <m:ctrlPr>
                      <w:rPr>
                        <w:rFonts w:ascii="Cambria Math" w:hAnsi="Cambria Math"/>
                        <w:i/>
                      </w:rPr>
                    </m:ctrlPr>
                  </m:dPr>
                  <m:e>
                    <m:r>
                      <m:rPr>
                        <m:sty m:val="bi"/>
                      </m:rPr>
                      <w:rPr>
                        <w:rFonts w:ascii="Cambria Math" w:hAnsi="Cambria Math"/>
                      </w:rPr>
                      <m:t>x|y</m:t>
                    </m:r>
                    <m:ctrlPr>
                      <w:rPr>
                        <w:rFonts w:ascii="Cambria Math" w:hAnsi="Cambria Math"/>
                        <w:b/>
                        <w:i/>
                      </w:rPr>
                    </m:ctrlPr>
                  </m:e>
                </m:d>
                <m:r>
                  <m:rPr>
                    <m:sty m:val="bi"/>
                  </m:rPr>
                  <w:rPr>
                    <w:rFonts w:ascii="Cambria Math" w:hAnsi="Cambria Math"/>
                  </w:rPr>
                  <m:t>=</m:t>
                </m:r>
                <m:f>
                  <m:fPr>
                    <m:ctrlPr>
                      <w:rPr>
                        <w:rFonts w:ascii="Cambria Math" w:hAnsi="Cambria Math"/>
                        <w:b/>
                        <w:i/>
                      </w:rPr>
                    </m:ctrlPr>
                  </m:fPr>
                  <m:num>
                    <m:r>
                      <w:rPr>
                        <w:rFonts w:ascii="Cambria Math" w:hAnsi="Cambria Math"/>
                      </w:rPr>
                      <m:t>P</m:t>
                    </m:r>
                    <m:d>
                      <m:dPr>
                        <m:ctrlPr>
                          <w:rPr>
                            <w:rFonts w:ascii="Cambria Math" w:hAnsi="Cambria Math"/>
                            <w:i/>
                          </w:rPr>
                        </m:ctrlPr>
                      </m:dPr>
                      <m:e>
                        <m:r>
                          <m:rPr>
                            <m:sty m:val="bi"/>
                          </m:rPr>
                          <w:rPr>
                            <w:rFonts w:ascii="Cambria Math" w:hAnsi="Cambria Math"/>
                          </w:rPr>
                          <m:t>y|x</m:t>
                        </m:r>
                      </m:e>
                    </m:d>
                    <m:r>
                      <w:rPr>
                        <w:rFonts w:ascii="Cambria Math" w:hAnsi="Cambria Math"/>
                      </w:rPr>
                      <m:t>P</m:t>
                    </m:r>
                    <m:d>
                      <m:dPr>
                        <m:ctrlPr>
                          <w:rPr>
                            <w:rFonts w:ascii="Cambria Math" w:hAnsi="Cambria Math"/>
                            <w:i/>
                          </w:rPr>
                        </m:ctrlPr>
                      </m:dPr>
                      <m:e>
                        <m:r>
                          <m:rPr>
                            <m:sty m:val="bi"/>
                          </m:rPr>
                          <w:rPr>
                            <w:rFonts w:ascii="Cambria Math" w:hAnsi="Cambria Math"/>
                          </w:rPr>
                          <m:t>x</m:t>
                        </m:r>
                        <m:ctrlPr>
                          <w:rPr>
                            <w:rFonts w:ascii="Cambria Math" w:hAnsi="Cambria Math"/>
                            <w:b/>
                            <w:i/>
                          </w:rPr>
                        </m:ctrlPr>
                      </m:e>
                    </m:d>
                  </m:num>
                  <m:den>
                    <m:r>
                      <w:rPr>
                        <w:rFonts w:ascii="Cambria Math" w:hAnsi="Cambria Math"/>
                      </w:rPr>
                      <m:t>P(</m:t>
                    </m:r>
                    <m:r>
                      <m:rPr>
                        <m:sty m:val="bi"/>
                      </m:rPr>
                      <w:rPr>
                        <w:rFonts w:ascii="Cambria Math" w:hAnsi="Cambria Math"/>
                      </w:rPr>
                      <m:t>y</m:t>
                    </m:r>
                    <m:r>
                      <w:rPr>
                        <w:rFonts w:ascii="Cambria Math" w:hAnsi="Cambria Math"/>
                      </w:rPr>
                      <m:t>)</m:t>
                    </m:r>
                  </m:den>
                </m:f>
                <m:r>
                  <m:rPr>
                    <m:sty m:val="bi"/>
                  </m:rPr>
                  <w:rPr>
                    <w:rFonts w:ascii="Cambria Math" w:hAnsi="Cambria Math"/>
                  </w:rPr>
                  <m:t>.</m:t>
                </m:r>
              </m:oMath>
            </m:oMathPara>
          </w:p>
        </w:tc>
        <w:tc>
          <w:tcPr>
            <w:tcW w:w="1246" w:type="dxa"/>
            <w:tcBorders>
              <w:top w:val="nil"/>
              <w:left w:val="nil"/>
              <w:bottom w:val="nil"/>
              <w:right w:val="nil"/>
            </w:tcBorders>
            <w:vAlign w:val="center"/>
          </w:tcPr>
          <w:p w14:paraId="7D29D00C" w14:textId="77777777" w:rsidR="001412EB" w:rsidRDefault="001412EB">
            <w:pPr>
              <w:pStyle w:val="BodyText"/>
              <w:ind w:firstLine="0"/>
              <w:jc w:val="right"/>
            </w:pPr>
            <w:r>
              <w:t>(2.33)</w:t>
            </w:r>
          </w:p>
        </w:tc>
      </w:tr>
    </w:tbl>
    <w:p w14:paraId="777C430E" w14:textId="293EFB2E" w:rsidR="001412EB" w:rsidRDefault="001412EB" w:rsidP="00224869">
      <w:pPr>
        <w:pStyle w:val="BodyText"/>
        <w:jc w:val="both"/>
      </w:pPr>
      <w:r>
        <w:t xml:space="preserve">A solution is found by maximizing the probability of </w:t>
      </w:r>
      <m:oMath>
        <m:r>
          <w:rPr>
            <w:rFonts w:ascii="Cambria Math" w:hAnsi="Cambria Math"/>
          </w:rPr>
          <m:t>P(</m:t>
        </m:r>
        <m:r>
          <m:rPr>
            <m:sty m:val="bi"/>
          </m:rPr>
          <w:rPr>
            <w:rFonts w:ascii="Cambria Math" w:hAnsi="Cambria Math"/>
          </w:rPr>
          <m:t>x|y)</m:t>
        </m:r>
      </m:oMath>
      <w:r>
        <w:t xml:space="preserve">. If it can be assumed that the </w:t>
      </w:r>
      <w:r w:rsidR="007762A7">
        <w:t xml:space="preserve">covariance of the </w:t>
      </w:r>
      <w:r>
        <w:t xml:space="preserve">measurement vector and </w:t>
      </w:r>
      <w:r w:rsidRPr="007762A7">
        <w:rPr>
          <w:i/>
        </w:rPr>
        <w:t>a priori</w:t>
      </w:r>
      <w:r>
        <w:t xml:space="preserve"> have </w:t>
      </w:r>
      <w:r w:rsidR="007762A7">
        <w:t>a Gaussian distribution,</w:t>
      </w:r>
      <w:r>
        <w:t xml:space="preserve"> the above can be solve</w:t>
      </w:r>
      <w:r w:rsidR="009F6257">
        <w:t>d</w:t>
      </w:r>
      <w:r>
        <w:t xml:space="preserve"> to yield</w:t>
      </w:r>
    </w:p>
    <w:tbl>
      <w:tblPr>
        <w:tblStyle w:val="TableGrid"/>
        <w:tblW w:w="8050" w:type="dxa"/>
        <w:tblInd w:w="1418" w:type="dxa"/>
        <w:tblLook w:val="04A0" w:firstRow="1" w:lastRow="0" w:firstColumn="1" w:lastColumn="0" w:noHBand="0" w:noVBand="1"/>
      </w:tblPr>
      <w:tblGrid>
        <w:gridCol w:w="6804"/>
        <w:gridCol w:w="1246"/>
      </w:tblGrid>
      <w:tr w:rsidR="001412EB" w14:paraId="7E607714" w14:textId="77777777" w:rsidTr="000214D1">
        <w:tc>
          <w:tcPr>
            <w:tcW w:w="6804" w:type="dxa"/>
            <w:tcBorders>
              <w:top w:val="nil"/>
              <w:left w:val="nil"/>
              <w:bottom w:val="nil"/>
              <w:right w:val="nil"/>
            </w:tcBorders>
          </w:tcPr>
          <w:p w14:paraId="7525651F" w14:textId="77777777" w:rsidR="001412EB" w:rsidRPr="008E2476" w:rsidRDefault="00FD1E67">
            <w:pPr>
              <w:pStyle w:val="BodyText"/>
              <w:ind w:firstLine="289"/>
              <w:jc w:val="right"/>
              <w:rPr>
                <w:i/>
              </w:rPr>
            </w:pPr>
            <m:oMathPara>
              <m:oMath>
                <m:acc>
                  <m:accPr>
                    <m:ctrlPr>
                      <w:rPr>
                        <w:rFonts w:ascii="Cambria Math" w:hAnsi="Cambria Math"/>
                        <w:b/>
                        <w:i/>
                      </w:rPr>
                    </m:ctrlPr>
                  </m:accPr>
                  <m:e>
                    <m:r>
                      <m:rPr>
                        <m:sty m:val="bi"/>
                      </m:rPr>
                      <w:rPr>
                        <w:rFonts w:ascii="Cambria Math" w:hAnsi="Cambria Math"/>
                      </w:rPr>
                      <m:t>x</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sSup>
                  <m:sSupPr>
                    <m:ctrlPr>
                      <w:rPr>
                        <w:rFonts w:ascii="Cambria Math" w:hAnsi="Cambria Math"/>
                        <w:b/>
                        <w:i/>
                      </w:rPr>
                    </m:ctrlPr>
                  </m:sSupPr>
                  <m:e>
                    <m:r>
                      <m:rPr>
                        <m:sty m:val="bi"/>
                      </m:rPr>
                      <w:rPr>
                        <w:rFonts w:ascii="Cambria Math" w:hAnsi="Cambria Math"/>
                      </w:rPr>
                      <m:t>K</m:t>
                    </m:r>
                  </m:e>
                  <m:sup>
                    <m:r>
                      <w:rPr>
                        <w:rFonts w:ascii="Cambria Math" w:hAnsi="Cambria Math"/>
                      </w:rPr>
                      <m:t>T</m:t>
                    </m:r>
                  </m:sup>
                </m:sSup>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K</m:t>
                        </m:r>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sSup>
                          <m:sSupPr>
                            <m:ctrlPr>
                              <w:rPr>
                                <w:rFonts w:ascii="Cambria Math" w:hAnsi="Cambria Math"/>
                                <w:b/>
                                <w:i/>
                              </w:rPr>
                            </m:ctrlPr>
                          </m:sSupPr>
                          <m:e>
                            <m:r>
                              <m:rPr>
                                <m:sty m:val="bi"/>
                              </m:rPr>
                              <w:rPr>
                                <w:rFonts w:ascii="Cambria Math" w:hAnsi="Cambria Math"/>
                              </w:rPr>
                              <m:t>K</m:t>
                            </m:r>
                          </m:e>
                          <m:sup>
                            <m:r>
                              <w:rPr>
                                <w:rFonts w:ascii="Cambria Math" w:hAnsi="Cambria Math"/>
                              </w:rPr>
                              <m:t>T</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w:rPr>
                                <w:rFonts w:ascii="Cambria Math" w:hAnsi="Cambria Math"/>
                              </w:rPr>
                              <m:t>ϵ</m:t>
                            </m:r>
                          </m:sub>
                        </m:sSub>
                      </m:e>
                    </m:d>
                  </m:e>
                  <m:sup>
                    <m:r>
                      <m:rPr>
                        <m:sty m:val="bi"/>
                      </m:rPr>
                      <w:rPr>
                        <w:rFonts w:ascii="Cambria Math" w:hAnsi="Cambria Math"/>
                      </w:rPr>
                      <m:t>-1</m:t>
                    </m:r>
                  </m:sup>
                </m:sSup>
                <m:r>
                  <m:rPr>
                    <m:sty m:val="bi"/>
                  </m:rPr>
                  <w:rPr>
                    <w:rFonts w:ascii="Cambria Math" w:hAnsi="Cambria Math"/>
                  </w:rPr>
                  <m:t>(y-K</m:t>
                </m:r>
                <m:sSub>
                  <m:sSubPr>
                    <m:ctrlPr>
                      <w:rPr>
                        <w:rFonts w:ascii="Cambria Math" w:hAnsi="Cambria Math"/>
                        <w:b/>
                        <w:i/>
                      </w:rPr>
                    </m:ctrlPr>
                  </m:sSubPr>
                  <m:e>
                    <m:r>
                      <m:rPr>
                        <m:sty m:val="bi"/>
                      </m:rPr>
                      <w:rPr>
                        <w:rFonts w:ascii="Cambria Math" w:hAnsi="Cambria Math"/>
                      </w:rPr>
                      <m:t>x</m:t>
                    </m:r>
                  </m:e>
                  <m:sub>
                    <m:r>
                      <w:rPr>
                        <w:rFonts w:ascii="Cambria Math" w:hAnsi="Cambria Math"/>
                      </w:rPr>
                      <m:t>a</m:t>
                    </m:r>
                  </m:sub>
                </m:sSub>
                <m:r>
                  <w:rPr>
                    <w:rFonts w:ascii="Cambria Math" w:hAnsi="Cambria Math"/>
                  </w:rPr>
                  <m:t>)</m:t>
                </m:r>
                <m:r>
                  <m:rPr>
                    <m:sty m:val="bi"/>
                  </m:rPr>
                  <w:rPr>
                    <w:rFonts w:ascii="Cambria Math" w:hAnsi="Cambria Math"/>
                  </w:rPr>
                  <m:t>.</m:t>
                </m:r>
              </m:oMath>
            </m:oMathPara>
          </w:p>
        </w:tc>
        <w:tc>
          <w:tcPr>
            <w:tcW w:w="1246" w:type="dxa"/>
            <w:tcBorders>
              <w:top w:val="nil"/>
              <w:left w:val="nil"/>
              <w:bottom w:val="nil"/>
              <w:right w:val="nil"/>
            </w:tcBorders>
            <w:vAlign w:val="center"/>
          </w:tcPr>
          <w:p w14:paraId="36A54BFA" w14:textId="77777777" w:rsidR="001412EB" w:rsidRDefault="001412EB" w:rsidP="000214D1">
            <w:pPr>
              <w:pStyle w:val="BodyText"/>
              <w:ind w:firstLine="0"/>
              <w:jc w:val="right"/>
            </w:pPr>
            <w:r>
              <w:t>(2.34)</w:t>
            </w:r>
          </w:p>
        </w:tc>
      </w:tr>
    </w:tbl>
    <w:p w14:paraId="55C5427C" w14:textId="5466C347" w:rsidR="001412EB" w:rsidRPr="000475BE" w:rsidRDefault="001412EB" w:rsidP="008F7035">
      <w:pPr>
        <w:pStyle w:val="BodyText"/>
        <w:ind w:firstLine="0"/>
        <w:jc w:val="both"/>
      </w:pPr>
      <w:r>
        <w:t xml:space="preserve">The covariance matrices of the </w:t>
      </w:r>
      <w:r w:rsidRPr="007762A7">
        <w:rPr>
          <w:i/>
        </w:rPr>
        <w:t>a priori</w:t>
      </w:r>
      <w:r>
        <w:t xml:space="preserve"> and measurement error are </w:t>
      </w:r>
      <m:oMath>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S</m:t>
            </m:r>
          </m:e>
          <m:sub>
            <m:r>
              <w:rPr>
                <w:rFonts w:ascii="Cambria Math" w:hAnsi="Cambria Math"/>
              </w:rPr>
              <m:t>ϵ</m:t>
            </m:r>
          </m:sub>
        </m:sSub>
      </m:oMath>
      <w:r>
        <w:t xml:space="preserve"> respectively. </w:t>
      </w:r>
      <w:r w:rsidR="007762A7">
        <w:t>For non-linear problems, t</w:t>
      </w:r>
      <w:r>
        <w:t>his equation is iterated until a co</w:t>
      </w:r>
      <w:r w:rsidR="007762A7">
        <w:t>nverged</w:t>
      </w:r>
      <w:r>
        <w:t xml:space="preserve"> solution is found. It should be noted that if the </w:t>
      </w:r>
      <w:r w:rsidR="007762A7">
        <w:t>covariance</w:t>
      </w:r>
      <w:r>
        <w:t xml:space="preserve"> of the </w:t>
      </w:r>
      <w:r w:rsidRPr="007762A7">
        <w:rPr>
          <w:i/>
        </w:rPr>
        <w:t xml:space="preserve">a priori </w:t>
      </w:r>
      <w:r w:rsidR="007762A7">
        <w:t>is</w:t>
      </w:r>
      <w:r>
        <w:t xml:space="preserve"> unknown or is not well modeled by a Gaussian distribution this method can </w:t>
      </w:r>
      <w:r w:rsidR="007762A7">
        <w:t>provide less “optimal” results</w:t>
      </w:r>
      <w:r>
        <w:t>.</w:t>
      </w:r>
    </w:p>
    <w:p w14:paraId="0B947195" w14:textId="20552708" w:rsidR="001412EB" w:rsidRDefault="001412EB" w:rsidP="00C36322">
      <w:pPr>
        <w:pStyle w:val="Heading2"/>
      </w:pPr>
      <w:bookmarkStart w:id="58" w:name="_Toc456356951"/>
      <w:r>
        <w:t>2.</w:t>
      </w:r>
      <w:r w:rsidR="00FD1E67">
        <w:t>5</w:t>
      </w:r>
      <w:r>
        <w:t>.2 Levenberg-Marquardt</w:t>
      </w:r>
      <w:bookmarkEnd w:id="58"/>
      <w:r>
        <w:t xml:space="preserve"> </w:t>
      </w:r>
    </w:p>
    <w:p w14:paraId="58D60F22" w14:textId="286A7949" w:rsidR="001412EB" w:rsidRDefault="001412EB" w:rsidP="008F7035">
      <w:pPr>
        <w:pStyle w:val="BodyText"/>
        <w:jc w:val="both"/>
      </w:pPr>
      <w:r>
        <w:t xml:space="preserve">The Gauss-Newton </w:t>
      </w:r>
      <w:r w:rsidR="007762A7">
        <w:t xml:space="preserve">iterative </w:t>
      </w:r>
      <w:r>
        <w:t xml:space="preserve">method has been classically used to solve for non-linear inversion problems. However, if the initial guess is far from the solution and if the solution space is not well described by a quadric the method will fail. </w:t>
      </w:r>
      <w:r w:rsidRPr="008F7035">
        <w:rPr>
          <w:i/>
        </w:rPr>
        <w:t>Levenberg</w:t>
      </w:r>
      <w:r>
        <w:t xml:space="preserve"> (1944) proposed another method for the non-linear least squares fit that was later modified by </w:t>
      </w:r>
      <w:r w:rsidRPr="008F7035">
        <w:rPr>
          <w:i/>
        </w:rPr>
        <w:t>Marquardt</w:t>
      </w:r>
      <w:r>
        <w:t xml:space="preserve"> (1963) given as</w:t>
      </w:r>
    </w:p>
    <w:tbl>
      <w:tblPr>
        <w:tblStyle w:val="TableGrid"/>
        <w:tblW w:w="8050" w:type="dxa"/>
        <w:tblInd w:w="1418" w:type="dxa"/>
        <w:tblLook w:val="04A0" w:firstRow="1" w:lastRow="0" w:firstColumn="1" w:lastColumn="0" w:noHBand="0" w:noVBand="1"/>
      </w:tblPr>
      <w:tblGrid>
        <w:gridCol w:w="6804"/>
        <w:gridCol w:w="1246"/>
      </w:tblGrid>
      <w:tr w:rsidR="001412EB" w14:paraId="2172DBD4" w14:textId="77777777" w:rsidTr="000214D1">
        <w:tc>
          <w:tcPr>
            <w:tcW w:w="6804" w:type="dxa"/>
            <w:tcBorders>
              <w:top w:val="nil"/>
              <w:left w:val="nil"/>
              <w:bottom w:val="nil"/>
              <w:right w:val="nil"/>
            </w:tcBorders>
          </w:tcPr>
          <w:p w14:paraId="270F796C" w14:textId="77777777" w:rsidR="001412EB" w:rsidRPr="008E2476" w:rsidRDefault="00FD1E67">
            <w:pPr>
              <w:pStyle w:val="BodyText"/>
              <w:ind w:firstLine="289"/>
              <w:jc w:val="right"/>
              <w:rPr>
                <w:i/>
              </w:rPr>
            </w:pPr>
            <m:oMathPara>
              <m:oMath>
                <m:sSup>
                  <m:sSupPr>
                    <m:ctrlPr>
                      <w:rPr>
                        <w:rFonts w:ascii="Cambria Math" w:hAnsi="Cambria Math"/>
                        <w:b/>
                        <w:i/>
                      </w:rPr>
                    </m:ctrlPr>
                  </m:sSupPr>
                  <m:e>
                    <m:acc>
                      <m:accPr>
                        <m:ctrlPr>
                          <w:rPr>
                            <w:rFonts w:ascii="Cambria Math" w:hAnsi="Cambria Math"/>
                            <w:b/>
                            <w:i/>
                          </w:rPr>
                        </m:ctrlPr>
                      </m:accPr>
                      <m:e>
                        <m:r>
                          <m:rPr>
                            <m:sty m:val="bi"/>
                          </m:rPr>
                          <w:rPr>
                            <w:rFonts w:ascii="Cambria Math" w:hAnsi="Cambria Math"/>
                          </w:rPr>
                          <m:t>x</m:t>
                        </m:r>
                      </m:e>
                    </m:acc>
                  </m:e>
                  <m:sup>
                    <m:r>
                      <w:rPr>
                        <w:rFonts w:ascii="Cambria Math" w:hAnsi="Cambria Math"/>
                      </w:rPr>
                      <m:t>(n+1)</m:t>
                    </m:r>
                  </m:sup>
                </m:sSup>
                <m:r>
                  <m:rPr>
                    <m:sty m:val="bi"/>
                  </m:rPr>
                  <w:rPr>
                    <w:rFonts w:ascii="Cambria Math" w:hAnsi="Cambria Math"/>
                  </w:rPr>
                  <m:t>=</m:t>
                </m:r>
                <m:sSup>
                  <m:sSupPr>
                    <m:ctrlPr>
                      <w:rPr>
                        <w:rFonts w:ascii="Cambria Math" w:hAnsi="Cambria Math"/>
                        <w:b/>
                        <w:i/>
                      </w:rPr>
                    </m:ctrlPr>
                  </m:sSupPr>
                  <m:e>
                    <m:acc>
                      <m:accPr>
                        <m:ctrlPr>
                          <w:rPr>
                            <w:rFonts w:ascii="Cambria Math" w:hAnsi="Cambria Math"/>
                            <w:b/>
                            <w:i/>
                          </w:rPr>
                        </m:ctrlPr>
                      </m:accPr>
                      <m:e>
                        <m:r>
                          <m:rPr>
                            <m:sty m:val="bi"/>
                          </m:rPr>
                          <w:rPr>
                            <w:rFonts w:ascii="Cambria Math" w:hAnsi="Cambria Math"/>
                          </w:rPr>
                          <m:t>x</m:t>
                        </m:r>
                      </m:e>
                    </m:acc>
                  </m:e>
                  <m:sup>
                    <m:r>
                      <m:rPr>
                        <m:sty m:val="bi"/>
                      </m:rPr>
                      <w:rPr>
                        <w:rFonts w:ascii="Cambria Math" w:hAnsi="Cambria Math"/>
                      </w:rPr>
                      <m:t>(</m:t>
                    </m:r>
                    <m:r>
                      <w:rPr>
                        <w:rFonts w:ascii="Cambria Math" w:hAnsi="Cambria Math"/>
                      </w:rPr>
                      <m:t>n</m:t>
                    </m:r>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K</m:t>
                        </m:r>
                        <m:sSup>
                          <m:sSupPr>
                            <m:ctrlPr>
                              <w:rPr>
                                <w:rFonts w:ascii="Cambria Math" w:hAnsi="Cambria Math"/>
                                <w:b/>
                                <w:i/>
                              </w:rPr>
                            </m:ctrlPr>
                          </m:sSupPr>
                          <m:e>
                            <m:r>
                              <m:rPr>
                                <m:sty m:val="bi"/>
                              </m:rPr>
                              <w:rPr>
                                <w:rFonts w:ascii="Cambria Math" w:hAnsi="Cambria Math"/>
                              </w:rPr>
                              <m:t>K</m:t>
                            </m:r>
                          </m:e>
                          <m:sup>
                            <m:r>
                              <w:rPr>
                                <w:rFonts w:ascii="Cambria Math" w:hAnsi="Cambria Math"/>
                              </w:rPr>
                              <m:t>T</m:t>
                            </m:r>
                          </m:sup>
                        </m:sSup>
                        <m:r>
                          <m:rPr>
                            <m:sty m:val="bi"/>
                          </m:rPr>
                          <w:rPr>
                            <w:rFonts w:ascii="Cambria Math" w:hAnsi="Cambria Math"/>
                          </w:rPr>
                          <m:t>+</m:t>
                        </m:r>
                        <m:sSup>
                          <m:sSupPr>
                            <m:ctrlPr>
                              <w:rPr>
                                <w:rFonts w:ascii="Cambria Math" w:hAnsi="Cambria Math"/>
                                <w:i/>
                              </w:rPr>
                            </m:ctrlPr>
                          </m:sSupPr>
                          <m:e>
                            <m:r>
                              <w:rPr>
                                <w:rFonts w:ascii="Cambria Math" w:hAnsi="Cambria Math"/>
                              </w:rPr>
                              <m:t>γ</m:t>
                            </m:r>
                          </m:e>
                          <m:sup>
                            <m:d>
                              <m:dPr>
                                <m:ctrlPr>
                                  <w:rPr>
                                    <w:rFonts w:ascii="Cambria Math" w:hAnsi="Cambria Math"/>
                                    <w:i/>
                                  </w:rPr>
                                </m:ctrlPr>
                              </m:dPr>
                              <m:e>
                                <m:r>
                                  <w:rPr>
                                    <w:rFonts w:ascii="Cambria Math" w:hAnsi="Cambria Math"/>
                                  </w:rPr>
                                  <m:t>n</m:t>
                                </m:r>
                              </m:e>
                            </m:d>
                          </m:sup>
                        </m:sSup>
                        <m:r>
                          <m:rPr>
                            <m:sty m:val="bi"/>
                          </m:rPr>
                          <w:rPr>
                            <w:rFonts w:ascii="Cambria Math" w:hAnsi="Cambria Math"/>
                          </w:rPr>
                          <m:t>D</m:t>
                        </m:r>
                      </m:e>
                    </m:d>
                  </m:e>
                  <m:sup>
                    <m:r>
                      <m:rPr>
                        <m:sty m:val="bi"/>
                      </m:rPr>
                      <w:rPr>
                        <w:rFonts w:ascii="Cambria Math" w:hAnsi="Cambria Math"/>
                      </w:rPr>
                      <m:t>-1</m:t>
                    </m:r>
                  </m:sup>
                </m:sSup>
                <m:sSup>
                  <m:sSupPr>
                    <m:ctrlPr>
                      <w:rPr>
                        <w:rFonts w:ascii="Cambria Math" w:hAnsi="Cambria Math"/>
                        <w:i/>
                      </w:rPr>
                    </m:ctrlPr>
                  </m:sSupPr>
                  <m:e>
                    <m:r>
                      <m:rPr>
                        <m:sty m:val="bi"/>
                      </m:rPr>
                      <w:rPr>
                        <w:rFonts w:ascii="Cambria Math" w:hAnsi="Cambria Math"/>
                      </w:rPr>
                      <m:t>K</m:t>
                    </m:r>
                    <m:ctrlPr>
                      <w:rPr>
                        <w:rFonts w:ascii="Cambria Math" w:hAnsi="Cambria Math"/>
                        <w:b/>
                        <w:i/>
                      </w:rPr>
                    </m:ctrlPr>
                  </m:e>
                  <m:sup>
                    <m:r>
                      <w:rPr>
                        <w:rFonts w:ascii="Cambria Math" w:hAnsi="Cambria Math"/>
                      </w:rPr>
                      <m:t>T</m:t>
                    </m:r>
                  </m:sup>
                </m:sSup>
                <m:r>
                  <m:rPr>
                    <m:sty m:val="bi"/>
                  </m:rPr>
                  <w:rPr>
                    <w:rFonts w:ascii="Cambria Math" w:hAnsi="Cambria Math"/>
                  </w:rPr>
                  <m:t>(y-F</m:t>
                </m:r>
                <m:d>
                  <m:dPr>
                    <m:ctrlPr>
                      <w:rPr>
                        <w:rFonts w:ascii="Cambria Math" w:hAnsi="Cambria Math"/>
                        <w:b/>
                        <w:i/>
                      </w:rPr>
                    </m:ctrlPr>
                  </m:dPr>
                  <m:e>
                    <m:sSup>
                      <m:sSupPr>
                        <m:ctrlPr>
                          <w:rPr>
                            <w:rFonts w:ascii="Cambria Math" w:hAnsi="Cambria Math"/>
                            <w:i/>
                          </w:rPr>
                        </m:ctrlPr>
                      </m:sSupPr>
                      <m:e>
                        <m:acc>
                          <m:accPr>
                            <m:ctrlPr>
                              <w:rPr>
                                <w:rFonts w:ascii="Cambria Math" w:hAnsi="Cambria Math"/>
                                <w:b/>
                                <w:i/>
                              </w:rPr>
                            </m:ctrlPr>
                          </m:accPr>
                          <m:e>
                            <m:r>
                              <m:rPr>
                                <m:sty m:val="bi"/>
                              </m:rPr>
                              <w:rPr>
                                <w:rFonts w:ascii="Cambria Math" w:hAnsi="Cambria Math"/>
                              </w:rPr>
                              <m:t>x</m:t>
                            </m:r>
                          </m:e>
                        </m:acc>
                        <m:ctrlPr>
                          <w:rPr>
                            <w:rFonts w:ascii="Cambria Math" w:hAnsi="Cambria Math"/>
                            <w:b/>
                            <w:i/>
                          </w:rPr>
                        </m:ctrlPr>
                      </m:e>
                      <m:sup>
                        <m:d>
                          <m:dPr>
                            <m:ctrlPr>
                              <w:rPr>
                                <w:rFonts w:ascii="Cambria Math" w:hAnsi="Cambria Math"/>
                                <w:i/>
                              </w:rPr>
                            </m:ctrlPr>
                          </m:dPr>
                          <m:e>
                            <m:r>
                              <w:rPr>
                                <w:rFonts w:ascii="Cambria Math" w:hAnsi="Cambria Math"/>
                              </w:rPr>
                              <m:t>n</m:t>
                            </m:r>
                          </m:e>
                        </m:d>
                      </m:sup>
                    </m:sSup>
                    <m:r>
                      <w:rPr>
                        <w:rFonts w:ascii="Cambria Math" w:hAnsi="Cambria Math"/>
                      </w:rPr>
                      <m:t xml:space="preserve">, </m:t>
                    </m:r>
                    <m:r>
                      <m:rPr>
                        <m:sty m:val="bi"/>
                      </m:rPr>
                      <w:rPr>
                        <w:rFonts w:ascii="Cambria Math" w:hAnsi="Cambria Math"/>
                      </w:rPr>
                      <m:t>b</m:t>
                    </m:r>
                    <m:ctrlPr>
                      <w:rPr>
                        <w:rFonts w:ascii="Cambria Math" w:hAnsi="Cambria Math"/>
                        <w:i/>
                      </w:rPr>
                    </m:ctrlPr>
                  </m:e>
                </m:d>
                <m:r>
                  <w:rPr>
                    <w:rFonts w:ascii="Cambria Math" w:hAnsi="Cambria Math"/>
                  </w:rPr>
                  <m:t>,</m:t>
                </m:r>
              </m:oMath>
            </m:oMathPara>
          </w:p>
        </w:tc>
        <w:tc>
          <w:tcPr>
            <w:tcW w:w="1246" w:type="dxa"/>
            <w:tcBorders>
              <w:top w:val="nil"/>
              <w:left w:val="nil"/>
              <w:bottom w:val="nil"/>
              <w:right w:val="nil"/>
            </w:tcBorders>
            <w:vAlign w:val="center"/>
          </w:tcPr>
          <w:p w14:paraId="17B1F78F" w14:textId="77777777" w:rsidR="001412EB" w:rsidRDefault="001412EB">
            <w:pPr>
              <w:pStyle w:val="BodyText"/>
              <w:ind w:firstLine="0"/>
              <w:jc w:val="right"/>
            </w:pPr>
            <w:r>
              <w:t>(2.35)</w:t>
            </w:r>
          </w:p>
        </w:tc>
      </w:tr>
    </w:tbl>
    <w:p w14:paraId="4E68144E" w14:textId="08290326" w:rsidR="001412EB" w:rsidRDefault="007762A7" w:rsidP="008F7035">
      <w:pPr>
        <w:pStyle w:val="BodyText"/>
        <w:ind w:firstLine="0"/>
        <w:jc w:val="both"/>
      </w:pPr>
      <w:r>
        <w:t xml:space="preserve">and is </w:t>
      </w:r>
      <w:r w:rsidR="001412EB">
        <w:t xml:space="preserve">known as the Lebenberg-Marquardt algorithm. The damping factor, </w:t>
      </w:r>
      <m:oMath>
        <m:r>
          <w:rPr>
            <w:rFonts w:ascii="Cambria Math" w:hAnsi="Cambria Math"/>
          </w:rPr>
          <m:t>γ</m:t>
        </m:r>
      </m:oMath>
      <w:r w:rsidR="001412EB">
        <w:t xml:space="preserve">, reduces the step size in iteration to keep the problem in a linear region. If this damping factor is small the method approaches the Gauss-Newton method whereas if </w:t>
      </w:r>
      <m:oMath>
        <m:r>
          <w:rPr>
            <w:rFonts w:ascii="Cambria Math" w:hAnsi="Cambria Math"/>
          </w:rPr>
          <m:t>γ</m:t>
        </m:r>
      </m:oMath>
      <w:r w:rsidR="001412EB">
        <w:t xml:space="preserve"> is large the method steps down the direction of the gradient descent. The diagonal matrix, </w:t>
      </w:r>
      <m:oMath>
        <m:r>
          <m:rPr>
            <m:sty m:val="bi"/>
          </m:rPr>
          <w:rPr>
            <w:rFonts w:ascii="Cambria Math" w:hAnsi="Cambria Math"/>
          </w:rPr>
          <m:t>D</m:t>
        </m:r>
      </m:oMath>
      <w:r w:rsidR="001412EB">
        <w:t>, is a scaling matrix for the damping factor since the state vector may have different dimensions and magnitudes resulting in the benefit of larger step sizes in more linear areas of the solution space. However, the determination of the damping factor can be difficult to determine from numerical methods and usually an ad hoc method is used.</w:t>
      </w:r>
    </w:p>
    <w:p w14:paraId="09DFC856" w14:textId="5A122157" w:rsidR="001412EB" w:rsidRPr="00D475DC" w:rsidRDefault="001412EB" w:rsidP="00C36322">
      <w:pPr>
        <w:pStyle w:val="Heading2"/>
      </w:pPr>
      <w:bookmarkStart w:id="59" w:name="_Toc456356952"/>
      <w:r>
        <w:lastRenderedPageBreak/>
        <w:t>2.</w:t>
      </w:r>
      <w:r w:rsidR="00FD1E67">
        <w:t>5</w:t>
      </w:r>
      <w:r>
        <w:t>.3 Multiplicative Algebraic Reconstruction Technique</w:t>
      </w:r>
      <w:bookmarkEnd w:id="59"/>
    </w:p>
    <w:p w14:paraId="6915301B" w14:textId="15E8BDC8" w:rsidR="001412EB" w:rsidRDefault="001412EB" w:rsidP="00224869">
      <w:pPr>
        <w:pStyle w:val="BodyText"/>
        <w:jc w:val="both"/>
      </w:pPr>
      <w:r>
        <w:t>The Multiplicative Algebraic Reconstruction Technique (MART)</w:t>
      </w:r>
      <w:r w:rsidR="007762A7">
        <w:t>, which is used for the operational processing of the OSIRIS data products,</w:t>
      </w:r>
      <w:r>
        <w:t xml:space="preserve"> is a form of relaxation techniques similar to</w:t>
      </w:r>
      <w:r w:rsidR="007762A7">
        <w:t xml:space="preserve"> the well-known</w:t>
      </w:r>
      <w:r>
        <w:t xml:space="preserve"> Chahine relaxation (</w:t>
      </w:r>
      <w:r>
        <w:rPr>
          <w:i/>
        </w:rPr>
        <w:t>Chahine</w:t>
      </w:r>
      <w:r>
        <w:t xml:space="preserve">, 1970). The MART algorithm has the modification of a weighting matrix, </w:t>
      </w:r>
      <m:oMath>
        <m:r>
          <m:rPr>
            <m:sty m:val="bi"/>
          </m:rPr>
          <w:rPr>
            <w:rFonts w:ascii="Cambria Math" w:hAnsi="Cambria Math"/>
          </w:rPr>
          <m:t>W</m:t>
        </m:r>
      </m:oMath>
      <w:r>
        <w:t xml:space="preserve">, which relates the importance of each measurement vector, </w:t>
      </w:r>
      <m:oMath>
        <m:r>
          <w:rPr>
            <w:rFonts w:ascii="Cambria Math" w:hAnsi="Cambria Math"/>
          </w:rPr>
          <m:t>k</m:t>
        </m:r>
      </m:oMath>
      <w:r>
        <w:t xml:space="preserve">, and tangent altitude, </w:t>
      </w:r>
      <m:oMath>
        <m:r>
          <w:rPr>
            <w:rFonts w:ascii="Cambria Math" w:hAnsi="Cambria Math"/>
          </w:rPr>
          <m:t>j</m:t>
        </m:r>
      </m:oMath>
      <w:r>
        <w:t xml:space="preserve">, to each retrieved state altitude, </w:t>
      </w:r>
      <m:oMath>
        <m:r>
          <w:rPr>
            <w:rFonts w:ascii="Cambria Math" w:hAnsi="Cambria Math"/>
          </w:rPr>
          <m:t>i</m:t>
        </m:r>
      </m:oMath>
      <w:r>
        <w:t>. The algorithm is given by</w:t>
      </w:r>
    </w:p>
    <w:tbl>
      <w:tblPr>
        <w:tblStyle w:val="TableGrid"/>
        <w:tblW w:w="8050" w:type="dxa"/>
        <w:tblInd w:w="1418" w:type="dxa"/>
        <w:tblLook w:val="04A0" w:firstRow="1" w:lastRow="0" w:firstColumn="1" w:lastColumn="0" w:noHBand="0" w:noVBand="1"/>
      </w:tblPr>
      <w:tblGrid>
        <w:gridCol w:w="6804"/>
        <w:gridCol w:w="1246"/>
      </w:tblGrid>
      <w:tr w:rsidR="001412EB" w14:paraId="4B1E1DCE" w14:textId="77777777" w:rsidTr="000214D1">
        <w:tc>
          <w:tcPr>
            <w:tcW w:w="6804" w:type="dxa"/>
            <w:tcBorders>
              <w:top w:val="nil"/>
              <w:left w:val="nil"/>
              <w:bottom w:val="nil"/>
              <w:right w:val="nil"/>
            </w:tcBorders>
          </w:tcPr>
          <w:p w14:paraId="6CE363BB" w14:textId="77777777" w:rsidR="001412EB" w:rsidRPr="00577D37" w:rsidRDefault="00FD1E67" w:rsidP="000214D1">
            <w:pPr>
              <w:pStyle w:val="BodyText"/>
              <w:ind w:firstLine="289"/>
              <w:jc w:val="right"/>
              <w:rPr>
                <w:i/>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(n)</m:t>
                    </m:r>
                  </m:sup>
                </m:sSubSup>
                <m:nary>
                  <m:naryPr>
                    <m:chr m:val="∑"/>
                    <m:limLoc m:val="undOvr"/>
                    <m:ctrlPr>
                      <w:rPr>
                        <w:rFonts w:ascii="Cambria Math" w:hAnsi="Cambria Math"/>
                        <w:i/>
                      </w:rPr>
                    </m:ctrlPr>
                  </m:naryPr>
                  <m:sub>
                    <m:r>
                      <w:rPr>
                        <w:rFonts w:ascii="Cambria Math" w:hAnsi="Cambria Math"/>
                      </w:rPr>
                      <m:t>k</m:t>
                    </m:r>
                  </m:sub>
                  <m:sup/>
                  <m:e>
                    <m:nary>
                      <m:naryPr>
                        <m:chr m:val="∑"/>
                        <m:limLoc m:val="undOvr"/>
                        <m:ctrlPr>
                          <w:rPr>
                            <w:rFonts w:ascii="Cambria Math" w:hAnsi="Cambria Math"/>
                            <w:i/>
                          </w:rPr>
                        </m:ctrlPr>
                      </m:naryPr>
                      <m:sub>
                        <m:r>
                          <w:rPr>
                            <w:rFonts w:ascii="Cambria Math" w:hAnsi="Cambria Math"/>
                          </w:rPr>
                          <m:t>j</m:t>
                        </m:r>
                      </m:sub>
                      <m:sup/>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jk</m:t>
                                </m:r>
                              </m:sub>
                            </m:sSub>
                          </m:num>
                          <m:den>
                            <m:sSub>
                              <m:sSubPr>
                                <m:ctrlPr>
                                  <w:rPr>
                                    <w:rFonts w:ascii="Cambria Math" w:hAnsi="Cambria Math"/>
                                    <w:i/>
                                  </w:rPr>
                                </m:ctrlPr>
                              </m:sSubPr>
                              <m:e>
                                <m:r>
                                  <w:rPr>
                                    <w:rFonts w:ascii="Cambria Math" w:hAnsi="Cambria Math"/>
                                  </w:rPr>
                                  <m:t>F</m:t>
                                </m:r>
                              </m:e>
                              <m:sub>
                                <m:r>
                                  <w:rPr>
                                    <w:rFonts w:ascii="Cambria Math" w:hAnsi="Cambria Math"/>
                                  </w:rPr>
                                  <m:t>jk</m:t>
                                </m:r>
                              </m:sub>
                            </m:sSub>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r>
                              <m:rPr>
                                <m:sty m:val="bi"/>
                              </m:rPr>
                              <w:rPr>
                                <w:rFonts w:ascii="Cambria Math" w:hAnsi="Cambria Math"/>
                              </w:rPr>
                              <m:t>b</m:t>
                            </m:r>
                            <m:r>
                              <w:rPr>
                                <w:rFonts w:ascii="Cambria Math" w:hAnsi="Cambria Math"/>
                              </w:rPr>
                              <m:t>)</m:t>
                            </m:r>
                          </m:den>
                        </m:f>
                        <m:sSub>
                          <m:sSubPr>
                            <m:ctrlPr>
                              <w:rPr>
                                <w:rFonts w:ascii="Cambria Math" w:hAnsi="Cambria Math"/>
                                <w:i/>
                              </w:rPr>
                            </m:ctrlPr>
                          </m:sSubPr>
                          <m:e>
                            <m:r>
                              <w:rPr>
                                <w:rFonts w:ascii="Cambria Math" w:hAnsi="Cambria Math"/>
                              </w:rPr>
                              <m:t>W</m:t>
                            </m:r>
                          </m:e>
                          <m:sub>
                            <m:r>
                              <w:rPr>
                                <w:rFonts w:ascii="Cambria Math" w:hAnsi="Cambria Math"/>
                              </w:rPr>
                              <m:t>ijk</m:t>
                            </m:r>
                          </m:sub>
                        </m:sSub>
                        <m:r>
                          <w:rPr>
                            <w:rFonts w:ascii="Cambria Math" w:hAnsi="Cambria Math"/>
                          </w:rPr>
                          <m:t>.</m:t>
                        </m:r>
                      </m:e>
                    </m:nary>
                  </m:e>
                </m:nary>
              </m:oMath>
            </m:oMathPara>
          </w:p>
        </w:tc>
        <w:tc>
          <w:tcPr>
            <w:tcW w:w="1246" w:type="dxa"/>
            <w:tcBorders>
              <w:top w:val="nil"/>
              <w:left w:val="nil"/>
              <w:bottom w:val="nil"/>
              <w:right w:val="nil"/>
            </w:tcBorders>
            <w:vAlign w:val="center"/>
          </w:tcPr>
          <w:p w14:paraId="6A75FAA9" w14:textId="77777777" w:rsidR="001412EB" w:rsidRDefault="001412EB">
            <w:pPr>
              <w:pStyle w:val="BodyText"/>
              <w:ind w:firstLine="0"/>
              <w:jc w:val="right"/>
            </w:pPr>
            <w:r>
              <w:t>(2.36)</w:t>
            </w:r>
          </w:p>
        </w:tc>
      </w:tr>
    </w:tbl>
    <w:p w14:paraId="5D6A3DB4" w14:textId="7C6DFBAC" w:rsidR="001412EB" w:rsidRPr="00D42B4C" w:rsidRDefault="001412EB" w:rsidP="008F7035">
      <w:pPr>
        <w:pStyle w:val="BodyText"/>
        <w:ind w:firstLine="0"/>
        <w:jc w:val="both"/>
      </w:pPr>
      <w:r>
        <w:t xml:space="preserve">Unlike the previous methods, this method allows for computation of the state vector without the computation of the Jacobian or any matrix inversions allowing for a fast and efficient algorithm. </w:t>
      </w:r>
      <w:r w:rsidR="007762A7">
        <w:t xml:space="preserve">In the OSIRIS aerosol algorithm, only </w:t>
      </w:r>
      <w:r>
        <w:t>one</w:t>
      </w:r>
      <w:r w:rsidR="007762A7">
        <w:t xml:space="preserve"> spectral</w:t>
      </w:r>
      <w:r>
        <w:t xml:space="preserve"> measurement vector is used (</w:t>
      </w:r>
      <w:r>
        <w:rPr>
          <w:i/>
        </w:rPr>
        <w:t>Bourassa et al.</w:t>
      </w:r>
      <w:r>
        <w:t>, 2007; 2012b) and the measurement vector summation</w:t>
      </w:r>
      <w:r w:rsidR="007762A7">
        <w:t xml:space="preserve"> over </w:t>
      </w:r>
      <w:r w:rsidR="007762A7">
        <w:rPr>
          <w:i/>
        </w:rPr>
        <w:t>k</w:t>
      </w:r>
      <w:r>
        <w:t xml:space="preserve"> from Equation 2.36 can be dropped.</w:t>
      </w:r>
    </w:p>
    <w:p w14:paraId="4FCE0260" w14:textId="77777777" w:rsidR="001412EB" w:rsidRDefault="001412EB" w:rsidP="003D416A">
      <w:pPr>
        <w:pStyle w:val="Heading1"/>
      </w:pPr>
      <w:bookmarkStart w:id="60" w:name="_Toc452973724"/>
      <w:bookmarkStart w:id="61" w:name="_Toc456356953"/>
      <w:r>
        <w:t>2.6 ALI Prototype Instrument and Stratospheric Balloon Flight</w:t>
      </w:r>
      <w:bookmarkEnd w:id="60"/>
      <w:bookmarkEnd w:id="61"/>
    </w:p>
    <w:bookmarkEnd w:id="19"/>
    <w:bookmarkEnd w:id="20"/>
    <w:bookmarkEnd w:id="21"/>
    <w:p w14:paraId="2D3DEA81" w14:textId="0BEC7291" w:rsidR="001412EB" w:rsidRDefault="001412EB" w:rsidP="00F21E9F">
      <w:pPr>
        <w:pStyle w:val="BodyText"/>
        <w:jc w:val="both"/>
      </w:pPr>
      <w:r>
        <w:t xml:space="preserve">The work presented </w:t>
      </w:r>
      <w:r w:rsidR="007C1768">
        <w:t>in this thesis</w:t>
      </w:r>
      <w:r>
        <w:t xml:space="preserve"> is focused on the </w:t>
      </w:r>
      <w:r w:rsidR="007C1768">
        <w:t>development</w:t>
      </w:r>
      <w:r>
        <w:t xml:space="preserve"> of the Aerosol Limb Imager (ALI)</w:t>
      </w:r>
      <w:r w:rsidR="007C1768">
        <w:t>.  The core concept of ALI is to use the limb scatter technique together with a rapid hyperspectral imaging design approach to ultimately provide global coverage of highly spatially resolved and accurate observations of stratospheric aerosol</w:t>
      </w:r>
      <w:r>
        <w:t xml:space="preserve">. The central </w:t>
      </w:r>
      <w:r w:rsidR="007C1768">
        <w:t xml:space="preserve">design </w:t>
      </w:r>
      <w:r>
        <w:t xml:space="preserve">feature of ALI is the use of the novel </w:t>
      </w:r>
      <w:r w:rsidR="007C1768">
        <w:t xml:space="preserve">AOTF </w:t>
      </w:r>
      <w:r>
        <w:t>technology</w:t>
      </w:r>
      <w:r w:rsidR="007C1768">
        <w:t>,</w:t>
      </w:r>
      <w:r>
        <w:t xml:space="preserve"> which </w:t>
      </w:r>
      <w:r w:rsidR="007C1768">
        <w:t>provides</w:t>
      </w:r>
      <w:r>
        <w:t xml:space="preserve"> the ability to rapidly select </w:t>
      </w:r>
      <w:r w:rsidR="007C1768">
        <w:t xml:space="preserve">a </w:t>
      </w:r>
      <w:r>
        <w:t>filtered wavelength with no moving parts</w:t>
      </w:r>
      <w:r w:rsidR="007C1768">
        <w:t>, an ideal feature for space application</w:t>
      </w:r>
      <w:r>
        <w:t xml:space="preserve">. AOTFs have recently been developed with large apertures and high quality crystals allowing for imaging capabilities. The AOTF technology operates efficiently in the red </w:t>
      </w:r>
      <w:r w:rsidR="007C1768">
        <w:t xml:space="preserve">and near infrared region of the spectrum, </w:t>
      </w:r>
      <w:r>
        <w:t>which is well-matched for limb scatter sensitivity to aerosol and clouds (</w:t>
      </w:r>
      <w:r>
        <w:rPr>
          <w:i/>
        </w:rPr>
        <w:t>Rieger et al.</w:t>
      </w:r>
      <w:r>
        <w:t xml:space="preserve">, 2014) and </w:t>
      </w:r>
      <w:r>
        <w:lastRenderedPageBreak/>
        <w:t>has a typical spectral bandpass of 3</w:t>
      </w:r>
      <w:r>
        <w:noBreakHyphen/>
        <w:t>6 nm</w:t>
      </w:r>
      <w:r w:rsidR="007C1768">
        <w:t>,</w:t>
      </w:r>
      <w:r>
        <w:t xml:space="preserve"> which is ideal for the broadband scattering characteristics of aerosol. </w:t>
      </w:r>
    </w:p>
    <w:p w14:paraId="3B5A113C" w14:textId="77777777" w:rsidR="001412EB" w:rsidRDefault="001412EB" w:rsidP="008B011C">
      <w:pPr>
        <w:pStyle w:val="Heading2"/>
      </w:pPr>
      <w:bookmarkStart w:id="62" w:name="_Toc456356954"/>
      <w:r>
        <w:t>2.6.1 ALI Specifications</w:t>
      </w:r>
      <w:bookmarkEnd w:id="62"/>
    </w:p>
    <w:p w14:paraId="0953F162" w14:textId="660A8829" w:rsidR="001412EB" w:rsidRDefault="000C7985" w:rsidP="00F21E9F">
      <w:pPr>
        <w:pStyle w:val="BodyText"/>
        <w:jc w:val="both"/>
      </w:pPr>
      <w:r>
        <w:t>As mentioned previously, t</w:t>
      </w:r>
      <w:r w:rsidR="001412EB">
        <w:t xml:space="preserve">he </w:t>
      </w:r>
      <w:r>
        <w:t xml:space="preserve">ultimate </w:t>
      </w:r>
      <w:r w:rsidR="001412EB">
        <w:t xml:space="preserve">goal of </w:t>
      </w:r>
      <w:r>
        <w:t xml:space="preserve">this work is the eventual realization of ALI on </w:t>
      </w:r>
      <w:r w:rsidR="001412EB">
        <w:t>a future satellite mission</w:t>
      </w:r>
      <w:r>
        <w:t>.  H</w:t>
      </w:r>
      <w:r w:rsidR="001412EB">
        <w:t>owever</w:t>
      </w:r>
      <w:r>
        <w:t xml:space="preserve">, for the prototype design and test work presented here, the available flight opportunity was on stratospheric balloon. </w:t>
      </w:r>
      <w:r w:rsidR="001412EB">
        <w:t>This</w:t>
      </w:r>
      <w:r>
        <w:t xml:space="preserve"> choice of test</w:t>
      </w:r>
      <w:r w:rsidR="001412EB">
        <w:t xml:space="preserve"> platform has resulted in some </w:t>
      </w:r>
      <w:r>
        <w:t xml:space="preserve">specific </w:t>
      </w:r>
      <w:r w:rsidR="001412EB">
        <w:t xml:space="preserve">design </w:t>
      </w:r>
      <w:r>
        <w:t xml:space="preserve">decisions </w:t>
      </w:r>
      <w:r w:rsidR="001412EB">
        <w:t xml:space="preserve">for the </w:t>
      </w:r>
      <w:r>
        <w:t>prototype that would ultimately require revision for a satellite-based implementation</w:t>
      </w:r>
      <w:r w:rsidR="001412EB">
        <w:t xml:space="preserve">. </w:t>
      </w:r>
    </w:p>
    <w:p w14:paraId="745FF41F" w14:textId="06FEF0C4" w:rsidR="001412EB" w:rsidRDefault="000C7985" w:rsidP="00F21E9F">
      <w:pPr>
        <w:pStyle w:val="BodyText"/>
        <w:jc w:val="both"/>
      </w:pPr>
      <w:r>
        <w:t xml:space="preserve">Stratospheric </w:t>
      </w:r>
      <w:r w:rsidR="001412EB">
        <w:t xml:space="preserve">balloon </w:t>
      </w:r>
      <w:r>
        <w:t xml:space="preserve">flights provide stable </w:t>
      </w:r>
      <w:r w:rsidR="001412EB">
        <w:t>float altitude of 35 km</w:t>
      </w:r>
      <w:r>
        <w:t xml:space="preserve">. </w:t>
      </w:r>
      <w:r w:rsidR="001412EB">
        <w:t>This results in</w:t>
      </w:r>
      <w:r>
        <w:t xml:space="preserve"> a</w:t>
      </w:r>
      <w:r w:rsidR="001412EB">
        <w:t xml:space="preserve"> minimum vertical field of view </w:t>
      </w:r>
      <w:r>
        <w:t xml:space="preserve">for ALI </w:t>
      </w:r>
      <w:r w:rsidR="001412EB">
        <w:t>of 6</w:t>
      </w:r>
      <w:r w:rsidR="001412EB">
        <w:rPr>
          <w:vertAlign w:val="superscript"/>
        </w:rPr>
        <w:t>◦</w:t>
      </w:r>
      <w:r w:rsidR="001412EB">
        <w:t xml:space="preserve"> </w:t>
      </w:r>
      <w:r>
        <w:t>in order to image the limb from the ground to the float altitude</w:t>
      </w:r>
      <w:r w:rsidR="001412EB">
        <w:t xml:space="preserve">. </w:t>
      </w:r>
      <w:r>
        <w:t>F</w:t>
      </w:r>
      <w:r w:rsidR="001412EB">
        <w:t xml:space="preserve">or a satellite platform the required field of view would be </w:t>
      </w:r>
      <w:r>
        <w:t xml:space="preserve">substantially </w:t>
      </w:r>
      <w:r w:rsidR="001412EB">
        <w:t>reduce</w:t>
      </w:r>
      <w:r>
        <w:t>d</w:t>
      </w:r>
      <w:r w:rsidR="001412EB">
        <w:t xml:space="preserve"> to approximately 1</w:t>
      </w:r>
      <w:r w:rsidR="001412EB">
        <w:rPr>
          <w:vertAlign w:val="superscript"/>
        </w:rPr>
        <w:t>◦</w:t>
      </w:r>
      <w:r>
        <w:rPr>
          <w:vertAlign w:val="superscript"/>
        </w:rPr>
        <w:t xml:space="preserve"> </w:t>
      </w:r>
      <w:r w:rsidR="00585571">
        <w:rPr>
          <w:vertAlign w:val="superscript"/>
        </w:rPr>
        <w:t xml:space="preserve"> </w:t>
      </w:r>
      <w:r>
        <w:t>in order to cover the same range.</w:t>
      </w:r>
      <w:r w:rsidR="001412EB">
        <w:t xml:space="preserve"> </w:t>
      </w:r>
      <w:r>
        <w:t>T</w:t>
      </w:r>
      <w:r w:rsidR="001412EB">
        <w:t xml:space="preserve">he structural features </w:t>
      </w:r>
      <w:r>
        <w:t xml:space="preserve">in the aerosol distribution </w:t>
      </w:r>
      <w:r w:rsidR="001412EB">
        <w:t xml:space="preserve">discussed in section 2.2 are generally </w:t>
      </w:r>
      <w:r>
        <w:t xml:space="preserve">less than one </w:t>
      </w:r>
      <w:r w:rsidR="001412EB">
        <w:t xml:space="preserve">kilometer </w:t>
      </w:r>
      <w:r>
        <w:t xml:space="preserve">vertically </w:t>
      </w:r>
      <w:r w:rsidR="001412EB">
        <w:t xml:space="preserve">and to resolve these features a minimum spatial resolution of 250 m is required. </w:t>
      </w:r>
      <w:r>
        <w:t>For this design, s</w:t>
      </w:r>
      <w:r w:rsidR="001412EB">
        <w:t>imilar specifications are used for the horizontal (cross-track) direction.</w:t>
      </w:r>
    </w:p>
    <w:p w14:paraId="202539F5" w14:textId="4ECA3DEE" w:rsidR="001412EB" w:rsidRDefault="001412EB" w:rsidP="00B611F6">
      <w:pPr>
        <w:pStyle w:val="BodyText"/>
        <w:jc w:val="both"/>
      </w:pPr>
      <w:r>
        <w:t>Spectrally, aerosol scatter</w:t>
      </w:r>
      <w:r w:rsidR="00FD296A">
        <w:t>ing is a broadband phenomenon with spectrally smooth scattering cross sections such that high spectral resolution is not required</w:t>
      </w:r>
      <w:r>
        <w:t>; however</w:t>
      </w:r>
      <w:r w:rsidR="00FD296A">
        <w:t>, a large spectral range is desirable.</w:t>
      </w:r>
      <w:r>
        <w:t xml:space="preserve"> </w:t>
      </w:r>
      <w:r w:rsidR="00FD296A">
        <w:t>P</w:t>
      </w:r>
      <w:r>
        <w:t xml:space="preserve">article </w:t>
      </w:r>
      <w:r w:rsidR="00FD296A">
        <w:t xml:space="preserve">size </w:t>
      </w:r>
      <w:r>
        <w:t>sensitivity</w:t>
      </w:r>
      <w:r w:rsidR="00FD296A">
        <w:t xml:space="preserve"> in limb scattering</w:t>
      </w:r>
      <w:r>
        <w:t xml:space="preserve"> increases </w:t>
      </w:r>
      <w:r w:rsidR="00FD296A">
        <w:t>from the visible to</w:t>
      </w:r>
      <w:r>
        <w:t xml:space="preserve"> the near </w:t>
      </w:r>
      <w:r w:rsidR="00FD296A">
        <w:t>infrared (</w:t>
      </w:r>
      <w:r w:rsidR="00FD296A" w:rsidRPr="00585571">
        <w:rPr>
          <w:i/>
        </w:rPr>
        <w:t>Rieger et al</w:t>
      </w:r>
      <w:r w:rsidR="00FD296A">
        <w:t>., 2014)</w:t>
      </w:r>
      <w:r>
        <w:t xml:space="preserve">. </w:t>
      </w:r>
      <w:r w:rsidR="00FD296A">
        <w:t xml:space="preserve">When combined with the single octave range capability of the AOTF, </w:t>
      </w:r>
      <w:r>
        <w:t xml:space="preserve">ALI </w:t>
      </w:r>
      <w:r w:rsidR="00FD296A">
        <w:t>is designed</w:t>
      </w:r>
      <w:r>
        <w:t xml:space="preserve"> to measure </w:t>
      </w:r>
      <w:r w:rsidR="00FD296A">
        <w:t>the</w:t>
      </w:r>
      <w:r>
        <w:t xml:space="preserve"> 600-1200 nm</w:t>
      </w:r>
      <w:r w:rsidR="00FD296A">
        <w:t xml:space="preserve"> spectral range</w:t>
      </w:r>
      <w:r>
        <w:t xml:space="preserve">. Since the aerosol (Mie) scattering cross section varies slowly with wavelength, measurements every 25-50 nm within the range are required. Furthermore, this slow varying cross section also allows for low spectral resolution with a spectral bandpass requirement of less than 10 nm.  </w:t>
      </w:r>
    </w:p>
    <w:p w14:paraId="4F2D26AC" w14:textId="3776D1F6" w:rsidR="001412EB" w:rsidRDefault="001412EB" w:rsidP="00B611F6">
      <w:pPr>
        <w:pStyle w:val="BodyText"/>
        <w:jc w:val="both"/>
      </w:pPr>
      <w:r>
        <w:lastRenderedPageBreak/>
        <w:t xml:space="preserve">The nature of </w:t>
      </w:r>
      <w:r w:rsidR="000132A8">
        <w:t>imaging</w:t>
      </w:r>
      <w:r>
        <w:t xml:space="preserve"> limb scatter</w:t>
      </w:r>
      <w:r w:rsidR="000132A8">
        <w:t>ing</w:t>
      </w:r>
      <w:r>
        <w:t xml:space="preserve"> results in a situation where the lower altitudes have high signal and the upper altitudes have low signal. Therefore signal to noise levels are the most important at the high altitudes due to the exponential signal drop-off. The highest measurement altitudes (</w:t>
      </w:r>
      <w:r>
        <w:rPr>
          <w:i/>
        </w:rPr>
        <w:t>i.e.</w:t>
      </w:r>
      <w:r>
        <w:t xml:space="preserve"> 30-35 km) require that the signal to noise ratio must remain above </w:t>
      </w:r>
      <w:r w:rsidR="00585571">
        <w:t>5</w:t>
      </w:r>
      <w:r>
        <w:t xml:space="preserve"> to be able to use these high altitude measurements to determine aerosol extinction. Additionally, the system </w:t>
      </w:r>
      <w:r w:rsidR="000132A8">
        <w:t>should</w:t>
      </w:r>
      <w:r>
        <w:t xml:space="preserve"> be able to take a</w:t>
      </w:r>
      <w:r w:rsidR="000132A8">
        <w:t xml:space="preserve"> single</w:t>
      </w:r>
      <w:r>
        <w:t xml:space="preserve"> image </w:t>
      </w:r>
      <w:r w:rsidR="000132A8">
        <w:t xml:space="preserve">with an exposure time </w:t>
      </w:r>
      <w:r>
        <w:t xml:space="preserve">on the order of a second </w:t>
      </w:r>
      <w:r w:rsidR="000132A8">
        <w:t xml:space="preserve">or less </w:t>
      </w:r>
      <w:r>
        <w:t>to achieve a high measurements</w:t>
      </w:r>
      <w:r w:rsidR="000132A8">
        <w:t xml:space="preserve"> density</w:t>
      </w:r>
      <w:r>
        <w:t>.</w:t>
      </w:r>
    </w:p>
    <w:p w14:paraId="123176F1" w14:textId="20D9D7DB" w:rsidR="001412EB" w:rsidRPr="00B611F6" w:rsidRDefault="001412EB" w:rsidP="00B611F6">
      <w:pPr>
        <w:pStyle w:val="BodyText"/>
        <w:jc w:val="both"/>
      </w:pPr>
      <w:r>
        <w:t xml:space="preserve">Finally, due to the limitations of the stratospheric balloon platform both mass, power consumption, and thermal rages are a concern. The balloon platform can only sustain so much mass and has a limited amount of power. As such, the total mass of ALI must remain below 50 kg and power </w:t>
      </w:r>
      <w:r w:rsidR="000132A8">
        <w:t>consumption</w:t>
      </w:r>
      <w:r>
        <w:t xml:space="preserve"> below 80 W is required. Furthermore, the</w:t>
      </w:r>
      <w:r w:rsidR="000132A8">
        <w:t xml:space="preserve"> thermal environment of</w:t>
      </w:r>
      <w:r>
        <w:t xml:space="preserve"> </w:t>
      </w:r>
      <w:r w:rsidR="000132A8">
        <w:t xml:space="preserve">the </w:t>
      </w:r>
      <w:r>
        <w:t xml:space="preserve">balloon </w:t>
      </w:r>
      <w:r w:rsidR="000132A8">
        <w:t xml:space="preserve">at stratospheric altitudes is challenging with ambient temperatures that are colder than </w:t>
      </w:r>
      <w:r w:rsidR="000132A8">
        <w:noBreakHyphen/>
      </w:r>
      <w:r>
        <w:t>40</w:t>
      </w:r>
      <w:r>
        <w:rPr>
          <w:vertAlign w:val="superscript"/>
        </w:rPr>
        <w:t>◦</w:t>
      </w:r>
      <w:r>
        <w:t xml:space="preserve">C. Additionally, heating from direct sunlight </w:t>
      </w:r>
      <w:r w:rsidR="000132A8">
        <w:t>cause large thermal gradients in</w:t>
      </w:r>
      <w:r>
        <w:t xml:space="preserve"> the instrument resulting in concerns of overheating. In order to mitigate these concerns ALI must be thermally stable within all equipment’s standard operating ranges. </w:t>
      </w:r>
    </w:p>
    <w:p w14:paraId="15A60479" w14:textId="0FDCE2D4" w:rsidR="001412EB" w:rsidRDefault="001412EB" w:rsidP="00D80315">
      <w:pPr>
        <w:pStyle w:val="BodyText"/>
        <w:jc w:val="both"/>
      </w:pPr>
      <w:bookmarkStart w:id="63" w:name="_GoBack"/>
      <w:bookmarkEnd w:id="63"/>
    </w:p>
    <w:p w14:paraId="1D06428B" w14:textId="77777777" w:rsidR="001412EB" w:rsidRDefault="001412EB" w:rsidP="00E46AB9">
      <w:pPr>
        <w:pStyle w:val="BodyText"/>
        <w:jc w:val="both"/>
      </w:pPr>
    </w:p>
    <w:p w14:paraId="143384E6" w14:textId="77777777" w:rsidR="001412EB" w:rsidRPr="00BA54C2" w:rsidRDefault="001412EB" w:rsidP="00E46AB9">
      <w:pPr>
        <w:pStyle w:val="BodyText"/>
        <w:jc w:val="both"/>
        <w:sectPr w:rsidR="001412EB" w:rsidRPr="00BA54C2" w:rsidSect="00880845">
          <w:headerReference w:type="default" r:id="rId14"/>
          <w:footerReference w:type="first" r:id="rId15"/>
          <w:pgSz w:w="12240" w:h="15840" w:code="1"/>
          <w:pgMar w:top="1440" w:right="1440" w:bottom="1440" w:left="1440" w:header="720" w:footer="720" w:gutter="0"/>
          <w:cols w:space="720"/>
          <w:titlePg/>
        </w:sectPr>
      </w:pPr>
    </w:p>
    <w:p w14:paraId="27D75AFC" w14:textId="77777777" w:rsidR="00880845" w:rsidRDefault="00880845" w:rsidP="00F84215">
      <w:pPr>
        <w:pStyle w:val="BodyText"/>
        <w:ind w:firstLine="0"/>
      </w:pPr>
    </w:p>
    <w:sectPr w:rsidR="00880845">
      <w:headerReference w:type="default" r:id="rId16"/>
      <w:footerReference w:type="firs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6081C" w14:textId="77777777" w:rsidR="00DA557C" w:rsidRDefault="00DA557C">
      <w:r>
        <w:separator/>
      </w:r>
    </w:p>
  </w:endnote>
  <w:endnote w:type="continuationSeparator" w:id="0">
    <w:p w14:paraId="0D3B6F8C" w14:textId="77777777" w:rsidR="00DA557C" w:rsidRDefault="00DA5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EB713" w14:textId="77777777" w:rsidR="00FD1E67" w:rsidRDefault="00FD1E67">
    <w:pPr>
      <w:pStyle w:val="Footer"/>
    </w:pPr>
    <w:r>
      <w:rPr>
        <w:rStyle w:val="PageNumber"/>
      </w:rPr>
      <w:fldChar w:fldCharType="begin"/>
    </w:r>
    <w:r>
      <w:rPr>
        <w:rStyle w:val="PageNumber"/>
      </w:rPr>
      <w:instrText xml:space="preserve"> PAGE </w:instrText>
    </w:r>
    <w:r>
      <w:rPr>
        <w:rStyle w:val="PageNumber"/>
      </w:rPr>
      <w:fldChar w:fldCharType="separate"/>
    </w:r>
    <w:r w:rsidR="000F1B17">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E2AC" w14:textId="77777777" w:rsidR="00FD1E67" w:rsidRDefault="00FD1E6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A2C5B" w14:textId="77777777" w:rsidR="00DA557C" w:rsidRDefault="00DA557C">
      <w:r>
        <w:separator/>
      </w:r>
    </w:p>
  </w:footnote>
  <w:footnote w:type="continuationSeparator" w:id="0">
    <w:p w14:paraId="0391F704" w14:textId="77777777" w:rsidR="00DA557C" w:rsidRDefault="00DA55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83989" w14:textId="77777777" w:rsidR="00FD1E67" w:rsidRDefault="00FD1E67">
    <w:pPr>
      <w:pStyle w:val="Header"/>
    </w:pPr>
    <w:r>
      <w:rPr>
        <w:rStyle w:val="PageNumber"/>
      </w:rPr>
      <w:fldChar w:fldCharType="begin"/>
    </w:r>
    <w:r>
      <w:rPr>
        <w:rStyle w:val="PageNumber"/>
      </w:rPr>
      <w:instrText xml:space="preserve"> PAGE </w:instrText>
    </w:r>
    <w:r>
      <w:rPr>
        <w:rStyle w:val="PageNumber"/>
      </w:rPr>
      <w:fldChar w:fldCharType="separate"/>
    </w:r>
    <w:r w:rsidR="00585571">
      <w:rPr>
        <w:rStyle w:val="PageNumber"/>
        <w:noProof/>
      </w:rPr>
      <w:t>32</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8380" w14:textId="77777777" w:rsidR="00FD1E67" w:rsidRDefault="00FD1E67">
    <w:pPr>
      <w:pStyle w:val="Header"/>
    </w:pPr>
    <w:r>
      <w:rPr>
        <w:rStyle w:val="PageNumber"/>
      </w:rPr>
      <w:fldChar w:fldCharType="begin"/>
    </w:r>
    <w:r>
      <w:rPr>
        <w:rStyle w:val="PageNumber"/>
      </w:rPr>
      <w:instrText xml:space="preserve"> PAGE </w:instrText>
    </w:r>
    <w:r>
      <w:rPr>
        <w:rStyle w:val="PageNumber"/>
      </w:rPr>
      <w:fldChar w:fldCharType="separate"/>
    </w:r>
    <w:r w:rsidR="00585571">
      <w:rPr>
        <w:rStyle w:val="PageNumber"/>
        <w:noProof/>
      </w:rPr>
      <w:t>33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2"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3"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6"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7"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4"/>
  </w:num>
  <w:num w:numId="2">
    <w:abstractNumId w:val="12"/>
  </w:num>
  <w:num w:numId="3">
    <w:abstractNumId w:val="18"/>
  </w:num>
  <w:num w:numId="4">
    <w:abstractNumId w:val="9"/>
  </w:num>
  <w:num w:numId="5">
    <w:abstractNumId w:val="17"/>
  </w:num>
  <w:num w:numId="6">
    <w:abstractNumId w:val="19"/>
  </w:num>
  <w:num w:numId="7">
    <w:abstractNumId w:val="5"/>
  </w:num>
  <w:num w:numId="8">
    <w:abstractNumId w:val="10"/>
  </w:num>
  <w:num w:numId="9">
    <w:abstractNumId w:val="1"/>
  </w:num>
  <w:num w:numId="10">
    <w:abstractNumId w:val="11"/>
  </w:num>
  <w:num w:numId="11">
    <w:abstractNumId w:val="2"/>
  </w:num>
  <w:num w:numId="12">
    <w:abstractNumId w:val="3"/>
  </w:num>
  <w:num w:numId="13">
    <w:abstractNumId w:val="11"/>
    <w:lvlOverride w:ilvl="0">
      <w:startOverride w:val="1"/>
    </w:lvlOverride>
  </w:num>
  <w:num w:numId="14">
    <w:abstractNumId w:val="11"/>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3"/>
  </w:num>
  <w:num w:numId="22">
    <w:abstractNumId w:val="13"/>
    <w:lvlOverride w:ilvl="0">
      <w:lvl w:ilvl="0">
        <w:start w:val="1"/>
        <w:numFmt w:val="decimal"/>
        <w:lvlText w:val="%1."/>
        <w:legacy w:legacy="1" w:legacySpace="0" w:legacyIndent="360"/>
        <w:lvlJc w:val="left"/>
        <w:pPr>
          <w:ind w:left="1080" w:hanging="360"/>
        </w:pPr>
      </w:lvl>
    </w:lvlOverride>
  </w:num>
  <w:num w:numId="23">
    <w:abstractNumId w:val="13"/>
    <w:lvlOverride w:ilvl="0">
      <w:lvl w:ilvl="0">
        <w:start w:val="1"/>
        <w:numFmt w:val="decimal"/>
        <w:lvlText w:val="%1."/>
        <w:legacy w:legacy="1" w:legacySpace="0" w:legacyIndent="360"/>
        <w:lvlJc w:val="left"/>
        <w:pPr>
          <w:ind w:left="1080" w:hanging="360"/>
        </w:pPr>
      </w:lvl>
    </w:lvlOverride>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080" w:hanging="360"/>
        </w:pPr>
      </w:lvl>
    </w:lvlOverride>
  </w:num>
  <w:num w:numId="26">
    <w:abstractNumId w:val="13"/>
    <w:lvlOverride w:ilvl="0">
      <w:lvl w:ilvl="0">
        <w:start w:val="1"/>
        <w:numFmt w:val="decimal"/>
        <w:lvlText w:val="%1."/>
        <w:legacy w:legacy="1" w:legacySpace="0" w:legacyIndent="360"/>
        <w:lvlJc w:val="left"/>
        <w:pPr>
          <w:ind w:left="1080" w:hanging="360"/>
        </w:pPr>
      </w:lvl>
    </w:lvlOverride>
  </w:num>
  <w:num w:numId="27">
    <w:abstractNumId w:val="13"/>
    <w:lvlOverride w:ilvl="0">
      <w:lvl w:ilvl="0">
        <w:start w:val="1"/>
        <w:numFmt w:val="decimal"/>
        <w:lvlText w:val="%1."/>
        <w:legacy w:legacy="1" w:legacySpace="0" w:legacyIndent="360"/>
        <w:lvlJc w:val="left"/>
        <w:pPr>
          <w:ind w:left="1080" w:hanging="360"/>
        </w:pPr>
      </w:lvl>
    </w:lvlOverride>
  </w:num>
  <w:num w:numId="28">
    <w:abstractNumId w:val="13"/>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3"/>
    <w:lvlOverride w:ilvl="0">
      <w:lvl w:ilvl="0">
        <w:start w:val="1"/>
        <w:numFmt w:val="decimal"/>
        <w:lvlText w:val="%1."/>
        <w:legacy w:legacy="1" w:legacySpace="0" w:legacyIndent="360"/>
        <w:lvlJc w:val="left"/>
        <w:pPr>
          <w:ind w:left="1080" w:hanging="360"/>
        </w:pPr>
      </w:lvl>
    </w:lvlOverride>
  </w:num>
  <w:num w:numId="33">
    <w:abstractNumId w:val="13"/>
    <w:lvlOverride w:ilvl="0">
      <w:lvl w:ilvl="0">
        <w:start w:val="1"/>
        <w:numFmt w:val="decimal"/>
        <w:lvlText w:val="%1."/>
        <w:legacy w:legacy="1" w:legacySpace="0" w:legacyIndent="360"/>
        <w:lvlJc w:val="left"/>
        <w:pPr>
          <w:ind w:left="1080" w:hanging="360"/>
        </w:pPr>
      </w:lvl>
    </w:lvlOverride>
  </w:num>
  <w:num w:numId="34">
    <w:abstractNumId w:val="13"/>
    <w:lvlOverride w:ilvl="0">
      <w:lvl w:ilvl="0">
        <w:start w:val="1"/>
        <w:numFmt w:val="decimal"/>
        <w:lvlText w:val="%1."/>
        <w:legacy w:legacy="1" w:legacySpace="0" w:legacyIndent="360"/>
        <w:lvlJc w:val="left"/>
        <w:pPr>
          <w:ind w:left="1080" w:hanging="360"/>
        </w:pPr>
      </w:lvl>
    </w:lvlOverride>
  </w:num>
  <w:num w:numId="35">
    <w:abstractNumId w:val="13"/>
    <w:lvlOverride w:ilvl="0">
      <w:lvl w:ilvl="0">
        <w:start w:val="1"/>
        <w:numFmt w:val="decimal"/>
        <w:lvlText w:val="%1."/>
        <w:legacy w:legacy="1" w:legacySpace="0" w:legacyIndent="360"/>
        <w:lvlJc w:val="left"/>
        <w:pPr>
          <w:ind w:left="1080" w:hanging="360"/>
        </w:pPr>
      </w:lvl>
    </w:lvlOverride>
  </w:num>
  <w:num w:numId="36">
    <w:abstractNumId w:val="13"/>
    <w:lvlOverride w:ilvl="0">
      <w:lvl w:ilvl="0">
        <w:start w:val="1"/>
        <w:numFmt w:val="decimal"/>
        <w:lvlText w:val="%1."/>
        <w:legacy w:legacy="1" w:legacySpace="0" w:legacyIndent="360"/>
        <w:lvlJc w:val="left"/>
        <w:pPr>
          <w:ind w:left="1080" w:hanging="360"/>
        </w:pPr>
      </w:lvl>
    </w:lvlOverride>
  </w:num>
  <w:num w:numId="37">
    <w:abstractNumId w:val="13"/>
    <w:lvlOverride w:ilvl="0">
      <w:lvl w:ilvl="0">
        <w:start w:val="1"/>
        <w:numFmt w:val="decimal"/>
        <w:lvlText w:val="%1."/>
        <w:legacy w:legacy="1" w:legacySpace="0" w:legacyIndent="360"/>
        <w:lvlJc w:val="left"/>
        <w:pPr>
          <w:ind w:left="1080" w:hanging="360"/>
        </w:pPr>
      </w:lvl>
    </w:lvlOverride>
  </w:num>
  <w:num w:numId="38">
    <w:abstractNumId w:val="13"/>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3"/>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3"/>
    <w:lvlOverride w:ilvl="0">
      <w:lvl w:ilvl="0">
        <w:start w:val="1"/>
        <w:numFmt w:val="decimal"/>
        <w:lvlText w:val="%1."/>
        <w:legacy w:legacy="1" w:legacySpace="0" w:legacyIndent="360"/>
        <w:lvlJc w:val="left"/>
        <w:pPr>
          <w:ind w:left="1080" w:hanging="360"/>
        </w:pPr>
      </w:lvl>
    </w:lvlOverride>
  </w:num>
  <w:num w:numId="43">
    <w:abstractNumId w:val="15"/>
    <w:lvlOverride w:ilvl="0">
      <w:lvl w:ilvl="0">
        <w:start w:val="1"/>
        <w:numFmt w:val="decimal"/>
        <w:lvlText w:val="%1."/>
        <w:legacy w:legacy="1" w:legacySpace="0" w:legacyIndent="360"/>
        <w:lvlJc w:val="left"/>
        <w:pPr>
          <w:ind w:left="1080" w:hanging="360"/>
        </w:pPr>
      </w:lvl>
    </w:lvlOverride>
  </w:num>
  <w:num w:numId="44">
    <w:abstractNumId w:val="16"/>
  </w:num>
  <w:num w:numId="45">
    <w:abstractNumId w:val="6"/>
  </w:num>
  <w:num w:numId="4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05B2F"/>
    <w:rsid w:val="000132A8"/>
    <w:rsid w:val="0001361F"/>
    <w:rsid w:val="000141AF"/>
    <w:rsid w:val="000214D1"/>
    <w:rsid w:val="00027935"/>
    <w:rsid w:val="00036320"/>
    <w:rsid w:val="0004009B"/>
    <w:rsid w:val="00040164"/>
    <w:rsid w:val="00041D8F"/>
    <w:rsid w:val="00043A8D"/>
    <w:rsid w:val="00046089"/>
    <w:rsid w:val="00046371"/>
    <w:rsid w:val="000475BE"/>
    <w:rsid w:val="0005342F"/>
    <w:rsid w:val="00053524"/>
    <w:rsid w:val="00060EA7"/>
    <w:rsid w:val="00065197"/>
    <w:rsid w:val="00067D98"/>
    <w:rsid w:val="00071EB0"/>
    <w:rsid w:val="000733D8"/>
    <w:rsid w:val="00074E92"/>
    <w:rsid w:val="000815C8"/>
    <w:rsid w:val="00084A81"/>
    <w:rsid w:val="00091C09"/>
    <w:rsid w:val="000927B6"/>
    <w:rsid w:val="00095F11"/>
    <w:rsid w:val="00097F5B"/>
    <w:rsid w:val="000A3AA4"/>
    <w:rsid w:val="000B7578"/>
    <w:rsid w:val="000C4288"/>
    <w:rsid w:val="000C438C"/>
    <w:rsid w:val="000C77C9"/>
    <w:rsid w:val="000C7985"/>
    <w:rsid w:val="000D5FAB"/>
    <w:rsid w:val="000E00D9"/>
    <w:rsid w:val="000E5426"/>
    <w:rsid w:val="000E7F58"/>
    <w:rsid w:val="000F1B17"/>
    <w:rsid w:val="000F42DF"/>
    <w:rsid w:val="0011228B"/>
    <w:rsid w:val="00112AA3"/>
    <w:rsid w:val="001203C4"/>
    <w:rsid w:val="001218F6"/>
    <w:rsid w:val="00126FBA"/>
    <w:rsid w:val="00127BD9"/>
    <w:rsid w:val="00131AE2"/>
    <w:rsid w:val="00132E7F"/>
    <w:rsid w:val="0013370E"/>
    <w:rsid w:val="001345CF"/>
    <w:rsid w:val="00136819"/>
    <w:rsid w:val="00137DE4"/>
    <w:rsid w:val="001412EB"/>
    <w:rsid w:val="00141A0C"/>
    <w:rsid w:val="00145EE4"/>
    <w:rsid w:val="00150A43"/>
    <w:rsid w:val="00151ED9"/>
    <w:rsid w:val="00153059"/>
    <w:rsid w:val="00157783"/>
    <w:rsid w:val="00160D81"/>
    <w:rsid w:val="00164350"/>
    <w:rsid w:val="00172D78"/>
    <w:rsid w:val="001736E8"/>
    <w:rsid w:val="00173883"/>
    <w:rsid w:val="0017417B"/>
    <w:rsid w:val="00174DDF"/>
    <w:rsid w:val="001760E7"/>
    <w:rsid w:val="00176DE8"/>
    <w:rsid w:val="00177C4A"/>
    <w:rsid w:val="001809EB"/>
    <w:rsid w:val="0018417E"/>
    <w:rsid w:val="00187AD1"/>
    <w:rsid w:val="00191DE6"/>
    <w:rsid w:val="001A2615"/>
    <w:rsid w:val="001A33E5"/>
    <w:rsid w:val="001A53CB"/>
    <w:rsid w:val="001A577F"/>
    <w:rsid w:val="001A647C"/>
    <w:rsid w:val="001A6DB6"/>
    <w:rsid w:val="001B0548"/>
    <w:rsid w:val="001B2134"/>
    <w:rsid w:val="001B48F4"/>
    <w:rsid w:val="001C02B4"/>
    <w:rsid w:val="001C2D1D"/>
    <w:rsid w:val="001C69C9"/>
    <w:rsid w:val="001D03E8"/>
    <w:rsid w:val="001D7A0D"/>
    <w:rsid w:val="001E0643"/>
    <w:rsid w:val="001E4300"/>
    <w:rsid w:val="001E7190"/>
    <w:rsid w:val="001E71EE"/>
    <w:rsid w:val="001F39B3"/>
    <w:rsid w:val="001F6448"/>
    <w:rsid w:val="0020299E"/>
    <w:rsid w:val="0020552C"/>
    <w:rsid w:val="002076F6"/>
    <w:rsid w:val="002108A3"/>
    <w:rsid w:val="00210A08"/>
    <w:rsid w:val="00215600"/>
    <w:rsid w:val="002156CE"/>
    <w:rsid w:val="002163A1"/>
    <w:rsid w:val="0022229E"/>
    <w:rsid w:val="00222BE7"/>
    <w:rsid w:val="00224869"/>
    <w:rsid w:val="002269E5"/>
    <w:rsid w:val="002277ED"/>
    <w:rsid w:val="00232E5E"/>
    <w:rsid w:val="002347DA"/>
    <w:rsid w:val="002362EA"/>
    <w:rsid w:val="00250BEC"/>
    <w:rsid w:val="002557C6"/>
    <w:rsid w:val="00256D95"/>
    <w:rsid w:val="00267F43"/>
    <w:rsid w:val="0028014F"/>
    <w:rsid w:val="002874EA"/>
    <w:rsid w:val="00297320"/>
    <w:rsid w:val="002A0B9C"/>
    <w:rsid w:val="002A3A79"/>
    <w:rsid w:val="002A4AD3"/>
    <w:rsid w:val="002B1B85"/>
    <w:rsid w:val="002B3FC6"/>
    <w:rsid w:val="002B54E1"/>
    <w:rsid w:val="002B6091"/>
    <w:rsid w:val="002B638F"/>
    <w:rsid w:val="002C2E94"/>
    <w:rsid w:val="002D0D19"/>
    <w:rsid w:val="002D64DC"/>
    <w:rsid w:val="002D6CE5"/>
    <w:rsid w:val="002D78AB"/>
    <w:rsid w:val="002E1B31"/>
    <w:rsid w:val="002F128C"/>
    <w:rsid w:val="002F308D"/>
    <w:rsid w:val="002F7F31"/>
    <w:rsid w:val="00306434"/>
    <w:rsid w:val="0031242B"/>
    <w:rsid w:val="00313BD2"/>
    <w:rsid w:val="00314761"/>
    <w:rsid w:val="00321E61"/>
    <w:rsid w:val="003321F6"/>
    <w:rsid w:val="00342CD1"/>
    <w:rsid w:val="0035331A"/>
    <w:rsid w:val="003664F3"/>
    <w:rsid w:val="0036776F"/>
    <w:rsid w:val="003679D5"/>
    <w:rsid w:val="00371DAA"/>
    <w:rsid w:val="003722B0"/>
    <w:rsid w:val="00372AC4"/>
    <w:rsid w:val="003774F7"/>
    <w:rsid w:val="00391DFA"/>
    <w:rsid w:val="00394B95"/>
    <w:rsid w:val="00396EA0"/>
    <w:rsid w:val="003A1A1B"/>
    <w:rsid w:val="003A4D25"/>
    <w:rsid w:val="003A7905"/>
    <w:rsid w:val="003B032F"/>
    <w:rsid w:val="003B628F"/>
    <w:rsid w:val="003B6ADF"/>
    <w:rsid w:val="003C0F44"/>
    <w:rsid w:val="003C1FFA"/>
    <w:rsid w:val="003C26E2"/>
    <w:rsid w:val="003C2D58"/>
    <w:rsid w:val="003C6943"/>
    <w:rsid w:val="003C7A0A"/>
    <w:rsid w:val="003D416A"/>
    <w:rsid w:val="003E038B"/>
    <w:rsid w:val="003E0CAD"/>
    <w:rsid w:val="003E5AF4"/>
    <w:rsid w:val="003F21A7"/>
    <w:rsid w:val="00407445"/>
    <w:rsid w:val="004107CB"/>
    <w:rsid w:val="0041162C"/>
    <w:rsid w:val="00411BF9"/>
    <w:rsid w:val="00412EF1"/>
    <w:rsid w:val="00414BD2"/>
    <w:rsid w:val="00415091"/>
    <w:rsid w:val="004201A4"/>
    <w:rsid w:val="00423DCC"/>
    <w:rsid w:val="004248EE"/>
    <w:rsid w:val="00425F0A"/>
    <w:rsid w:val="004263FA"/>
    <w:rsid w:val="00426B4C"/>
    <w:rsid w:val="0043492C"/>
    <w:rsid w:val="00434AC1"/>
    <w:rsid w:val="00436C61"/>
    <w:rsid w:val="00443119"/>
    <w:rsid w:val="00453BB8"/>
    <w:rsid w:val="00454F91"/>
    <w:rsid w:val="00460D75"/>
    <w:rsid w:val="00461A81"/>
    <w:rsid w:val="004663A6"/>
    <w:rsid w:val="00466D03"/>
    <w:rsid w:val="00480B90"/>
    <w:rsid w:val="00482846"/>
    <w:rsid w:val="0048475C"/>
    <w:rsid w:val="00484A98"/>
    <w:rsid w:val="00491D13"/>
    <w:rsid w:val="0049258B"/>
    <w:rsid w:val="00497973"/>
    <w:rsid w:val="004A5F24"/>
    <w:rsid w:val="004A667E"/>
    <w:rsid w:val="004A66F3"/>
    <w:rsid w:val="004A68D5"/>
    <w:rsid w:val="004A73FA"/>
    <w:rsid w:val="004B0A47"/>
    <w:rsid w:val="004B3D5E"/>
    <w:rsid w:val="004B6C0A"/>
    <w:rsid w:val="004C2C7A"/>
    <w:rsid w:val="004D17F4"/>
    <w:rsid w:val="004D2F5A"/>
    <w:rsid w:val="004D4F13"/>
    <w:rsid w:val="004D5551"/>
    <w:rsid w:val="004E0A29"/>
    <w:rsid w:val="004E5B2E"/>
    <w:rsid w:val="0050336A"/>
    <w:rsid w:val="0050714D"/>
    <w:rsid w:val="00511A29"/>
    <w:rsid w:val="005210D8"/>
    <w:rsid w:val="00525375"/>
    <w:rsid w:val="0052744D"/>
    <w:rsid w:val="005344FB"/>
    <w:rsid w:val="005349CC"/>
    <w:rsid w:val="005404DD"/>
    <w:rsid w:val="00542D3D"/>
    <w:rsid w:val="00544EBD"/>
    <w:rsid w:val="00547C57"/>
    <w:rsid w:val="005519E0"/>
    <w:rsid w:val="005530E3"/>
    <w:rsid w:val="00553905"/>
    <w:rsid w:val="005543B3"/>
    <w:rsid w:val="00554BBB"/>
    <w:rsid w:val="00556C7F"/>
    <w:rsid w:val="005574C5"/>
    <w:rsid w:val="005577B0"/>
    <w:rsid w:val="005616F0"/>
    <w:rsid w:val="00565F67"/>
    <w:rsid w:val="00570819"/>
    <w:rsid w:val="00577D37"/>
    <w:rsid w:val="00585571"/>
    <w:rsid w:val="00586FF7"/>
    <w:rsid w:val="00591F92"/>
    <w:rsid w:val="00594F11"/>
    <w:rsid w:val="005B3B3A"/>
    <w:rsid w:val="005B3C39"/>
    <w:rsid w:val="005C2A3E"/>
    <w:rsid w:val="005C4C73"/>
    <w:rsid w:val="005D4EBA"/>
    <w:rsid w:val="005D7098"/>
    <w:rsid w:val="005D7BB0"/>
    <w:rsid w:val="005E1011"/>
    <w:rsid w:val="005E339C"/>
    <w:rsid w:val="005E36A6"/>
    <w:rsid w:val="005E54A8"/>
    <w:rsid w:val="005E5B67"/>
    <w:rsid w:val="005E7C80"/>
    <w:rsid w:val="005F331B"/>
    <w:rsid w:val="005F360B"/>
    <w:rsid w:val="005F41A7"/>
    <w:rsid w:val="005F5809"/>
    <w:rsid w:val="006008D1"/>
    <w:rsid w:val="00606941"/>
    <w:rsid w:val="006069EB"/>
    <w:rsid w:val="0061633B"/>
    <w:rsid w:val="00622309"/>
    <w:rsid w:val="006310FC"/>
    <w:rsid w:val="00631A82"/>
    <w:rsid w:val="00631B11"/>
    <w:rsid w:val="00632071"/>
    <w:rsid w:val="006349F2"/>
    <w:rsid w:val="006357D5"/>
    <w:rsid w:val="006363C6"/>
    <w:rsid w:val="0064116E"/>
    <w:rsid w:val="00650AAC"/>
    <w:rsid w:val="00652084"/>
    <w:rsid w:val="0065605C"/>
    <w:rsid w:val="00657F5B"/>
    <w:rsid w:val="00664AEC"/>
    <w:rsid w:val="00671D30"/>
    <w:rsid w:val="00673EC3"/>
    <w:rsid w:val="006811BF"/>
    <w:rsid w:val="00681468"/>
    <w:rsid w:val="00682230"/>
    <w:rsid w:val="006830FF"/>
    <w:rsid w:val="006849E7"/>
    <w:rsid w:val="006863A3"/>
    <w:rsid w:val="00690712"/>
    <w:rsid w:val="00691E8F"/>
    <w:rsid w:val="00694A40"/>
    <w:rsid w:val="00696300"/>
    <w:rsid w:val="006A11E3"/>
    <w:rsid w:val="006A6BAE"/>
    <w:rsid w:val="006B1F6F"/>
    <w:rsid w:val="006B3917"/>
    <w:rsid w:val="006B504D"/>
    <w:rsid w:val="006C311F"/>
    <w:rsid w:val="006C3DDF"/>
    <w:rsid w:val="006C6C70"/>
    <w:rsid w:val="006D1BE5"/>
    <w:rsid w:val="006D305D"/>
    <w:rsid w:val="006D701F"/>
    <w:rsid w:val="006E1ABF"/>
    <w:rsid w:val="006E40E7"/>
    <w:rsid w:val="00703621"/>
    <w:rsid w:val="007066DF"/>
    <w:rsid w:val="00706E41"/>
    <w:rsid w:val="007072D3"/>
    <w:rsid w:val="007233F9"/>
    <w:rsid w:val="00723B36"/>
    <w:rsid w:val="00732017"/>
    <w:rsid w:val="00742E7C"/>
    <w:rsid w:val="007450FB"/>
    <w:rsid w:val="00747DB9"/>
    <w:rsid w:val="00751AB8"/>
    <w:rsid w:val="0076182D"/>
    <w:rsid w:val="00763F00"/>
    <w:rsid w:val="007668AB"/>
    <w:rsid w:val="00772D15"/>
    <w:rsid w:val="00774BC7"/>
    <w:rsid w:val="00775170"/>
    <w:rsid w:val="007762A7"/>
    <w:rsid w:val="00776349"/>
    <w:rsid w:val="00781466"/>
    <w:rsid w:val="00781FF2"/>
    <w:rsid w:val="00782F75"/>
    <w:rsid w:val="00786F60"/>
    <w:rsid w:val="0079593C"/>
    <w:rsid w:val="007971E4"/>
    <w:rsid w:val="007A011B"/>
    <w:rsid w:val="007A37B4"/>
    <w:rsid w:val="007A702A"/>
    <w:rsid w:val="007A74EB"/>
    <w:rsid w:val="007C0365"/>
    <w:rsid w:val="007C05BD"/>
    <w:rsid w:val="007C1768"/>
    <w:rsid w:val="007D0D67"/>
    <w:rsid w:val="007D66C9"/>
    <w:rsid w:val="007D7052"/>
    <w:rsid w:val="007D7A33"/>
    <w:rsid w:val="007E0F8E"/>
    <w:rsid w:val="007E1609"/>
    <w:rsid w:val="007E667F"/>
    <w:rsid w:val="007F298D"/>
    <w:rsid w:val="00800AEB"/>
    <w:rsid w:val="00812CF5"/>
    <w:rsid w:val="00812D4B"/>
    <w:rsid w:val="008149FD"/>
    <w:rsid w:val="0082178B"/>
    <w:rsid w:val="00826A9E"/>
    <w:rsid w:val="00827E2A"/>
    <w:rsid w:val="00832BF3"/>
    <w:rsid w:val="00835520"/>
    <w:rsid w:val="008442C6"/>
    <w:rsid w:val="008470B9"/>
    <w:rsid w:val="00851023"/>
    <w:rsid w:val="008519B1"/>
    <w:rsid w:val="00854A15"/>
    <w:rsid w:val="0085709F"/>
    <w:rsid w:val="00870629"/>
    <w:rsid w:val="00873FCE"/>
    <w:rsid w:val="00874917"/>
    <w:rsid w:val="00875DD6"/>
    <w:rsid w:val="00880845"/>
    <w:rsid w:val="00883C1D"/>
    <w:rsid w:val="00890CF7"/>
    <w:rsid w:val="008923B0"/>
    <w:rsid w:val="00892B43"/>
    <w:rsid w:val="00896C1D"/>
    <w:rsid w:val="00897065"/>
    <w:rsid w:val="008A0BC4"/>
    <w:rsid w:val="008B011C"/>
    <w:rsid w:val="008B03AD"/>
    <w:rsid w:val="008B09FC"/>
    <w:rsid w:val="008B0FCA"/>
    <w:rsid w:val="008B1FD5"/>
    <w:rsid w:val="008B506A"/>
    <w:rsid w:val="008B64A9"/>
    <w:rsid w:val="008C284A"/>
    <w:rsid w:val="008C4D22"/>
    <w:rsid w:val="008C65D4"/>
    <w:rsid w:val="008C71CD"/>
    <w:rsid w:val="008D2841"/>
    <w:rsid w:val="008D2EA7"/>
    <w:rsid w:val="008E0292"/>
    <w:rsid w:val="008E2476"/>
    <w:rsid w:val="008E7462"/>
    <w:rsid w:val="008F4FCA"/>
    <w:rsid w:val="008F7035"/>
    <w:rsid w:val="009007CE"/>
    <w:rsid w:val="009011EF"/>
    <w:rsid w:val="00905A0C"/>
    <w:rsid w:val="00907FDA"/>
    <w:rsid w:val="009123D8"/>
    <w:rsid w:val="0092469B"/>
    <w:rsid w:val="0093015B"/>
    <w:rsid w:val="00935626"/>
    <w:rsid w:val="00935A8D"/>
    <w:rsid w:val="00935F44"/>
    <w:rsid w:val="00937999"/>
    <w:rsid w:val="0094076C"/>
    <w:rsid w:val="009466E6"/>
    <w:rsid w:val="00946EAE"/>
    <w:rsid w:val="0095383B"/>
    <w:rsid w:val="00954127"/>
    <w:rsid w:val="00954FF1"/>
    <w:rsid w:val="00960AEC"/>
    <w:rsid w:val="00963F07"/>
    <w:rsid w:val="0096436B"/>
    <w:rsid w:val="0096567F"/>
    <w:rsid w:val="00970B64"/>
    <w:rsid w:val="00982F29"/>
    <w:rsid w:val="0098348A"/>
    <w:rsid w:val="00990771"/>
    <w:rsid w:val="00991614"/>
    <w:rsid w:val="00993EEF"/>
    <w:rsid w:val="009A0793"/>
    <w:rsid w:val="009B75AC"/>
    <w:rsid w:val="009C0863"/>
    <w:rsid w:val="009C3B73"/>
    <w:rsid w:val="009C3CFE"/>
    <w:rsid w:val="009C65F3"/>
    <w:rsid w:val="009C7DAD"/>
    <w:rsid w:val="009D0058"/>
    <w:rsid w:val="009D4D5E"/>
    <w:rsid w:val="009D70A2"/>
    <w:rsid w:val="009D71BA"/>
    <w:rsid w:val="009E691F"/>
    <w:rsid w:val="009E7760"/>
    <w:rsid w:val="009F0B87"/>
    <w:rsid w:val="009F6257"/>
    <w:rsid w:val="00A00858"/>
    <w:rsid w:val="00A00AE4"/>
    <w:rsid w:val="00A15663"/>
    <w:rsid w:val="00A24B7F"/>
    <w:rsid w:val="00A27C38"/>
    <w:rsid w:val="00A32036"/>
    <w:rsid w:val="00A32789"/>
    <w:rsid w:val="00A33039"/>
    <w:rsid w:val="00A35C53"/>
    <w:rsid w:val="00A37415"/>
    <w:rsid w:val="00A4291E"/>
    <w:rsid w:val="00A44BDC"/>
    <w:rsid w:val="00A50433"/>
    <w:rsid w:val="00A52F0C"/>
    <w:rsid w:val="00A552AA"/>
    <w:rsid w:val="00A61021"/>
    <w:rsid w:val="00A7651A"/>
    <w:rsid w:val="00A765D7"/>
    <w:rsid w:val="00A8371D"/>
    <w:rsid w:val="00A9281F"/>
    <w:rsid w:val="00A95A63"/>
    <w:rsid w:val="00A9748A"/>
    <w:rsid w:val="00AA08F6"/>
    <w:rsid w:val="00AA52AA"/>
    <w:rsid w:val="00AA71F2"/>
    <w:rsid w:val="00AA73D0"/>
    <w:rsid w:val="00AB39E6"/>
    <w:rsid w:val="00AB70C3"/>
    <w:rsid w:val="00AC2ED8"/>
    <w:rsid w:val="00AC318C"/>
    <w:rsid w:val="00AC5A39"/>
    <w:rsid w:val="00AC6B25"/>
    <w:rsid w:val="00AC70A5"/>
    <w:rsid w:val="00AD10A6"/>
    <w:rsid w:val="00AE787B"/>
    <w:rsid w:val="00AF10ED"/>
    <w:rsid w:val="00AF1C14"/>
    <w:rsid w:val="00AF1E5B"/>
    <w:rsid w:val="00B01AD2"/>
    <w:rsid w:val="00B03693"/>
    <w:rsid w:val="00B03810"/>
    <w:rsid w:val="00B07B0C"/>
    <w:rsid w:val="00B07DF7"/>
    <w:rsid w:val="00B23BA9"/>
    <w:rsid w:val="00B26FFC"/>
    <w:rsid w:val="00B27CF1"/>
    <w:rsid w:val="00B30D38"/>
    <w:rsid w:val="00B439C6"/>
    <w:rsid w:val="00B4668D"/>
    <w:rsid w:val="00B54433"/>
    <w:rsid w:val="00B60E97"/>
    <w:rsid w:val="00B611F6"/>
    <w:rsid w:val="00B61652"/>
    <w:rsid w:val="00B6277D"/>
    <w:rsid w:val="00B648AE"/>
    <w:rsid w:val="00B6522D"/>
    <w:rsid w:val="00B6553E"/>
    <w:rsid w:val="00B65FEF"/>
    <w:rsid w:val="00B73279"/>
    <w:rsid w:val="00B75B67"/>
    <w:rsid w:val="00B802C7"/>
    <w:rsid w:val="00B83AF5"/>
    <w:rsid w:val="00B87AB5"/>
    <w:rsid w:val="00B87FEE"/>
    <w:rsid w:val="00B90AA2"/>
    <w:rsid w:val="00B9205B"/>
    <w:rsid w:val="00B96323"/>
    <w:rsid w:val="00BA46A1"/>
    <w:rsid w:val="00BA54C2"/>
    <w:rsid w:val="00BA68D4"/>
    <w:rsid w:val="00BB1654"/>
    <w:rsid w:val="00BB5BF9"/>
    <w:rsid w:val="00BD1ABC"/>
    <w:rsid w:val="00BD3148"/>
    <w:rsid w:val="00BD7C59"/>
    <w:rsid w:val="00BE2863"/>
    <w:rsid w:val="00BF438C"/>
    <w:rsid w:val="00C002F4"/>
    <w:rsid w:val="00C125EE"/>
    <w:rsid w:val="00C23298"/>
    <w:rsid w:val="00C31F3D"/>
    <w:rsid w:val="00C36322"/>
    <w:rsid w:val="00C36B31"/>
    <w:rsid w:val="00C40C84"/>
    <w:rsid w:val="00C452B7"/>
    <w:rsid w:val="00C453BF"/>
    <w:rsid w:val="00C52B71"/>
    <w:rsid w:val="00C53FD1"/>
    <w:rsid w:val="00C5731C"/>
    <w:rsid w:val="00C65F0D"/>
    <w:rsid w:val="00C67552"/>
    <w:rsid w:val="00C67D1F"/>
    <w:rsid w:val="00C72B36"/>
    <w:rsid w:val="00C74F6A"/>
    <w:rsid w:val="00C810C1"/>
    <w:rsid w:val="00C81F1C"/>
    <w:rsid w:val="00C820FE"/>
    <w:rsid w:val="00C878C5"/>
    <w:rsid w:val="00C94861"/>
    <w:rsid w:val="00C94AB1"/>
    <w:rsid w:val="00CA3F4D"/>
    <w:rsid w:val="00CA402F"/>
    <w:rsid w:val="00CA6687"/>
    <w:rsid w:val="00CA79A7"/>
    <w:rsid w:val="00CB3CBE"/>
    <w:rsid w:val="00CB6418"/>
    <w:rsid w:val="00CB7E85"/>
    <w:rsid w:val="00CC3714"/>
    <w:rsid w:val="00CC6677"/>
    <w:rsid w:val="00CD29A1"/>
    <w:rsid w:val="00CD347B"/>
    <w:rsid w:val="00CD4011"/>
    <w:rsid w:val="00CD48EF"/>
    <w:rsid w:val="00CD4D6C"/>
    <w:rsid w:val="00CE1F87"/>
    <w:rsid w:val="00CE29C6"/>
    <w:rsid w:val="00CE2D48"/>
    <w:rsid w:val="00CE368C"/>
    <w:rsid w:val="00CE3695"/>
    <w:rsid w:val="00CE7260"/>
    <w:rsid w:val="00CF2784"/>
    <w:rsid w:val="00CF4654"/>
    <w:rsid w:val="00CF48CD"/>
    <w:rsid w:val="00D142BD"/>
    <w:rsid w:val="00D15330"/>
    <w:rsid w:val="00D22465"/>
    <w:rsid w:val="00D23CD1"/>
    <w:rsid w:val="00D266E7"/>
    <w:rsid w:val="00D37E82"/>
    <w:rsid w:val="00D400FE"/>
    <w:rsid w:val="00D4123E"/>
    <w:rsid w:val="00D42B4C"/>
    <w:rsid w:val="00D4434E"/>
    <w:rsid w:val="00D4722C"/>
    <w:rsid w:val="00D475DC"/>
    <w:rsid w:val="00D47E0F"/>
    <w:rsid w:val="00D505EA"/>
    <w:rsid w:val="00D50AD8"/>
    <w:rsid w:val="00D54B14"/>
    <w:rsid w:val="00D56541"/>
    <w:rsid w:val="00D62BA2"/>
    <w:rsid w:val="00D6768D"/>
    <w:rsid w:val="00D70117"/>
    <w:rsid w:val="00D721D4"/>
    <w:rsid w:val="00D72942"/>
    <w:rsid w:val="00D75640"/>
    <w:rsid w:val="00D80315"/>
    <w:rsid w:val="00D838FE"/>
    <w:rsid w:val="00D85420"/>
    <w:rsid w:val="00DA0F9D"/>
    <w:rsid w:val="00DA1E49"/>
    <w:rsid w:val="00DA4460"/>
    <w:rsid w:val="00DA557C"/>
    <w:rsid w:val="00DA6786"/>
    <w:rsid w:val="00DB0E43"/>
    <w:rsid w:val="00DB2FD3"/>
    <w:rsid w:val="00DB32F1"/>
    <w:rsid w:val="00DB3618"/>
    <w:rsid w:val="00DB4562"/>
    <w:rsid w:val="00DB570A"/>
    <w:rsid w:val="00DC5BC6"/>
    <w:rsid w:val="00DD22CA"/>
    <w:rsid w:val="00DD3820"/>
    <w:rsid w:val="00DD60A8"/>
    <w:rsid w:val="00DE0162"/>
    <w:rsid w:val="00DE77F4"/>
    <w:rsid w:val="00DF1095"/>
    <w:rsid w:val="00DF2A8D"/>
    <w:rsid w:val="00DF2E6A"/>
    <w:rsid w:val="00DF5010"/>
    <w:rsid w:val="00DF5AC3"/>
    <w:rsid w:val="00E00F68"/>
    <w:rsid w:val="00E00FBB"/>
    <w:rsid w:val="00E01DAF"/>
    <w:rsid w:val="00E10A8C"/>
    <w:rsid w:val="00E15F55"/>
    <w:rsid w:val="00E200DF"/>
    <w:rsid w:val="00E22043"/>
    <w:rsid w:val="00E233BF"/>
    <w:rsid w:val="00E32974"/>
    <w:rsid w:val="00E34CE3"/>
    <w:rsid w:val="00E46717"/>
    <w:rsid w:val="00E46AB9"/>
    <w:rsid w:val="00E46E53"/>
    <w:rsid w:val="00E50B17"/>
    <w:rsid w:val="00E56F94"/>
    <w:rsid w:val="00E57BFF"/>
    <w:rsid w:val="00E57DAC"/>
    <w:rsid w:val="00E64D22"/>
    <w:rsid w:val="00E6623B"/>
    <w:rsid w:val="00E665AB"/>
    <w:rsid w:val="00E751D0"/>
    <w:rsid w:val="00E76A3F"/>
    <w:rsid w:val="00E87518"/>
    <w:rsid w:val="00E914CB"/>
    <w:rsid w:val="00EA1644"/>
    <w:rsid w:val="00EA375F"/>
    <w:rsid w:val="00EA5DCF"/>
    <w:rsid w:val="00EA7004"/>
    <w:rsid w:val="00EB3451"/>
    <w:rsid w:val="00EC028A"/>
    <w:rsid w:val="00ED192E"/>
    <w:rsid w:val="00EE2E6D"/>
    <w:rsid w:val="00EE383C"/>
    <w:rsid w:val="00EE44B5"/>
    <w:rsid w:val="00EF637A"/>
    <w:rsid w:val="00F02A7F"/>
    <w:rsid w:val="00F066F9"/>
    <w:rsid w:val="00F077F1"/>
    <w:rsid w:val="00F11867"/>
    <w:rsid w:val="00F2134D"/>
    <w:rsid w:val="00F21E9F"/>
    <w:rsid w:val="00F233AC"/>
    <w:rsid w:val="00F2482B"/>
    <w:rsid w:val="00F30F3E"/>
    <w:rsid w:val="00F35D09"/>
    <w:rsid w:val="00F40467"/>
    <w:rsid w:val="00F429EE"/>
    <w:rsid w:val="00F45B80"/>
    <w:rsid w:val="00F473B3"/>
    <w:rsid w:val="00F47DAC"/>
    <w:rsid w:val="00F515A1"/>
    <w:rsid w:val="00F51EAE"/>
    <w:rsid w:val="00F60935"/>
    <w:rsid w:val="00F61DE4"/>
    <w:rsid w:val="00F65E05"/>
    <w:rsid w:val="00F67817"/>
    <w:rsid w:val="00F70CC6"/>
    <w:rsid w:val="00F7143A"/>
    <w:rsid w:val="00F764AB"/>
    <w:rsid w:val="00F816E7"/>
    <w:rsid w:val="00F84215"/>
    <w:rsid w:val="00F85E61"/>
    <w:rsid w:val="00F876B4"/>
    <w:rsid w:val="00F957A9"/>
    <w:rsid w:val="00F959A3"/>
    <w:rsid w:val="00F97C19"/>
    <w:rsid w:val="00FA29BA"/>
    <w:rsid w:val="00FA4471"/>
    <w:rsid w:val="00FA7303"/>
    <w:rsid w:val="00FB1113"/>
    <w:rsid w:val="00FB4402"/>
    <w:rsid w:val="00FB4AFD"/>
    <w:rsid w:val="00FC2F7C"/>
    <w:rsid w:val="00FD1E67"/>
    <w:rsid w:val="00FD296A"/>
    <w:rsid w:val="00FD3F87"/>
    <w:rsid w:val="00FD3F88"/>
    <w:rsid w:val="00FD736E"/>
    <w:rsid w:val="00FE0593"/>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CE39E"/>
  <w15:chartTrackingRefBased/>
  <w15:docId w15:val="{DC8044A2-CA9D-4AA7-99F8-B62C6A99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29C3A-F9DE-48AA-93AF-A5889A3A4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24075</TotalTime>
  <Pages>33</Pages>
  <Words>8452</Words>
  <Characters>48177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56516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dc:description/>
  <cp:lastModifiedBy>Elash, Brenden</cp:lastModifiedBy>
  <cp:revision>115</cp:revision>
  <dcterms:created xsi:type="dcterms:W3CDTF">2015-08-27T21:13:00Z</dcterms:created>
  <dcterms:modified xsi:type="dcterms:W3CDTF">2016-08-07T20:54:00Z</dcterms:modified>
</cp:coreProperties>
</file>