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B5CD" w14:textId="77777777" w:rsidR="00454F91" w:rsidRPr="007E1609" w:rsidRDefault="00454F91" w:rsidP="005B3B3A">
      <w:pPr>
        <w:pStyle w:val="ONEINCHSPACER"/>
        <w:spacing w:before="0"/>
        <w:jc w:val="center"/>
        <w:rPr>
          <w:sz w:val="36"/>
          <w:szCs w:val="36"/>
        </w:rPr>
      </w:pPr>
      <w:r w:rsidRPr="007E1609">
        <w:rPr>
          <w:sz w:val="36"/>
          <w:szCs w:val="36"/>
        </w:rPr>
        <w:t>CHAPTER 2</w:t>
      </w:r>
    </w:p>
    <w:p w14:paraId="7D025422" w14:textId="77777777" w:rsidR="00454F91" w:rsidRPr="007E1609" w:rsidRDefault="00454F91">
      <w:pPr>
        <w:pStyle w:val="CHAPTERTITLE"/>
        <w:rPr>
          <w:sz w:val="36"/>
          <w:szCs w:val="36"/>
        </w:rPr>
      </w:pPr>
      <w:bookmarkStart w:id="0" w:name="_Toc452973708"/>
      <w:bookmarkStart w:id="1" w:name="_Toc455582581"/>
      <w:r w:rsidRPr="007E1609">
        <w:rPr>
          <w:sz w:val="36"/>
          <w:szCs w:val="36"/>
        </w:rPr>
        <w:t>BACKGROUND</w:t>
      </w:r>
      <w:bookmarkEnd w:id="0"/>
      <w:bookmarkEnd w:id="1"/>
    </w:p>
    <w:p w14:paraId="5D62944F" w14:textId="77777777" w:rsidR="00454F91" w:rsidRDefault="00454F91" w:rsidP="007E1609">
      <w:pPr>
        <w:pStyle w:val="Heading1"/>
      </w:pPr>
      <w:bookmarkStart w:id="2" w:name="_Toc452973709"/>
      <w:bookmarkStart w:id="3" w:name="_Toc455582582"/>
      <w:commentRangeStart w:id="4"/>
      <w:r>
        <w:t>2.1 Introduction</w:t>
      </w:r>
      <w:bookmarkEnd w:id="2"/>
      <w:commentRangeEnd w:id="4"/>
      <w:r>
        <w:rPr>
          <w:rStyle w:val="CommentReference"/>
          <w:b w:val="0"/>
          <w:kern w:val="0"/>
        </w:rPr>
        <w:commentReference w:id="4"/>
      </w:r>
      <w:bookmarkEnd w:id="3"/>
    </w:p>
    <w:p w14:paraId="29E0938F" w14:textId="77777777" w:rsidR="00454F91" w:rsidRDefault="00454F9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14:paraId="2789AE44" w14:textId="77777777" w:rsidR="00454F91" w:rsidRDefault="00454F91"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67EF2DF5" w14:textId="77777777" w:rsidR="00454F91" w:rsidRDefault="00454F9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5DC3063D" w14:textId="77777777" w:rsidR="00454F91" w:rsidRDefault="00454F9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1DD34421" w14:textId="77777777" w:rsidR="00454F91" w:rsidRDefault="00454F9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4CE96407" w14:textId="77777777" w:rsidR="00454F91" w:rsidRPr="008C65D4" w:rsidRDefault="00454F91"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0AF49AB" w14:textId="77777777" w:rsidR="00454F91" w:rsidRDefault="00454F91" w:rsidP="007E1609">
      <w:pPr>
        <w:pStyle w:val="Heading1"/>
      </w:pPr>
      <w:bookmarkStart w:id="5" w:name="_Toc452973710"/>
      <w:bookmarkStart w:id="6" w:name="_Toc455582583"/>
      <w:r>
        <w:t>2.2 Stratospheric Aerosol</w:t>
      </w:r>
      <w:bookmarkEnd w:id="5"/>
      <w:bookmarkEnd w:id="6"/>
    </w:p>
    <w:p w14:paraId="4FA9F8E4" w14:textId="77777777" w:rsidR="00454F91" w:rsidRDefault="00454F91" w:rsidP="006363C6">
      <w:pPr>
        <w:pStyle w:val="ListNumber"/>
        <w:spacing w:after="0" w:line="480" w:lineRule="auto"/>
        <w:ind w:left="0" w:firstLine="709"/>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w:t>
      </w:r>
      <w:commentRangeStart w:id="7"/>
      <w:r>
        <w:t>zero</w:t>
      </w:r>
      <w:commentRangeEnd w:id="7"/>
      <w:r>
        <w:rPr>
          <w:rStyle w:val="CommentReference"/>
        </w:rPr>
        <w:commentReference w:id="7"/>
      </w:r>
      <w:r>
        <w:t xml:space="preserve"> (</w:t>
      </w:r>
      <w:r w:rsidRPr="00342CD1">
        <w:rPr>
          <w:i/>
        </w:rPr>
        <w:t>Hoinka</w:t>
      </w:r>
      <w:r>
        <w:t xml:space="preserve">, 1997). This lead to a series of </w:t>
      </w:r>
      <w:commentRangeStart w:id="8"/>
      <w:r>
        <w:t>balloon campaigns, which were noisy and unreliable due to the technology available</w:t>
      </w:r>
      <w:commentRangeEnd w:id="8"/>
      <w:r>
        <w:rPr>
          <w:rStyle w:val="CommentReference"/>
        </w:rPr>
        <w:commentReference w:id="8"/>
      </w:r>
      <w:r>
        <w:t xml:space="preserve"> (</w:t>
      </w:r>
      <w:r w:rsidRPr="00342CD1">
        <w:rPr>
          <w:i/>
        </w:rPr>
        <w:t>Hoinka</w:t>
      </w:r>
      <w:r>
        <w:t>, 1997),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The stratosphere is the region of the atmosphere above the temperature inversion of the troposphere, where atmospheric temperature increases, and the lower bound of the stratosphere is in-between 10 and 16 km from the high latitudes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w:t>
      </w:r>
      <w:r>
        <w:rPr>
          <w:i/>
          <w:lang w:val="en-CA"/>
        </w:rPr>
        <w:t> </w:t>
      </w:r>
      <w:r>
        <w:rPr>
          <w:i/>
        </w:rPr>
        <w:t>Solomon</w:t>
      </w:r>
      <w:r>
        <w:t>, 2005)</w:t>
      </w:r>
    </w:p>
    <w:p w14:paraId="46BE1F84" w14:textId="77777777" w:rsidR="00454F91" w:rsidRDefault="00454F91" w:rsidP="006363C6">
      <w:pPr>
        <w:pStyle w:val="ListNumber"/>
        <w:spacing w:after="0" w:line="480" w:lineRule="auto"/>
        <w:ind w:left="0" w:firstLine="709"/>
        <w:jc w:val="both"/>
      </w:pPr>
      <w:r>
        <w:t>The stratosphere undergoes exchange of air with the troposphere though a series of dynamical processes including tropical convection, polar vortices, tropopause folding (</w:t>
      </w:r>
      <w:r>
        <w:rPr>
          <w:i/>
        </w:rPr>
        <w:t>Holton et al.,</w:t>
      </w:r>
      <w:r>
        <w:t xml:space="preserve"> 1995) and meridional circulation within the stratosphere is </w:t>
      </w:r>
      <w:commentRangeStart w:id="9"/>
      <w:r>
        <w:t>dominated</w:t>
      </w:r>
      <w:commentRangeEnd w:id="9"/>
      <w:r>
        <w:rPr>
          <w:rStyle w:val="CommentReference"/>
        </w:rPr>
        <w:commentReference w:id="9"/>
      </w:r>
      <w:r>
        <w:t xml:space="preserve"> by the slow Brewer-Dobson circulation, although zonal circulation is much faster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through stratospheric balloon sondes.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sulfur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06CBD8E2" w14:textId="77777777" w:rsidR="00454F91" w:rsidRDefault="00454F91" w:rsidP="002347DA">
      <w:pPr>
        <w:pStyle w:val="Heading2"/>
      </w:pPr>
      <w:bookmarkStart w:id="10" w:name="_Toc452973711"/>
      <w:bookmarkStart w:id="11" w:name="_Toc455582584"/>
      <w:r>
        <w:t>2.2.1 Aerosol Sources</w:t>
      </w:r>
      <w:bookmarkEnd w:id="10"/>
      <w:bookmarkEnd w:id="11"/>
    </w:p>
    <w:p w14:paraId="554C05FB" w14:textId="77777777" w:rsidR="00454F91" w:rsidRDefault="00454F9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14:paraId="608E4AA5" w14:textId="77777777" w:rsidR="00454F91" w:rsidRDefault="00454F91"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This sulfur hydrates into sulfate aerosol, which can enter the stratosphere though atmospheric processes (</w:t>
      </w:r>
      <w:r>
        <w:rPr>
          <w:i/>
        </w:rPr>
        <w:t>Thomason and Peter</w:t>
      </w:r>
      <w:r>
        <w:t xml:space="preserve">, </w:t>
      </w:r>
      <w:commentRangeStart w:id="12"/>
      <w:r>
        <w:t>2006</w:t>
      </w:r>
      <w:commentRangeEnd w:id="12"/>
      <w:r>
        <w:rPr>
          <w:rStyle w:val="CommentReference"/>
        </w:rPr>
        <w:commentReference w:id="12"/>
      </w:r>
      <w:r>
        <w:t>). A second source of SO</w:t>
      </w:r>
      <w:r>
        <w:rPr>
          <w:vertAlign w:val="subscript"/>
        </w:rPr>
        <w:t>2</w:t>
      </w:r>
      <w:r>
        <w:t xml:space="preserve"> is from volcanic eruptions; which, although highly variable in location and time, can inject a large amount of sulfur directly into the </w:t>
      </w:r>
      <w:commentRangeStart w:id="13"/>
      <w:r>
        <w:t>stratosphere</w:t>
      </w:r>
      <w:commentRangeEnd w:id="13"/>
      <w:r>
        <w:rPr>
          <w:rStyle w:val="CommentReference"/>
        </w:rPr>
        <w:commentReference w:id="13"/>
      </w:r>
      <w:r>
        <w:t xml:space="preserve"> which undergoes hydroxyl chemistry and is converted into sulfate aerosol. Volcanos can inject such large amounts of sulfur that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w:t>
      </w:r>
      <w:r>
        <w:rPr>
          <w:i/>
          <w:lang w:val="en-CA"/>
        </w:rPr>
        <w:t xml:space="preserve"> </w:t>
      </w:r>
      <w:r>
        <w:rPr>
          <w:i/>
        </w:rPr>
        <w:t>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2011b) and has continued to the present </w:t>
      </w:r>
      <w:commentRangeStart w:id="14"/>
      <w:r>
        <w:t>day</w:t>
      </w:r>
      <w:commentRangeEnd w:id="14"/>
      <w:r>
        <w:rPr>
          <w:rStyle w:val="CommentReference"/>
        </w:rPr>
        <w:commentReference w:id="14"/>
      </w:r>
      <w:r>
        <w:t>. Several examples of these small volcanic eruptions include Kasatochi (1.2-2.2 Tg) (</w:t>
      </w:r>
      <w:r w:rsidRPr="008B011C">
        <w:rPr>
          <w:i/>
        </w:rPr>
        <w:t>Prata et al.</w:t>
      </w:r>
      <w:r>
        <w:t>, 2010), Nabro (1.0- 1.5 Tg) (</w:t>
      </w:r>
      <w:r w:rsidRPr="008B011C">
        <w:rPr>
          <w:i/>
        </w:rPr>
        <w:t>Clarisse et al.</w:t>
      </w:r>
      <w:r>
        <w:t>, 2016), Calbuco (0.2 -0.5 Tg), and Kelut (0.1-0.3 Tg) (</w:t>
      </w:r>
      <w:r w:rsidRPr="008B011C">
        <w:rPr>
          <w:i/>
        </w:rPr>
        <w:t>Carn et al</w:t>
      </w:r>
      <w:r>
        <w:t>., 2016).</w:t>
      </w:r>
    </w:p>
    <w:p w14:paraId="4DD27B53" w14:textId="77777777" w:rsidR="00454F91" w:rsidRDefault="00454F91" w:rsidP="008B011C">
      <w:pPr>
        <w:pStyle w:val="Heading2"/>
      </w:pPr>
      <w:bookmarkStart w:id="15" w:name="_Toc455582585"/>
      <w:r>
        <w:t>2.2.2 Aerosol Microphysics</w:t>
      </w:r>
      <w:bookmarkEnd w:id="15"/>
    </w:p>
    <w:p w14:paraId="1ED201C3" w14:textId="77777777" w:rsidR="00454F91" w:rsidRDefault="00454F9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spherical, liquid droplets of aerosol that consist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various contributions and stages of the processes of nucleation, evaporation and condensation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is often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454F91" w14:paraId="1E083070" w14:textId="77777777" w:rsidTr="000927B6">
        <w:tc>
          <w:tcPr>
            <w:tcW w:w="6804" w:type="dxa"/>
            <w:tcBorders>
              <w:top w:val="nil"/>
              <w:left w:val="nil"/>
              <w:bottom w:val="nil"/>
              <w:right w:val="nil"/>
            </w:tcBorders>
          </w:tcPr>
          <w:p w14:paraId="799A4AD0" w14:textId="77777777" w:rsidR="00454F91" w:rsidRPr="0076182D" w:rsidRDefault="00454F91"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2F34F783" w14:textId="77777777" w:rsidR="00454F91" w:rsidRDefault="00454F91" w:rsidP="000927B6">
            <w:pPr>
              <w:pStyle w:val="BodyText"/>
              <w:ind w:firstLine="0"/>
              <w:jc w:val="right"/>
            </w:pPr>
            <w:r>
              <w:t>(2.1)</w:t>
            </w:r>
          </w:p>
        </w:tc>
      </w:tr>
    </w:tbl>
    <w:p w14:paraId="3B36F5FB" w14:textId="77777777" w:rsidR="00454F91" w:rsidRDefault="00454F91"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sidRPr="00DE0162">
        <w:rPr>
          <w:i/>
        </w:rPr>
        <w:t>Thomason</w:t>
      </w:r>
      <w:r>
        <w:t xml:space="preserve">, 1991), the log-normal distribution is </w:t>
      </w:r>
      <w:commentRangeStart w:id="16"/>
      <w:r>
        <w:t>shown</w:t>
      </w:r>
      <w:commentRangeEnd w:id="16"/>
      <w:r>
        <w:rPr>
          <w:rStyle w:val="CommentReference"/>
        </w:rPr>
        <w:commentReference w:id="16"/>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468767FD" w14:textId="77777777" w:rsidR="00454F91" w:rsidRDefault="00454F91" w:rsidP="004248EE">
      <w:pPr>
        <w:pStyle w:val="ListNumber"/>
        <w:spacing w:after="0" w:line="480" w:lineRule="auto"/>
        <w:ind w:left="0" w:firstLine="720"/>
        <w:jc w:val="both"/>
      </w:pPr>
      <w:r>
        <w:t>Optical Particle Counters (</w:t>
      </w:r>
      <w:commentRangeStart w:id="17"/>
      <w:commentRangeStart w:id="18"/>
      <w:r>
        <w:t>OPC</w:t>
      </w:r>
      <w:commentRangeEnd w:id="17"/>
      <w:commentRangeEnd w:id="18"/>
      <w:r>
        <w:rPr>
          <w:rStyle w:val="CommentReference"/>
        </w:rPr>
        <w:commentReference w:id="17"/>
      </w:r>
      <w:r>
        <w:rPr>
          <w:rStyle w:val="CommentReference"/>
        </w:rPr>
        <w:commentReference w:id="18"/>
      </w:r>
      <w:r>
        <w:t>) have been used on board stratospheric balloon flights from Laramie, Wyoming over the past 40 years to measure particle sizes in bins between 0.15 to 2.0 </w:t>
      </w:r>
      <w:commentRangeStart w:id="19"/>
      <w:r>
        <w:t>µm</w:t>
      </w:r>
      <w:commentRangeEnd w:id="19"/>
      <w:r>
        <w:rPr>
          <w:rStyle w:val="CommentReference"/>
        </w:rPr>
        <w:commentReference w:id="19"/>
      </w:r>
      <w:r>
        <w:t xml:space="preserve"> (</w:t>
      </w:r>
      <w:r w:rsidRPr="008B011C">
        <w:rPr>
          <w:i/>
        </w:rPr>
        <w:t>Deshler et al</w:t>
      </w:r>
      <w:r>
        <w:t>., 2003). These measurements provide a valuable if somewhat unique long term set of size-resolved measurements of sulfate aerosol. These particle size distributions can be considered to be primarily unimodal, known as a fine mode, over non-volcanic periods and can be used as an acceptable distribution to approximate background periods. But during volcanic episodes, a bimodal log-normal distribution of aerosol particles, which includes a coarse mode, is more representative of stratospheric aerosol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demonstrate</w:t>
      </w:r>
      <w:r>
        <w:t xml:space="preserve">s two bimodal particle size distributions from balloon OPC. The first distribution is from a volcanic period in 1993 after the Mount Pinatubo eruption and another from a </w:t>
      </w:r>
      <w:commentRangeStart w:id="20"/>
      <w:r>
        <w:t>background</w:t>
      </w:r>
      <w:commentRangeEnd w:id="20"/>
      <w:r>
        <w:rPr>
          <w:rStyle w:val="CommentReference"/>
        </w:rPr>
        <w:commentReference w:id="20"/>
      </w:r>
      <w:r>
        <w:t xml:space="preserve">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8B011C">
        <w:rPr>
          <w:szCs w:val="24"/>
        </w:rPr>
        <w:t>Figure 2-</w:t>
      </w:r>
      <w:r w:rsidRPr="008B011C">
        <w:rPr>
          <w:noProof/>
          <w:szCs w:val="24"/>
        </w:rPr>
        <w:t>2</w:t>
      </w:r>
      <w:r w:rsidRPr="005E339C">
        <w:fldChar w:fldCharType="end"/>
      </w:r>
      <w:r>
        <w:t>, the number density of the coarse mode is very small and can generally be ignored in non-volcanic periods so a unimodal approximation is sufficient.</w:t>
      </w:r>
    </w:p>
    <w:p w14:paraId="53AD2B87" w14:textId="77777777" w:rsidR="00454F91" w:rsidRDefault="00454F91" w:rsidP="0076182D">
      <w:pPr>
        <w:pStyle w:val="ListNumber"/>
        <w:spacing w:after="0" w:line="480" w:lineRule="auto"/>
        <w:ind w:left="0" w:firstLine="0"/>
        <w:jc w:val="both"/>
      </w:pPr>
    </w:p>
    <w:p w14:paraId="356BB2FC" w14:textId="77777777" w:rsidR="00454F91" w:rsidRDefault="00454F91" w:rsidP="008A0BC4">
      <w:pPr>
        <w:pStyle w:val="ListNumber"/>
        <w:keepNext/>
        <w:spacing w:after="0" w:line="480" w:lineRule="auto"/>
        <w:ind w:left="0" w:firstLine="0"/>
        <w:jc w:val="both"/>
      </w:pPr>
      <w:r>
        <w:rPr>
          <w:noProof/>
          <w:lang w:val="en-CA" w:eastAsia="en-CA"/>
        </w:rPr>
        <w:drawing>
          <wp:inline distT="0" distB="0" distL="0" distR="0" wp14:anchorId="40AAC3B9" wp14:editId="722376B5">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FBE3852" w14:textId="77777777" w:rsidR="00454F91" w:rsidRPr="00ED192E" w:rsidRDefault="00454F91" w:rsidP="00D62BA2">
      <w:pPr>
        <w:pStyle w:val="Caption"/>
        <w:jc w:val="both"/>
        <w:rPr>
          <w:b w:val="0"/>
        </w:rPr>
      </w:pPr>
      <w:bookmarkStart w:id="21" w:name="_Ref442116398"/>
      <w:bookmarkStart w:id="22" w:name="_Toc452973848"/>
      <w:bookmarkStart w:id="23" w:name="_Toc455582727"/>
      <w:r w:rsidRPr="00DA0F9D">
        <w:t>Figure 2-</w:t>
      </w:r>
      <w:r w:rsidRPr="00DA0F9D">
        <w:fldChar w:fldCharType="begin"/>
      </w:r>
      <w:r w:rsidRPr="00DA0F9D">
        <w:instrText xml:space="preserve"> SEQ Figure \* ARABIC \r 1 </w:instrText>
      </w:r>
      <w:r w:rsidRPr="00DA0F9D">
        <w:fldChar w:fldCharType="separate"/>
      </w:r>
      <w:r>
        <w:rPr>
          <w:noProof/>
        </w:rPr>
        <w:t>1</w:t>
      </w:r>
      <w:r w:rsidRPr="00DA0F9D">
        <w:fldChar w:fldCharType="end"/>
      </w:r>
      <w:bookmarkEnd w:id="21"/>
      <w:r w:rsidRPr="002C5226">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22"/>
      <w:bookmarkEnd w:id="23"/>
    </w:p>
    <w:p w14:paraId="3F83ACA2" w14:textId="77777777" w:rsidR="00454F91" w:rsidRDefault="00454F91" w:rsidP="009C3CFE">
      <w:pPr>
        <w:pStyle w:val="ListNumber"/>
        <w:keepNext/>
        <w:spacing w:after="0" w:line="480" w:lineRule="auto"/>
        <w:ind w:left="0" w:firstLine="0"/>
        <w:jc w:val="both"/>
      </w:pPr>
      <w:r>
        <w:rPr>
          <w:noProof/>
          <w:lang w:val="en-CA" w:eastAsia="en-CA"/>
        </w:rPr>
        <w:drawing>
          <wp:inline distT="0" distB="0" distL="0" distR="0" wp14:anchorId="558DEA2D" wp14:editId="405D93E5">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39828CA8" w14:textId="77777777" w:rsidR="00454F91" w:rsidRPr="00DF5010" w:rsidRDefault="00454F91" w:rsidP="00D62BA2">
      <w:pPr>
        <w:jc w:val="both"/>
        <w:rPr>
          <w:sz w:val="24"/>
          <w:szCs w:val="24"/>
        </w:rPr>
      </w:pPr>
      <w:bookmarkStart w:id="24" w:name="_Ref432512315"/>
      <w:bookmarkStart w:id="25" w:name="_Toc435878542"/>
      <w:bookmarkStart w:id="26" w:name="_Toc452973849"/>
      <w:bookmarkStart w:id="27" w:name="_Toc455582728"/>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Pr>
          <w:b/>
          <w:noProof/>
          <w:szCs w:val="24"/>
        </w:rPr>
        <w:t>2</w:t>
      </w:r>
      <w:r w:rsidRPr="00DA0F9D">
        <w:rPr>
          <w:b/>
          <w:sz w:val="24"/>
          <w:szCs w:val="24"/>
        </w:rPr>
        <w:fldChar w:fldCharType="end"/>
      </w:r>
      <w:bookmarkEnd w:id="24"/>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25"/>
      <w:bookmarkEnd w:id="26"/>
      <w:bookmarkEnd w:id="27"/>
    </w:p>
    <w:p w14:paraId="605ADFA6" w14:textId="77777777" w:rsidR="00454F91" w:rsidRPr="009C3CFE" w:rsidRDefault="00454F91" w:rsidP="009C3CFE">
      <w:pPr>
        <w:jc w:val="center"/>
        <w:rPr>
          <w:sz w:val="24"/>
          <w:szCs w:val="24"/>
        </w:rPr>
      </w:pPr>
    </w:p>
    <w:p w14:paraId="1942BC3F" w14:textId="77777777" w:rsidR="00454F91" w:rsidRDefault="00454F91" w:rsidP="002347DA">
      <w:pPr>
        <w:pStyle w:val="Heading2"/>
      </w:pPr>
      <w:bookmarkStart w:id="28" w:name="_Toc452973712"/>
      <w:bookmarkStart w:id="29" w:name="_Toc455582586"/>
      <w:r>
        <w:t>2.2.3 Climate Effects</w:t>
      </w:r>
      <w:bookmarkEnd w:id="28"/>
      <w:bookmarkEnd w:id="29"/>
    </w:p>
    <w:p w14:paraId="303C87AB" w14:textId="77777777" w:rsidR="00454F91" w:rsidRDefault="00454F91" w:rsidP="00B03693">
      <w:pPr>
        <w:pStyle w:val="ListNumber"/>
        <w:spacing w:after="0" w:line="480" w:lineRule="auto"/>
        <w:ind w:left="0" w:firstLine="709"/>
        <w:jc w:val="both"/>
      </w:pPr>
      <w:r>
        <w:t>Stratospheric aerosol can have several effects on the climate of the planet, and particularly due to the volcanic contribution, there is a large amount of uncertainty in the overall effect (</w:t>
      </w:r>
      <w:r>
        <w:rPr>
          <w:i/>
        </w:rPr>
        <w:t>Solomon et al.</w:t>
      </w:r>
      <w:r>
        <w:t xml:space="preserve">, 2007). Through the so-called </w:t>
      </w:r>
      <w:r>
        <w:rPr>
          <w:lang w:val="en-CA"/>
        </w:rPr>
        <w:t>“</w:t>
      </w:r>
      <w:r>
        <w:t>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1D2D693D" w14:textId="77777777" w:rsidR="00454F91" w:rsidRPr="00F876B4" w:rsidRDefault="00454F91" w:rsidP="00BB1654">
      <w:pPr>
        <w:pStyle w:val="ListNumber"/>
        <w:spacing w:after="0" w:line="480" w:lineRule="auto"/>
        <w:ind w:left="0" w:firstLine="709"/>
        <w:jc w:val="both"/>
      </w:pPr>
      <w:r>
        <w:t>Background aerosol periods result in relatively small cooling from stratospheric aerosols but this can greatly change during periods of volcanic activity where the layer can be greatly perturbed.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cooling effect, known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Even with the current knowledge of the cooling effect of aerosol on climate, there is a large uncertainty to the magnitude of the cooling effect due to the unknowns in aerosol microphysical parameters. To be able to fully resolve the effect of aerosol, new instrumentation is required </w:t>
      </w:r>
      <w:r>
        <w:rPr>
          <w:lang w:val="en-CA"/>
        </w:rPr>
        <w:t xml:space="preserve">that has the capabilities to not only determine aerosol concentration in higher resolutions, vertically, globally, and temporally, but also must be able to determine some form of particle size distribution information. This additional information will reduce the uncertainty of the effect of aerosol on climate. </w:t>
      </w:r>
      <w:r>
        <w:rPr>
          <w:rStyle w:val="CommentReference"/>
        </w:rPr>
        <w:commentReference w:id="30"/>
      </w:r>
    </w:p>
    <w:p w14:paraId="722B12E3" w14:textId="77777777" w:rsidR="00454F91" w:rsidRDefault="00454F91">
      <w:pPr>
        <w:pStyle w:val="Heading1"/>
      </w:pPr>
      <w:bookmarkStart w:id="31" w:name="_Toc452973713"/>
      <w:bookmarkStart w:id="32" w:name="_Toc455582587"/>
      <w:r>
        <w:t>2.3 Aerosol Measurements</w:t>
      </w:r>
      <w:bookmarkEnd w:id="31"/>
      <w:bookmarkEnd w:id="32"/>
    </w:p>
    <w:p w14:paraId="79808479" w14:textId="77777777" w:rsidR="00454F91" w:rsidRDefault="00454F91" w:rsidP="007E1609">
      <w:pPr>
        <w:pStyle w:val="BodyText"/>
        <w:jc w:val="both"/>
      </w:pPr>
      <w:bookmarkStart w:id="33" w:name="_Ref463275989"/>
      <w:bookmarkStart w:id="34" w:name="_Toc463235095"/>
      <w:bookmarkStart w:id="35" w:name="_Ref463275880"/>
      <w:r w:rsidRPr="002163A1">
        <w:t>Two fundamental meth</w:t>
      </w:r>
      <w:r>
        <w:t>ods are used to measure aerosol</w:t>
      </w:r>
      <w:r w:rsidRPr="002163A1">
        <w:t xml:space="preserve"> concentrations within the atmosphere. </w:t>
      </w:r>
      <w:r>
        <w:t>Two such methods</w:t>
      </w:r>
      <w:r w:rsidRPr="002163A1">
        <w:t xml:space="preserve"> are </w:t>
      </w:r>
      <w:commentRangeStart w:id="36"/>
      <w:r w:rsidRPr="002163A1">
        <w:t xml:space="preserve">ground based and in-situ measurements </w:t>
      </w:r>
      <w:commentRangeEnd w:id="36"/>
      <w:r>
        <w:rPr>
          <w:rStyle w:val="CommentReference"/>
        </w:rPr>
        <w:commentReference w:id="36"/>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is given on</w:t>
      </w:r>
      <w:r w:rsidRPr="002163A1">
        <w:t xml:space="preserve"> some of the common methods to det</w:t>
      </w:r>
      <w:r>
        <w:t xml:space="preserve">ermine aerosol </w:t>
      </w:r>
      <w:r w:rsidRPr="002163A1">
        <w:t xml:space="preserve">and why using different methods helps to increase the overall accuracy and precision of </w:t>
      </w:r>
      <w:r>
        <w:t xml:space="preserve">merged </w:t>
      </w:r>
      <w:r w:rsidRPr="002163A1">
        <w:t>data sets.</w:t>
      </w:r>
    </w:p>
    <w:p w14:paraId="52671975" w14:textId="77777777" w:rsidR="00454F91" w:rsidRDefault="00454F91" w:rsidP="003D416A">
      <w:pPr>
        <w:pStyle w:val="Heading2"/>
      </w:pPr>
      <w:bookmarkStart w:id="37" w:name="_Toc452973714"/>
      <w:bookmarkStart w:id="38" w:name="_Toc455582588"/>
      <w:commentRangeStart w:id="39"/>
      <w:r>
        <w:t>2.3.1 Balloon- and Aircraft-Based Measurements</w:t>
      </w:r>
      <w:bookmarkEnd w:id="37"/>
      <w:commentRangeEnd w:id="39"/>
      <w:r>
        <w:rPr>
          <w:rStyle w:val="CommentReference"/>
          <w:b w:val="0"/>
        </w:rPr>
        <w:commentReference w:id="39"/>
      </w:r>
      <w:bookmarkEnd w:id="38"/>
    </w:p>
    <w:p w14:paraId="58486EF3" w14:textId="77777777" w:rsidR="00454F91" w:rsidRDefault="00454F91"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 xml:space="preserve">alloon </w:t>
      </w:r>
      <w:commentRangeStart w:id="40"/>
      <w:r w:rsidRPr="002163A1">
        <w:t xml:space="preserve">instruments </w:t>
      </w:r>
      <w:commentRangeEnd w:id="40"/>
      <w:r>
        <w:rPr>
          <w:rStyle w:val="CommentReference"/>
        </w:rPr>
        <w:commentReference w:id="40"/>
      </w:r>
      <w:r w:rsidRPr="002163A1">
        <w:t>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Furthermore,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6DD54B1F" w14:textId="77777777" w:rsidR="00454F91" w:rsidRDefault="00454F91" w:rsidP="002163A1">
      <w:pPr>
        <w:pStyle w:val="BodyText"/>
        <w:jc w:val="both"/>
      </w:pPr>
      <w:r>
        <w:t>Another</w:t>
      </w:r>
      <w:r w:rsidRPr="002163A1">
        <w:t xml:space="preserve"> type of balloon instrument </w:t>
      </w:r>
      <w:commentRangeStart w:id="41"/>
      <w:r w:rsidRPr="002163A1">
        <w:t>uses a passive light source</w:t>
      </w:r>
      <w:commentRangeEnd w:id="41"/>
      <w:r>
        <w:rPr>
          <w:rStyle w:val="CommentReference"/>
        </w:rPr>
        <w:commentReference w:id="41"/>
      </w:r>
      <w:r w:rsidRPr="002163A1">
        <w:t xml:space="preserve">, </w:t>
      </w:r>
      <w:r>
        <w:t>such as</w:t>
      </w:r>
      <w:r w:rsidRPr="002163A1">
        <w:t xml:space="preserve"> the sun, moon, or stars, to determine aerosol extinction</w:t>
      </w:r>
      <w:r>
        <w:t>.</w:t>
      </w:r>
      <w:r w:rsidRPr="002163A1">
        <w:t xml:space="preserve"> </w:t>
      </w:r>
      <w:r>
        <w:t>Some i</w:t>
      </w:r>
      <w:r w:rsidRPr="002163A1">
        <w:t>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p>
    <w:p w14:paraId="2AAFE537" w14:textId="77777777" w:rsidR="00454F91" w:rsidRDefault="00454F91" w:rsidP="002163A1">
      <w:pPr>
        <w:pStyle w:val="BodyText"/>
        <w:jc w:val="both"/>
      </w:pPr>
      <w:r w:rsidRPr="002163A1">
        <w:t xml:space="preserve">In-situ measurements </w:t>
      </w:r>
      <w:r>
        <w:t xml:space="preserve">yield high quality direct measurements </w:t>
      </w:r>
      <w:r w:rsidRPr="002163A1">
        <w:t xml:space="preserve">of aerosol  from the altitude that the </w:t>
      </w:r>
      <w:r>
        <w:t>instrument</w:t>
      </w:r>
      <w:r w:rsidRPr="002163A1">
        <w:t xml:space="preserve"> is currently situated</w:t>
      </w:r>
      <w:r>
        <w:t xml:space="preserve"> </w:t>
      </w:r>
      <w:r w:rsidRPr="002163A1">
        <w:t xml:space="preserve">unlike remote sensing applications from satellites. </w:t>
      </w:r>
      <w:r>
        <w:t xml:space="preserve">Furthermore, passive instruments from balloon and aircraft platforms also acquire quality aerosol measurements. </w:t>
      </w:r>
      <w:r w:rsidRPr="002163A1">
        <w:t xml:space="preserve">However,  </w:t>
      </w:r>
      <w:r>
        <w:t xml:space="preserve">these types of instruments only </w:t>
      </w:r>
      <w:r w:rsidRPr="002163A1">
        <w:t xml:space="preserve">give aerosol </w:t>
      </w:r>
      <w:r>
        <w:t xml:space="preserve">parameters </w:t>
      </w:r>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38F939AF" w14:textId="77777777" w:rsidR="00454F91" w:rsidRDefault="00454F91" w:rsidP="003D416A">
      <w:pPr>
        <w:pStyle w:val="Heading2"/>
      </w:pPr>
      <w:bookmarkStart w:id="42" w:name="_Toc452973715"/>
      <w:bookmarkStart w:id="43" w:name="_Toc455582589"/>
      <w:r>
        <w:t>2.3.2 Occultation</w:t>
      </w:r>
      <w:bookmarkEnd w:id="42"/>
      <w:bookmarkEnd w:id="43"/>
    </w:p>
    <w:p w14:paraId="4C26CC16" w14:textId="77777777" w:rsidR="00454F91" w:rsidRDefault="00454F9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starting in with SAGE I in 1979</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077035D9" w14:textId="77777777" w:rsidR="00454F91" w:rsidRDefault="00454F91" w:rsidP="00BB5BF9">
      <w:pPr>
        <w:pStyle w:val="BodyText"/>
        <w:keepNext/>
        <w:ind w:firstLine="0"/>
        <w:jc w:val="center"/>
      </w:pPr>
      <w:r>
        <w:rPr>
          <w:noProof/>
          <w:lang w:val="en-CA" w:eastAsia="en-CA"/>
        </w:rPr>
        <w:drawing>
          <wp:inline distT="0" distB="0" distL="0" distR="0" wp14:anchorId="60FF7FF9" wp14:editId="44DD4DBF">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76CE6EBD" w14:textId="77777777" w:rsidR="00454F91" w:rsidRDefault="00454F91" w:rsidP="00D62BA2">
      <w:pPr>
        <w:jc w:val="both"/>
        <w:rPr>
          <w:sz w:val="24"/>
          <w:szCs w:val="24"/>
        </w:rPr>
      </w:pPr>
      <w:bookmarkStart w:id="44" w:name="_Ref433365111"/>
      <w:bookmarkStart w:id="45" w:name="_Toc435878543"/>
      <w:bookmarkStart w:id="46" w:name="_Toc452973850"/>
      <w:bookmarkStart w:id="47" w:name="_Toc455582729"/>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Pr>
          <w:b/>
          <w:noProof/>
          <w:szCs w:val="24"/>
        </w:rPr>
        <w:t>3</w:t>
      </w:r>
      <w:r w:rsidRPr="00DB2FD3">
        <w:rPr>
          <w:b/>
          <w:sz w:val="24"/>
          <w:szCs w:val="24"/>
        </w:rPr>
        <w:fldChar w:fldCharType="end"/>
      </w:r>
      <w:bookmarkEnd w:id="44"/>
      <w:r w:rsidRPr="00D15330">
        <w:rPr>
          <w:sz w:val="24"/>
          <w:szCs w:val="24"/>
        </w:rPr>
        <w:t>: An</w:t>
      </w:r>
      <w:r w:rsidRPr="009A0793">
        <w:rPr>
          <w:sz w:val="24"/>
          <w:szCs w:val="24"/>
        </w:rPr>
        <w:t xml:space="preserve"> occultation instrument monitoring the atmosphere by scanning the atmosphere by looking directly at the sun.</w:t>
      </w:r>
      <w:bookmarkEnd w:id="45"/>
      <w:bookmarkEnd w:id="46"/>
      <w:bookmarkEnd w:id="47"/>
    </w:p>
    <w:p w14:paraId="687B4F9B" w14:textId="77777777" w:rsidR="00454F91" w:rsidRPr="00BB5BF9" w:rsidRDefault="00454F91" w:rsidP="00BB5BF9">
      <w:pPr>
        <w:jc w:val="center"/>
        <w:rPr>
          <w:sz w:val="24"/>
          <w:szCs w:val="24"/>
        </w:rPr>
      </w:pPr>
    </w:p>
    <w:p w14:paraId="5DA9CC64" w14:textId="77777777" w:rsidR="00454F91" w:rsidRPr="00BB5BF9" w:rsidRDefault="00454F91" w:rsidP="00BB5BF9">
      <w:pPr>
        <w:pStyle w:val="BodyText"/>
        <w:jc w:val="both"/>
      </w:pPr>
      <w:r>
        <w:t xml:space="preserve">The SAGE III mission came to an end in </w:t>
      </w:r>
      <w:commentRangeStart w:id="48"/>
      <w:r>
        <w:t>2006</w:t>
      </w:r>
      <w:commentRangeEnd w:id="48"/>
      <w:r>
        <w:rPr>
          <w:rStyle w:val="CommentReference"/>
        </w:rPr>
        <w:commentReference w:id="48"/>
      </w:r>
      <w:r>
        <w:t xml:space="preserve"> and the occultation measurements have continued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p>
    <w:p w14:paraId="5613056C" w14:textId="77777777" w:rsidR="00454F91" w:rsidRDefault="00454F91" w:rsidP="003D416A">
      <w:pPr>
        <w:pStyle w:val="Heading2"/>
      </w:pPr>
      <w:bookmarkStart w:id="49" w:name="_Toc452973716"/>
      <w:bookmarkStart w:id="50" w:name="_Toc455582590"/>
      <w:r>
        <w:t>2.3.3 Lidar</w:t>
      </w:r>
      <w:bookmarkEnd w:id="49"/>
      <w:bookmarkEnd w:id="50"/>
    </w:p>
    <w:p w14:paraId="32C3EC0F" w14:textId="77777777" w:rsidR="00454F91" w:rsidRPr="00935A8D" w:rsidRDefault="00454F9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2009).</w:t>
      </w:r>
    </w:p>
    <w:p w14:paraId="2143BD8A" w14:textId="77777777" w:rsidR="00454F91" w:rsidRDefault="00454F91"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3ECB128D" w14:textId="77777777" w:rsidR="00454F91" w:rsidRDefault="00454F91" w:rsidP="005E1011">
      <w:pPr>
        <w:pStyle w:val="BodyText"/>
        <w:keepNext/>
        <w:ind w:firstLine="0"/>
        <w:jc w:val="both"/>
      </w:pPr>
      <w:r>
        <w:rPr>
          <w:noProof/>
          <w:lang w:val="en-CA" w:eastAsia="en-CA"/>
        </w:rPr>
        <w:drawing>
          <wp:inline distT="0" distB="0" distL="0" distR="0" wp14:anchorId="78FC6D81" wp14:editId="0701D4E5">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0F9386A3" w14:textId="77777777" w:rsidR="00454F91" w:rsidRDefault="00454F91" w:rsidP="00D62BA2">
      <w:pPr>
        <w:pStyle w:val="Caption"/>
        <w:spacing w:before="0" w:after="0"/>
        <w:jc w:val="both"/>
        <w:rPr>
          <w:b w:val="0"/>
          <w:szCs w:val="24"/>
        </w:rPr>
      </w:pPr>
      <w:bookmarkStart w:id="51" w:name="_Ref433639889"/>
      <w:bookmarkStart w:id="52" w:name="_Toc435878544"/>
      <w:bookmarkStart w:id="53" w:name="_Toc452973851"/>
      <w:bookmarkStart w:id="54" w:name="_Toc455582730"/>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Pr>
          <w:noProof/>
          <w:szCs w:val="24"/>
        </w:rPr>
        <w:t>4</w:t>
      </w:r>
      <w:r w:rsidRPr="00DB2FD3">
        <w:rPr>
          <w:szCs w:val="24"/>
        </w:rPr>
        <w:fldChar w:fldCharType="end"/>
      </w:r>
      <w:bookmarkEnd w:id="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52"/>
      <w:bookmarkEnd w:id="53"/>
      <w:bookmarkEnd w:id="54"/>
    </w:p>
    <w:p w14:paraId="29A0E5C5" w14:textId="77777777" w:rsidR="00454F91" w:rsidRPr="005E1011" w:rsidRDefault="00454F91" w:rsidP="005E1011"/>
    <w:p w14:paraId="1C9B8625" w14:textId="77777777" w:rsidR="00454F91" w:rsidRDefault="00454F91" w:rsidP="003D416A">
      <w:pPr>
        <w:pStyle w:val="Heading2"/>
      </w:pPr>
      <w:bookmarkStart w:id="55" w:name="_Toc452973717"/>
      <w:bookmarkStart w:id="56" w:name="_Toc455582591"/>
      <w:r>
        <w:t>2.3.4 Limb Scatter</w:t>
      </w:r>
      <w:bookmarkEnd w:id="55"/>
      <w:bookmarkEnd w:id="56"/>
    </w:p>
    <w:p w14:paraId="1575E92C" w14:textId="77777777" w:rsidR="00454F91" w:rsidRDefault="00454F9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677F0B82" w14:textId="77777777" w:rsidR="00454F91" w:rsidRDefault="00454F91" w:rsidP="00954FF1">
      <w:pPr>
        <w:pStyle w:val="BodyText"/>
        <w:keepNext/>
        <w:ind w:firstLine="0"/>
      </w:pPr>
      <w:r>
        <w:rPr>
          <w:noProof/>
          <w:lang w:val="en-CA" w:eastAsia="en-CA"/>
        </w:rPr>
        <w:drawing>
          <wp:inline distT="0" distB="0" distL="0" distR="0" wp14:anchorId="6C50FF60" wp14:editId="7A61E9D3">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0FE961DB" w14:textId="77777777" w:rsidR="00454F91" w:rsidRDefault="00454F91" w:rsidP="00D62BA2">
      <w:pPr>
        <w:pStyle w:val="Caption"/>
        <w:spacing w:before="0" w:after="0"/>
        <w:jc w:val="both"/>
        <w:rPr>
          <w:b w:val="0"/>
          <w:szCs w:val="24"/>
        </w:rPr>
      </w:pPr>
      <w:bookmarkStart w:id="57" w:name="_Ref434222559"/>
      <w:bookmarkStart w:id="58" w:name="_Toc435878545"/>
      <w:bookmarkStart w:id="59" w:name="_Toc452973852"/>
      <w:bookmarkStart w:id="60" w:name="_Toc455582731"/>
      <w:r w:rsidRPr="003321F6">
        <w:rPr>
          <w:szCs w:val="24"/>
        </w:rPr>
        <w:t>Figure 2-</w:t>
      </w:r>
      <w:r w:rsidRPr="003321F6">
        <w:rPr>
          <w:szCs w:val="24"/>
        </w:rPr>
        <w:fldChar w:fldCharType="begin"/>
      </w:r>
      <w:r w:rsidRPr="003321F6">
        <w:rPr>
          <w:szCs w:val="24"/>
        </w:rPr>
        <w:instrText xml:space="preserve"> SEQ Figure \* ARABIC </w:instrText>
      </w:r>
      <w:r w:rsidRPr="003321F6">
        <w:rPr>
          <w:szCs w:val="24"/>
        </w:rPr>
        <w:fldChar w:fldCharType="separate"/>
      </w:r>
      <w:r>
        <w:rPr>
          <w:noProof/>
          <w:szCs w:val="24"/>
        </w:rPr>
        <w:t>5</w:t>
      </w:r>
      <w:r w:rsidRPr="003321F6">
        <w:rPr>
          <w:szCs w:val="24"/>
        </w:rPr>
        <w:fldChar w:fldCharType="end"/>
      </w:r>
      <w:bookmarkEnd w:id="57"/>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58"/>
      <w:bookmarkEnd w:id="59"/>
      <w:bookmarkEnd w:id="60"/>
    </w:p>
    <w:p w14:paraId="075BCA0E" w14:textId="77777777" w:rsidR="00454F91" w:rsidRPr="00954FF1" w:rsidRDefault="00454F91" w:rsidP="00954FF1"/>
    <w:p w14:paraId="6763371A" w14:textId="77777777" w:rsidR="00454F91" w:rsidRDefault="00454F91" w:rsidP="00954FF1">
      <w:pPr>
        <w:pStyle w:val="BodyText"/>
        <w:jc w:val="both"/>
      </w:pPr>
      <w:r>
        <w:t>The limb scatter method yields relatively good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6445CD3D" w14:textId="77777777" w:rsidR="00454F91" w:rsidRPr="00745CB4" w:rsidRDefault="00454F9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14:paraId="64DF9378" w14:textId="77777777" w:rsidR="00454F91" w:rsidRDefault="00454F9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70295B87" w14:textId="77777777" w:rsidR="00454F91" w:rsidRDefault="00454F9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7DA92A53" w14:textId="77777777" w:rsidR="00454F91" w:rsidRDefault="00454F91"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the Acousto-Optic Tunable Filter (</w:t>
      </w:r>
      <w:commentRangeStart w:id="61"/>
      <w:r>
        <w:t>AOTF</w:t>
      </w:r>
      <w:commentRangeEnd w:id="61"/>
      <w:r>
        <w:rPr>
          <w:rStyle w:val="CommentReference"/>
        </w:rPr>
        <w:commentReference w:id="61"/>
      </w:r>
      <w:r>
        <w:t xml:space="preserve">)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62"/>
      <w:r>
        <w:t>measurements.</w:t>
      </w:r>
      <w:commentRangeEnd w:id="62"/>
      <w:r>
        <w:rPr>
          <w:rStyle w:val="CommentReference"/>
        </w:rPr>
        <w:commentReference w:id="62"/>
      </w:r>
    </w:p>
    <w:p w14:paraId="5DC99BBA" w14:textId="77777777" w:rsidR="00454F91" w:rsidRPr="00A24B7F" w:rsidRDefault="00454F91" w:rsidP="000927B6">
      <w:pPr>
        <w:pStyle w:val="BodyText"/>
        <w:jc w:val="both"/>
      </w:pPr>
      <w:r>
        <w:t>The limb scatter technique is selected for the ALI instrument. ALI also uses an AOTF to spectrally image the filtered scattered signal. This technique was selected due to the relatively lax measurement requirement of only requiring sunlit atmosphere to be able to record a high number of quality measurements. Additionally, the imaging nature of the AOTF will allow quick measurements that are used to retrieve vertical profiles of aerosol extinction.</w:t>
      </w:r>
    </w:p>
    <w:p w14:paraId="1A6805DD" w14:textId="77777777" w:rsidR="00454F91" w:rsidRDefault="00454F91" w:rsidP="003D416A">
      <w:pPr>
        <w:pStyle w:val="Heading1"/>
      </w:pPr>
      <w:bookmarkStart w:id="63" w:name="_Toc452973718"/>
      <w:bookmarkStart w:id="64" w:name="_Toc455582592"/>
      <w:r>
        <w:t>2.4 Radiative Transfer</w:t>
      </w:r>
      <w:bookmarkEnd w:id="63"/>
      <w:bookmarkEnd w:id="64"/>
    </w:p>
    <w:p w14:paraId="23B5BA37" w14:textId="77777777" w:rsidR="00454F91" w:rsidRDefault="00454F9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scalar radiative transfer is performed, followed by the necessary modifications to form polarized radiative transfer equations. A description of scattering interactions important to aerosols is developed. Finally, an overview of the SASKTRAN radiative transfer model used within this work is provided. </w:t>
      </w:r>
    </w:p>
    <w:p w14:paraId="0DB59C09" w14:textId="77777777" w:rsidR="00454F91" w:rsidRDefault="00454F91" w:rsidP="00D54B14">
      <w:pPr>
        <w:pStyle w:val="Heading2"/>
      </w:pPr>
      <w:bookmarkStart w:id="65" w:name="_Toc452973719"/>
      <w:bookmarkStart w:id="66" w:name="_Toc455582593"/>
      <w:r>
        <w:t>2.4.1 Scalar Radiative Transfer</w:t>
      </w:r>
      <w:bookmarkEnd w:id="65"/>
      <w:bookmarkEnd w:id="66"/>
    </w:p>
    <w:p w14:paraId="0B2FC6C3" w14:textId="77777777" w:rsidR="00454F91" w:rsidRDefault="00454F91" w:rsidP="00A32789">
      <w:pPr>
        <w:pStyle w:val="BodyText"/>
        <w:jc w:val="both"/>
      </w:pPr>
      <w:r>
        <w:t xml:space="preserve">The scattering and absorption processes in the atmosphere are non-trivial and an adequate method to model this interaction is needed. The following presents a derivation of radiative transfer equations for the atmosphere with scalar radiance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42E8D0E0" w14:textId="77777777" w:rsidR="00454F91" w:rsidRPr="00A15663" w:rsidRDefault="00454F91"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454F91" w14:paraId="2C7C4DB6" w14:textId="77777777" w:rsidTr="000927B6">
        <w:tc>
          <w:tcPr>
            <w:tcW w:w="6804" w:type="dxa"/>
            <w:tcBorders>
              <w:top w:val="nil"/>
              <w:left w:val="nil"/>
              <w:bottom w:val="nil"/>
              <w:right w:val="nil"/>
            </w:tcBorders>
          </w:tcPr>
          <w:p w14:paraId="78A1F764" w14:textId="77777777" w:rsidR="00454F91" w:rsidRPr="0076182D" w:rsidRDefault="00454F91"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89CA53F" w14:textId="77777777" w:rsidR="00454F91" w:rsidRDefault="00454F91" w:rsidP="000927B6">
            <w:pPr>
              <w:pStyle w:val="BodyText"/>
              <w:ind w:firstLine="0"/>
              <w:jc w:val="right"/>
            </w:pPr>
            <w:r>
              <w:t>(2.2)</w:t>
            </w:r>
          </w:p>
        </w:tc>
      </w:tr>
    </w:tbl>
    <w:p w14:paraId="37BE0148" w14:textId="77777777" w:rsidR="00454F91" w:rsidRDefault="00454F9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454F91" w14:paraId="6C1F204F" w14:textId="77777777" w:rsidTr="000927B6">
        <w:tc>
          <w:tcPr>
            <w:tcW w:w="6804" w:type="dxa"/>
            <w:tcBorders>
              <w:top w:val="nil"/>
              <w:left w:val="nil"/>
              <w:bottom w:val="nil"/>
              <w:right w:val="nil"/>
            </w:tcBorders>
          </w:tcPr>
          <w:p w14:paraId="0F43E98C" w14:textId="77777777" w:rsidR="00454F91" w:rsidRPr="0076182D" w:rsidRDefault="00454F9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3B6350CA" w14:textId="77777777" w:rsidR="00454F91" w:rsidRDefault="00454F91" w:rsidP="000927B6">
            <w:pPr>
              <w:pStyle w:val="BodyText"/>
              <w:ind w:firstLine="0"/>
              <w:jc w:val="right"/>
            </w:pPr>
            <w:r>
              <w:t>(2.3)</w:t>
            </w:r>
          </w:p>
        </w:tc>
      </w:tr>
    </w:tbl>
    <w:p w14:paraId="0127691E" w14:textId="77777777" w:rsidR="00454F91" w:rsidRDefault="00454F9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454F91" w14:paraId="14A8D629" w14:textId="77777777" w:rsidTr="000927B6">
        <w:tc>
          <w:tcPr>
            <w:tcW w:w="6804" w:type="dxa"/>
            <w:tcBorders>
              <w:top w:val="nil"/>
              <w:left w:val="nil"/>
              <w:bottom w:val="nil"/>
              <w:right w:val="nil"/>
            </w:tcBorders>
          </w:tcPr>
          <w:p w14:paraId="5FF86576" w14:textId="77777777" w:rsidR="00454F91" w:rsidRPr="0076182D" w:rsidRDefault="00454F9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5759373C" w14:textId="77777777" w:rsidR="00454F91" w:rsidRDefault="00454F91" w:rsidP="000927B6">
            <w:pPr>
              <w:pStyle w:val="BodyText"/>
              <w:ind w:firstLine="0"/>
              <w:jc w:val="right"/>
            </w:pPr>
            <w:r>
              <w:t>(2.4)</w:t>
            </w:r>
          </w:p>
        </w:tc>
      </w:tr>
    </w:tbl>
    <w:p w14:paraId="2C2CA2CF" w14:textId="77777777" w:rsidR="00454F91" w:rsidRDefault="00454F91"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454F91" w14:paraId="104F651E" w14:textId="77777777" w:rsidTr="000927B6">
        <w:tc>
          <w:tcPr>
            <w:tcW w:w="6804" w:type="dxa"/>
            <w:tcBorders>
              <w:top w:val="nil"/>
              <w:left w:val="nil"/>
              <w:bottom w:val="nil"/>
              <w:right w:val="nil"/>
            </w:tcBorders>
          </w:tcPr>
          <w:p w14:paraId="476EB6B7" w14:textId="77777777" w:rsidR="00454F91" w:rsidRPr="0076182D" w:rsidRDefault="00454F9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7D646A4F" w14:textId="77777777" w:rsidR="00454F91" w:rsidRDefault="00454F91" w:rsidP="000927B6">
            <w:pPr>
              <w:pStyle w:val="BodyText"/>
              <w:ind w:firstLine="0"/>
              <w:jc w:val="right"/>
            </w:pPr>
            <w:r>
              <w:t>(2.5)</w:t>
            </w:r>
          </w:p>
        </w:tc>
      </w:tr>
    </w:tbl>
    <w:p w14:paraId="50E6F2A9" w14:textId="77777777" w:rsidR="00454F91" w:rsidRDefault="00454F9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6F8112A" w14:textId="77777777" w:rsidR="00454F91" w:rsidRDefault="00454F91"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454F91" w14:paraId="767B2F58" w14:textId="77777777" w:rsidTr="000927B6">
        <w:tc>
          <w:tcPr>
            <w:tcW w:w="6804" w:type="dxa"/>
            <w:tcBorders>
              <w:top w:val="nil"/>
              <w:left w:val="nil"/>
              <w:bottom w:val="nil"/>
              <w:right w:val="nil"/>
            </w:tcBorders>
          </w:tcPr>
          <w:p w14:paraId="35B754F2" w14:textId="77777777" w:rsidR="00454F91" w:rsidRPr="0076182D" w:rsidRDefault="00454F91"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554295D7" w14:textId="77777777" w:rsidR="00454F91" w:rsidRDefault="00454F91" w:rsidP="000927B6">
            <w:pPr>
              <w:pStyle w:val="BodyText"/>
              <w:ind w:firstLine="0"/>
              <w:jc w:val="right"/>
            </w:pPr>
            <w:r>
              <w:t>(2.6)</w:t>
            </w:r>
          </w:p>
        </w:tc>
      </w:tr>
    </w:tbl>
    <w:p w14:paraId="6ED445CB" w14:textId="77777777" w:rsidR="00454F91" w:rsidRDefault="00454F9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454F91" w14:paraId="120F9636" w14:textId="77777777" w:rsidTr="000927B6">
        <w:tc>
          <w:tcPr>
            <w:tcW w:w="6804" w:type="dxa"/>
            <w:tcBorders>
              <w:top w:val="nil"/>
              <w:left w:val="nil"/>
              <w:bottom w:val="nil"/>
              <w:right w:val="nil"/>
            </w:tcBorders>
          </w:tcPr>
          <w:p w14:paraId="60865C47" w14:textId="77777777" w:rsidR="00454F91" w:rsidRPr="0076182D" w:rsidRDefault="00454F9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1D8F006A" w14:textId="77777777" w:rsidR="00454F91" w:rsidRDefault="00454F91" w:rsidP="000927B6">
            <w:pPr>
              <w:pStyle w:val="BodyText"/>
              <w:ind w:firstLine="0"/>
              <w:jc w:val="right"/>
            </w:pPr>
            <w:r>
              <w:t>(2.7)</w:t>
            </w:r>
          </w:p>
        </w:tc>
      </w:tr>
    </w:tbl>
    <w:p w14:paraId="7B0255D4" w14:textId="77777777" w:rsidR="00454F91" w:rsidRDefault="00454F9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454F91" w14:paraId="15C8AB8B" w14:textId="77777777" w:rsidTr="000927B6">
        <w:tc>
          <w:tcPr>
            <w:tcW w:w="6804" w:type="dxa"/>
            <w:tcBorders>
              <w:top w:val="nil"/>
              <w:left w:val="nil"/>
              <w:bottom w:val="nil"/>
              <w:right w:val="nil"/>
            </w:tcBorders>
          </w:tcPr>
          <w:p w14:paraId="23A39968" w14:textId="77777777" w:rsidR="00454F91" w:rsidRPr="0076182D" w:rsidRDefault="00454F91"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5640FA21" w14:textId="77777777" w:rsidR="00454F91" w:rsidRDefault="00454F91" w:rsidP="000927B6">
            <w:pPr>
              <w:pStyle w:val="BodyText"/>
              <w:ind w:firstLine="0"/>
              <w:jc w:val="right"/>
            </w:pPr>
            <w:r>
              <w:t>(2.8)</w:t>
            </w:r>
          </w:p>
        </w:tc>
      </w:tr>
    </w:tbl>
    <w:p w14:paraId="4E69A805" w14:textId="77777777" w:rsidR="00454F91" w:rsidRDefault="00454F9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454F91" w14:paraId="6217694D" w14:textId="77777777" w:rsidTr="000927B6">
        <w:tc>
          <w:tcPr>
            <w:tcW w:w="6804" w:type="dxa"/>
            <w:tcBorders>
              <w:top w:val="nil"/>
              <w:left w:val="nil"/>
              <w:bottom w:val="nil"/>
              <w:right w:val="nil"/>
            </w:tcBorders>
          </w:tcPr>
          <w:p w14:paraId="465FAE51" w14:textId="77777777" w:rsidR="00454F91" w:rsidRPr="0076182D" w:rsidRDefault="00454F91"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5FAF45D8" w14:textId="77777777" w:rsidR="00454F91" w:rsidRDefault="00454F91" w:rsidP="000927B6">
            <w:pPr>
              <w:pStyle w:val="BodyText"/>
              <w:ind w:firstLine="0"/>
              <w:jc w:val="right"/>
            </w:pPr>
            <w:r>
              <w:t>(2.9)</w:t>
            </w:r>
          </w:p>
        </w:tc>
      </w:tr>
    </w:tbl>
    <w:p w14:paraId="372F9626" w14:textId="77777777" w:rsidR="00454F91" w:rsidRDefault="00454F91"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454F91" w14:paraId="5B7D2BC1" w14:textId="77777777" w:rsidTr="000927B6">
        <w:tc>
          <w:tcPr>
            <w:tcW w:w="6804" w:type="dxa"/>
            <w:tcBorders>
              <w:top w:val="nil"/>
              <w:left w:val="nil"/>
              <w:bottom w:val="nil"/>
              <w:right w:val="nil"/>
            </w:tcBorders>
          </w:tcPr>
          <w:p w14:paraId="37A00E37" w14:textId="77777777" w:rsidR="00454F91" w:rsidRPr="0076182D" w:rsidRDefault="00454F91"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124E28BA" w14:textId="77777777" w:rsidR="00454F91" w:rsidRDefault="00454F91" w:rsidP="000927B6">
            <w:pPr>
              <w:pStyle w:val="BodyText"/>
              <w:ind w:firstLine="0"/>
              <w:jc w:val="right"/>
            </w:pPr>
            <w:r>
              <w:t>(2.10)</w:t>
            </w:r>
          </w:p>
        </w:tc>
      </w:tr>
    </w:tbl>
    <w:p w14:paraId="6C047030" w14:textId="77777777" w:rsidR="00454F91" w:rsidRDefault="00454F9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454F91" w14:paraId="74F4D2C7" w14:textId="77777777" w:rsidTr="000927B6">
        <w:tc>
          <w:tcPr>
            <w:tcW w:w="6804" w:type="dxa"/>
            <w:tcBorders>
              <w:top w:val="nil"/>
              <w:left w:val="nil"/>
              <w:bottom w:val="nil"/>
              <w:right w:val="nil"/>
            </w:tcBorders>
          </w:tcPr>
          <w:p w14:paraId="0150E2EB" w14:textId="77777777" w:rsidR="00454F91" w:rsidRPr="0076182D" w:rsidRDefault="00454F9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171E000E" w14:textId="77777777" w:rsidR="00454F91" w:rsidRDefault="00454F91" w:rsidP="000927B6">
            <w:pPr>
              <w:pStyle w:val="BodyText"/>
              <w:ind w:firstLine="0"/>
              <w:jc w:val="right"/>
            </w:pPr>
            <w:r>
              <w:t>(2.11)</w:t>
            </w:r>
          </w:p>
        </w:tc>
      </w:tr>
    </w:tbl>
    <w:p w14:paraId="6F4722C0" w14:textId="77777777" w:rsidR="00454F91" w:rsidRDefault="00454F9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454F91" w14:paraId="7A51A9B7" w14:textId="77777777" w:rsidTr="000927B6">
        <w:tc>
          <w:tcPr>
            <w:tcW w:w="6804" w:type="dxa"/>
            <w:tcBorders>
              <w:top w:val="nil"/>
              <w:left w:val="nil"/>
              <w:bottom w:val="nil"/>
              <w:right w:val="nil"/>
            </w:tcBorders>
          </w:tcPr>
          <w:p w14:paraId="170D0B20" w14:textId="77777777" w:rsidR="00454F91" w:rsidRPr="0076182D" w:rsidRDefault="00454F9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6A708956" w14:textId="77777777" w:rsidR="00454F91" w:rsidRDefault="00454F91" w:rsidP="000927B6">
            <w:pPr>
              <w:pStyle w:val="BodyText"/>
              <w:ind w:firstLine="0"/>
              <w:jc w:val="right"/>
            </w:pPr>
            <w:r>
              <w:t>(2.12)</w:t>
            </w:r>
          </w:p>
        </w:tc>
      </w:tr>
    </w:tbl>
    <w:p w14:paraId="29E8CCE4" w14:textId="77777777" w:rsidR="00454F91" w:rsidRDefault="00454F91"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63090099" w14:textId="77777777" w:rsidR="00454F91" w:rsidRDefault="00454F91"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thermal emissions.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454F91" w14:paraId="543B603B" w14:textId="77777777" w:rsidTr="000927B6">
        <w:tc>
          <w:tcPr>
            <w:tcW w:w="6804" w:type="dxa"/>
            <w:tcBorders>
              <w:top w:val="nil"/>
              <w:left w:val="nil"/>
              <w:bottom w:val="nil"/>
              <w:right w:val="nil"/>
            </w:tcBorders>
          </w:tcPr>
          <w:p w14:paraId="6B68C924" w14:textId="77777777" w:rsidR="00454F91" w:rsidRPr="0076182D" w:rsidRDefault="00454F9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2DF968EF" w14:textId="77777777" w:rsidR="00454F91" w:rsidRDefault="00454F91" w:rsidP="000927B6">
            <w:pPr>
              <w:pStyle w:val="BodyText"/>
              <w:ind w:firstLine="0"/>
              <w:jc w:val="right"/>
            </w:pPr>
            <w:r>
              <w:t>(2.13)</w:t>
            </w:r>
          </w:p>
        </w:tc>
      </w:tr>
    </w:tbl>
    <w:p w14:paraId="04E7953F" w14:textId="77777777" w:rsidR="00454F91" w:rsidRDefault="00454F9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454F91" w14:paraId="0BB05CB8" w14:textId="77777777" w:rsidTr="000927B6">
        <w:tc>
          <w:tcPr>
            <w:tcW w:w="6804" w:type="dxa"/>
            <w:tcBorders>
              <w:top w:val="nil"/>
              <w:left w:val="nil"/>
              <w:bottom w:val="nil"/>
              <w:right w:val="nil"/>
            </w:tcBorders>
          </w:tcPr>
          <w:p w14:paraId="4355553F" w14:textId="77777777" w:rsidR="00454F91" w:rsidRPr="0076182D" w:rsidRDefault="00454F91"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3BB4370A" w14:textId="77777777" w:rsidR="00454F91" w:rsidRDefault="00454F91" w:rsidP="000927B6">
            <w:pPr>
              <w:pStyle w:val="BodyText"/>
              <w:ind w:firstLine="0"/>
              <w:jc w:val="right"/>
            </w:pPr>
            <w:r>
              <w:t>(2.14)</w:t>
            </w:r>
          </w:p>
        </w:tc>
      </w:tr>
    </w:tbl>
    <w:p w14:paraId="07E1A968" w14:textId="77777777" w:rsidR="00454F91" w:rsidRDefault="00454F9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772CB4D9" w14:textId="77777777" w:rsidR="00454F91" w:rsidRDefault="00454F9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454F91" w14:paraId="6CD78479" w14:textId="77777777" w:rsidTr="000927B6">
        <w:tc>
          <w:tcPr>
            <w:tcW w:w="6804" w:type="dxa"/>
            <w:tcBorders>
              <w:top w:val="nil"/>
              <w:left w:val="nil"/>
              <w:bottom w:val="nil"/>
              <w:right w:val="nil"/>
            </w:tcBorders>
          </w:tcPr>
          <w:p w14:paraId="0922E045" w14:textId="77777777" w:rsidR="00454F91" w:rsidRPr="0076182D" w:rsidRDefault="00454F9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1A027F3A" w14:textId="77777777" w:rsidR="00454F91" w:rsidRDefault="00454F91" w:rsidP="000927B6">
            <w:pPr>
              <w:pStyle w:val="BodyText"/>
              <w:ind w:firstLine="0"/>
              <w:jc w:val="right"/>
            </w:pPr>
            <w:r>
              <w:t>(2.15)</w:t>
            </w:r>
          </w:p>
        </w:tc>
      </w:tr>
    </w:tbl>
    <w:p w14:paraId="2301FCD6" w14:textId="77777777" w:rsidR="00454F91" w:rsidRDefault="00454F91" w:rsidP="00851023">
      <w:pPr>
        <w:pStyle w:val="BodyText"/>
        <w:ind w:firstLine="0"/>
        <w:jc w:val="both"/>
      </w:pPr>
      <w:r>
        <w:t>The multiple scatter term is calculated until the contribution is sufficiently small to be negligible.</w:t>
      </w:r>
    </w:p>
    <w:p w14:paraId="1E4D605B" w14:textId="77777777" w:rsidR="00454F91" w:rsidRDefault="00454F91" w:rsidP="00FA7303">
      <w:pPr>
        <w:pStyle w:val="Heading2"/>
      </w:pPr>
      <w:bookmarkStart w:id="67" w:name="_Toc452973720"/>
      <w:bookmarkStart w:id="68" w:name="_Toc455582594"/>
      <w:r>
        <w:t>2.4.2 Vector Radiative Transfer</w:t>
      </w:r>
      <w:bookmarkEnd w:id="67"/>
      <w:bookmarkEnd w:id="68"/>
    </w:p>
    <w:p w14:paraId="197648E5" w14:textId="77777777" w:rsidR="00454F91" w:rsidRDefault="00454F91" w:rsidP="00D54B14">
      <w:pPr>
        <w:pStyle w:val="BodyText"/>
        <w:jc w:val="both"/>
      </w:pPr>
      <w:r>
        <w:t>The scalar</w:t>
      </w:r>
      <w:r>
        <w:rPr>
          <w:rStyle w:val="CommentReference"/>
        </w:rPr>
        <w:commentReference w:id="69"/>
      </w:r>
      <w:r>
        <w:t xml:space="preserve"> radiative transfer equation works well for systems that do not measure polarized light as the effect of polarization on the scalar radiance is small. However, for instruments that measure polarized light, a vector radiative transfer equation is required. Before polarization can even be discussed, a method to quantify polarization must be defined which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454F91" w14:paraId="370B15F4" w14:textId="77777777" w:rsidTr="000927B6">
        <w:tc>
          <w:tcPr>
            <w:tcW w:w="6804" w:type="dxa"/>
            <w:tcBorders>
              <w:top w:val="nil"/>
              <w:left w:val="nil"/>
              <w:bottom w:val="nil"/>
              <w:right w:val="nil"/>
            </w:tcBorders>
          </w:tcPr>
          <w:p w14:paraId="69D737C1" w14:textId="77777777" w:rsidR="00454F91" w:rsidRPr="0076182D" w:rsidRDefault="00454F9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0082DAA8" w14:textId="77777777" w:rsidR="00454F91" w:rsidRDefault="00454F91" w:rsidP="009C3B73">
            <w:pPr>
              <w:pStyle w:val="BodyText"/>
              <w:ind w:firstLine="0"/>
              <w:jc w:val="right"/>
            </w:pPr>
            <w:r>
              <w:t>(2.16)</w:t>
            </w:r>
          </w:p>
        </w:tc>
      </w:tr>
    </w:tbl>
    <w:p w14:paraId="3F5610F3" w14:textId="77777777" w:rsidR="00454F91" w:rsidRDefault="00454F91" w:rsidP="005530E3">
      <w:pPr>
        <w:pStyle w:val="BodyText"/>
        <w:ind w:firstLine="0"/>
        <w:jc w:val="both"/>
      </w:pPr>
      <w:r>
        <w:t xml:space="preserve">where </w:t>
      </w:r>
      <m:oMath>
        <m:r>
          <w:rPr>
            <w:rFonts w:ascii="Cambria Math" w:hAnsi="Cambria Math"/>
          </w:rPr>
          <m:t>I</m:t>
        </m:r>
      </m:oMath>
      <w:r>
        <w:t xml:space="preserve"> </w:t>
      </w:r>
      <w:commentRangeStart w:id="70"/>
      <w:r>
        <w:t xml:space="preserve">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commentRangeEnd w:id="70"/>
      <w:r>
        <w:rPr>
          <w:rStyle w:val="CommentReference"/>
        </w:rPr>
        <w:commentReference w:id="70"/>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454F91" w14:paraId="5F0CB513" w14:textId="77777777" w:rsidTr="009C3B73">
        <w:tc>
          <w:tcPr>
            <w:tcW w:w="6804" w:type="dxa"/>
            <w:tcBorders>
              <w:top w:val="nil"/>
              <w:left w:val="nil"/>
              <w:bottom w:val="nil"/>
              <w:right w:val="nil"/>
            </w:tcBorders>
          </w:tcPr>
          <w:p w14:paraId="63D52160" w14:textId="77777777" w:rsidR="00454F91" w:rsidRPr="0076182D" w:rsidRDefault="00454F9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026E5DAF" w14:textId="77777777" w:rsidR="00454F91" w:rsidRDefault="00454F91" w:rsidP="009C3B73">
            <w:pPr>
              <w:pStyle w:val="BodyText"/>
              <w:ind w:firstLine="0"/>
              <w:jc w:val="right"/>
            </w:pPr>
            <w:r>
              <w:t>(2.17)</w:t>
            </w:r>
          </w:p>
        </w:tc>
      </w:tr>
    </w:tbl>
    <w:p w14:paraId="058B8415" w14:textId="77777777" w:rsidR="00454F91" w:rsidRDefault="00454F9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5456CC81" w14:textId="77777777" w:rsidR="00454F91" w:rsidRDefault="00454F9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54F91" w14:paraId="02FAD382" w14:textId="77777777" w:rsidTr="000927B6">
        <w:tc>
          <w:tcPr>
            <w:tcW w:w="6804" w:type="dxa"/>
          </w:tcPr>
          <w:p w14:paraId="20F05784" w14:textId="77777777" w:rsidR="00454F91" w:rsidRPr="0076182D" w:rsidRDefault="00454F9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3F5A36F3" w14:textId="77777777" w:rsidR="00454F91" w:rsidRDefault="00454F91" w:rsidP="009C3B73">
            <w:pPr>
              <w:pStyle w:val="BodyText"/>
              <w:ind w:firstLine="0"/>
              <w:jc w:val="right"/>
            </w:pPr>
            <w:r>
              <w:t>(2.18)</w:t>
            </w:r>
          </w:p>
        </w:tc>
      </w:tr>
      <w:tr w:rsidR="00454F91" w14:paraId="295415BA" w14:textId="77777777" w:rsidTr="000927B6">
        <w:tc>
          <w:tcPr>
            <w:tcW w:w="6804" w:type="dxa"/>
          </w:tcPr>
          <w:p w14:paraId="6B90E3C9" w14:textId="77777777" w:rsidR="00454F91" w:rsidRPr="0076182D" w:rsidRDefault="00454F91"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307F93C1" w14:textId="77777777" w:rsidR="00454F91" w:rsidRDefault="00454F91" w:rsidP="009C3B73">
            <w:pPr>
              <w:pStyle w:val="BodyText"/>
              <w:ind w:firstLine="0"/>
              <w:jc w:val="right"/>
            </w:pPr>
            <w:r>
              <w:t>(2.19)</w:t>
            </w:r>
          </w:p>
        </w:tc>
      </w:tr>
    </w:tbl>
    <w:p w14:paraId="19D24668" w14:textId="77777777" w:rsidR="00454F91" w:rsidRDefault="00454F91" w:rsidP="00097F5B">
      <w:pPr>
        <w:pStyle w:val="BodyText"/>
        <w:ind w:firstLine="0"/>
        <w:jc w:val="both"/>
      </w:pPr>
      <w:r>
        <w:t>which are the vector radiative transfer and source term equations respectively (</w:t>
      </w:r>
      <w:r>
        <w:rPr>
          <w:i/>
        </w:rPr>
        <w:t>Mishchenko et al.</w:t>
      </w:r>
      <w:r>
        <w:t>, 2002). With polarization a scattering reference frame is defined and incoming radiance is rotated into the scattering frame multiplied by the scattering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454F91" w14:paraId="2DDE6184" w14:textId="77777777" w:rsidTr="00D75640">
        <w:tc>
          <w:tcPr>
            <w:tcW w:w="6804" w:type="dxa"/>
            <w:tcBorders>
              <w:top w:val="nil"/>
              <w:left w:val="nil"/>
              <w:bottom w:val="nil"/>
              <w:right w:val="nil"/>
            </w:tcBorders>
          </w:tcPr>
          <w:p w14:paraId="32E3C259" w14:textId="77777777" w:rsidR="00454F91" w:rsidRPr="008E2476" w:rsidRDefault="00454F91" w:rsidP="00CA79A7">
            <w:pPr>
              <w:pStyle w:val="BodyText"/>
              <w:ind w:firstLine="289"/>
              <w:jc w:val="right"/>
              <w:rPr>
                <w:i/>
              </w:rPr>
            </w:pPr>
            <m:oMathPara>
              <m:oMath>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lang w:val="en-CA"/>
                                    </w:rPr>
                                    <m:t>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lang w:val="en-CA"/>
                                    </w:rPr>
                                    <m:t>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lang w:val="en-CA"/>
                                    </w:rPr>
                                    <m:t>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lang w:val="en-CA"/>
                                    </w:rPr>
                                    <m:t>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66A39D82" w14:textId="77777777" w:rsidR="00454F91" w:rsidRDefault="00454F91" w:rsidP="009C3B73">
            <w:pPr>
              <w:pStyle w:val="BodyText"/>
              <w:ind w:firstLine="0"/>
              <w:jc w:val="right"/>
            </w:pPr>
            <w:r>
              <w:t>(2.20)</w:t>
            </w:r>
          </w:p>
        </w:tc>
      </w:tr>
    </w:tbl>
    <w:p w14:paraId="474FBDE6" w14:textId="77777777" w:rsidR="00454F91" w:rsidRDefault="00454F91"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 The radiance and the source terms are now Stokes vectors in 4 by 1 matrices and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hint="eastAsia"/>
          </w:rPr>
          <m:t>Θ</m:t>
        </m:r>
        <m:r>
          <w:rPr>
            <w:rFonts w:ascii="Cambria Math" w:hAnsi="Cambria Math"/>
          </w:rPr>
          <m:t>)</m:t>
        </m:r>
      </m:oMath>
      <w:r>
        <w:t xml:space="preserve">, is a 4 by 4 tensor that is related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which is four times the size of a standard scalar radiance calculations. </w:t>
      </w:r>
    </w:p>
    <w:p w14:paraId="5934FC31" w14:textId="77777777" w:rsidR="00454F91" w:rsidRDefault="00454F91"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scatters from aerosol particles.</w:t>
      </w:r>
    </w:p>
    <w:p w14:paraId="60BBC342" w14:textId="77777777" w:rsidR="00454F91" w:rsidRDefault="00454F91" w:rsidP="00FA7303">
      <w:pPr>
        <w:pStyle w:val="Heading2"/>
      </w:pPr>
      <w:bookmarkStart w:id="71" w:name="_Toc452973721"/>
      <w:bookmarkStart w:id="72" w:name="_Toc455582595"/>
      <w:r>
        <w:t>2.4.3 Rayleigh Scattering</w:t>
      </w:r>
      <w:bookmarkEnd w:id="71"/>
      <w:bookmarkEnd w:id="72"/>
    </w:p>
    <w:p w14:paraId="1E3EA48E" w14:textId="77777777" w:rsidR="00454F91" w:rsidRDefault="00454F91" w:rsidP="008E2476">
      <w:pPr>
        <w:pStyle w:val="BodyText"/>
        <w:jc w:val="both"/>
      </w:pPr>
      <w:r>
        <w:t xml:space="preserve">Rayleigh scatter is the scattering performed by the molecular background atmosphere, </w:t>
      </w:r>
      <w:r w:rsidRPr="00A33039">
        <w:rPr>
          <w:i/>
        </w:rPr>
        <w:t>i.e</w:t>
      </w:r>
      <w:r>
        <w:t xml:space="preserve">. by molecules of the air.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454F91" w14:paraId="7A863643" w14:textId="77777777" w:rsidTr="000927B6">
        <w:tc>
          <w:tcPr>
            <w:tcW w:w="6804" w:type="dxa"/>
            <w:tcBorders>
              <w:top w:val="nil"/>
              <w:left w:val="nil"/>
              <w:bottom w:val="nil"/>
              <w:right w:val="nil"/>
            </w:tcBorders>
          </w:tcPr>
          <w:p w14:paraId="643B8C70" w14:textId="77777777" w:rsidR="00454F91" w:rsidRPr="008E2476" w:rsidRDefault="00454F91"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5B878F02" w14:textId="77777777" w:rsidR="00454F91" w:rsidRDefault="00454F91" w:rsidP="009C3B73">
            <w:pPr>
              <w:pStyle w:val="BodyText"/>
              <w:ind w:firstLine="0"/>
              <w:jc w:val="right"/>
            </w:pPr>
            <w:r>
              <w:t>(2.21)</w:t>
            </w:r>
          </w:p>
        </w:tc>
      </w:tr>
    </w:tbl>
    <w:p w14:paraId="09DC8FD2" w14:textId="77777777" w:rsidR="00454F91" w:rsidRDefault="00454F91"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14:paraId="6D8618EB" w14:textId="77777777" w:rsidR="00454F91" w:rsidRDefault="00454F91" w:rsidP="000E00D9">
      <w:pPr>
        <w:pStyle w:val="BodyText"/>
        <w:jc w:val="both"/>
      </w:pPr>
      <w:r>
        <w:t>The other important quantity for scattering is the scattering matrix.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454F91" w14:paraId="4C20859D" w14:textId="77777777" w:rsidTr="000927B6">
        <w:tc>
          <w:tcPr>
            <w:tcW w:w="6804" w:type="dxa"/>
            <w:tcBorders>
              <w:top w:val="nil"/>
              <w:left w:val="nil"/>
              <w:bottom w:val="nil"/>
              <w:right w:val="nil"/>
            </w:tcBorders>
          </w:tcPr>
          <w:p w14:paraId="4C76E0F6" w14:textId="77777777" w:rsidR="00454F91" w:rsidRPr="008E2476" w:rsidRDefault="00454F91"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07A1254C" w14:textId="77777777" w:rsidR="00454F91" w:rsidRDefault="00454F91" w:rsidP="009C3B73">
            <w:pPr>
              <w:pStyle w:val="BodyText"/>
              <w:ind w:firstLine="0"/>
              <w:jc w:val="right"/>
            </w:pPr>
            <w:r>
              <w:t>(2.22)</w:t>
            </w:r>
          </w:p>
        </w:tc>
      </w:tr>
    </w:tbl>
    <w:p w14:paraId="16B2A9EF" w14:textId="77777777" w:rsidR="00454F91" w:rsidRDefault="00454F91" w:rsidP="002B54E1">
      <w:pPr>
        <w:pStyle w:val="BodyText"/>
        <w:ind w:firstLine="0"/>
        <w:jc w:val="both"/>
      </w:pPr>
      <w:r>
        <w:t xml:space="preserve">Each component of the scattering matrix itself is smooth which allows for easy and accurate calculation for Rayleigh scattering. </w:t>
      </w:r>
    </w:p>
    <w:p w14:paraId="5F2DFDC1" w14:textId="77777777" w:rsidR="00454F91" w:rsidRDefault="00454F91" w:rsidP="00FA7303">
      <w:pPr>
        <w:pStyle w:val="Heading2"/>
      </w:pPr>
      <w:bookmarkStart w:id="73" w:name="_Toc452973722"/>
      <w:bookmarkStart w:id="74" w:name="_Toc455582596"/>
      <w:r>
        <w:t>2.4.4 Mie Scattering</w:t>
      </w:r>
      <w:bookmarkEnd w:id="73"/>
      <w:bookmarkEnd w:id="74"/>
    </w:p>
    <w:p w14:paraId="026CBD58" w14:textId="77777777" w:rsidR="00454F91" w:rsidRDefault="00454F9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454F91" w14:paraId="6753844C" w14:textId="77777777" w:rsidTr="000927B6">
        <w:tc>
          <w:tcPr>
            <w:tcW w:w="6804" w:type="dxa"/>
            <w:tcBorders>
              <w:top w:val="nil"/>
              <w:left w:val="nil"/>
              <w:bottom w:val="nil"/>
              <w:right w:val="nil"/>
            </w:tcBorders>
          </w:tcPr>
          <w:p w14:paraId="20A87F7C" w14:textId="77777777" w:rsidR="00454F91" w:rsidRPr="008E2476" w:rsidRDefault="00454F91"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7B2F7975" w14:textId="77777777" w:rsidR="00454F91" w:rsidRDefault="00454F91" w:rsidP="009C3B73">
            <w:pPr>
              <w:pStyle w:val="BodyText"/>
              <w:ind w:firstLine="0"/>
              <w:jc w:val="right"/>
            </w:pPr>
            <w:r>
              <w:t>(2.23)</w:t>
            </w:r>
          </w:p>
        </w:tc>
      </w:tr>
    </w:tbl>
    <w:p w14:paraId="0A074F20" w14:textId="77777777" w:rsidR="00454F91" w:rsidRDefault="00454F91"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54F91" w14:paraId="66C81B24" w14:textId="77777777" w:rsidTr="005519E0">
        <w:tc>
          <w:tcPr>
            <w:tcW w:w="6804" w:type="dxa"/>
          </w:tcPr>
          <w:p w14:paraId="5573273C" w14:textId="77777777" w:rsidR="00454F91" w:rsidRPr="008E2476" w:rsidRDefault="00454F91"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DB513DF" w14:textId="77777777" w:rsidR="00454F91" w:rsidRDefault="00454F91" w:rsidP="009C3B73">
            <w:pPr>
              <w:pStyle w:val="BodyText"/>
              <w:ind w:firstLine="0"/>
              <w:jc w:val="right"/>
            </w:pPr>
            <w:r>
              <w:t>(2.24)</w:t>
            </w:r>
          </w:p>
        </w:tc>
      </w:tr>
      <w:tr w:rsidR="00454F91" w14:paraId="378C89A4" w14:textId="77777777" w:rsidTr="005519E0">
        <w:tc>
          <w:tcPr>
            <w:tcW w:w="6804" w:type="dxa"/>
          </w:tcPr>
          <w:p w14:paraId="25C618B5" w14:textId="77777777" w:rsidR="00454F91" w:rsidRPr="008E2476" w:rsidRDefault="00454F91"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BAEAF6C" w14:textId="77777777" w:rsidR="00454F91" w:rsidRDefault="00454F91" w:rsidP="009C3B73">
            <w:pPr>
              <w:pStyle w:val="BodyText"/>
              <w:ind w:firstLine="0"/>
              <w:jc w:val="right"/>
            </w:pPr>
            <w:r>
              <w:t>(2.25)</w:t>
            </w:r>
          </w:p>
        </w:tc>
      </w:tr>
    </w:tbl>
    <w:p w14:paraId="25893664" w14:textId="77777777" w:rsidR="00454F91" w:rsidRDefault="00454F91"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454F91" w14:paraId="023C6A71" w14:textId="77777777" w:rsidTr="009C3B73">
        <w:tc>
          <w:tcPr>
            <w:tcW w:w="8364" w:type="dxa"/>
            <w:tcBorders>
              <w:top w:val="nil"/>
              <w:left w:val="nil"/>
              <w:bottom w:val="nil"/>
              <w:right w:val="nil"/>
            </w:tcBorders>
          </w:tcPr>
          <w:p w14:paraId="1BF85DB1" w14:textId="77777777" w:rsidR="00454F91" w:rsidRPr="008E2476" w:rsidRDefault="00454F91"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222F0E18" w14:textId="77777777" w:rsidR="00454F91" w:rsidRDefault="00454F91" w:rsidP="009C3B73">
            <w:pPr>
              <w:pStyle w:val="BodyText"/>
              <w:ind w:left="32" w:hanging="32"/>
              <w:jc w:val="right"/>
            </w:pPr>
            <w:r>
              <w:t>(2.26)</w:t>
            </w:r>
          </w:p>
        </w:tc>
      </w:tr>
    </w:tbl>
    <w:p w14:paraId="62CC1B9C" w14:textId="77777777" w:rsidR="00454F91" w:rsidRDefault="00454F91"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54F91" w14:paraId="2AF19A68" w14:textId="77777777" w:rsidTr="001E4300">
        <w:tc>
          <w:tcPr>
            <w:tcW w:w="6804" w:type="dxa"/>
          </w:tcPr>
          <w:p w14:paraId="4B4C101B" w14:textId="77777777" w:rsidR="00454F91" w:rsidRPr="008E2476" w:rsidRDefault="00454F91"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4012C3E2" w14:textId="77777777" w:rsidR="00454F91" w:rsidRDefault="00454F91" w:rsidP="009C3B73">
            <w:pPr>
              <w:pStyle w:val="BodyText"/>
              <w:ind w:firstLine="0"/>
              <w:jc w:val="right"/>
            </w:pPr>
            <w:r>
              <w:t>(2.27)</w:t>
            </w:r>
          </w:p>
        </w:tc>
      </w:tr>
      <w:tr w:rsidR="00454F91" w14:paraId="79D03D54" w14:textId="77777777" w:rsidTr="001E4300">
        <w:tc>
          <w:tcPr>
            <w:tcW w:w="6804" w:type="dxa"/>
          </w:tcPr>
          <w:p w14:paraId="11BD5170" w14:textId="77777777" w:rsidR="00454F91" w:rsidRPr="008E2476" w:rsidRDefault="00454F91"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26E9FE5F" w14:textId="77777777" w:rsidR="00454F91" w:rsidRDefault="00454F91" w:rsidP="009C3B73">
            <w:pPr>
              <w:pStyle w:val="BodyText"/>
              <w:ind w:firstLine="0"/>
              <w:jc w:val="right"/>
            </w:pPr>
            <w:r>
              <w:t>(2.28)</w:t>
            </w:r>
          </w:p>
        </w:tc>
      </w:tr>
    </w:tbl>
    <w:p w14:paraId="44CDAFE8" w14:textId="77777777" w:rsidR="00454F91" w:rsidRDefault="00454F91"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21E242CE" w14:textId="77777777" w:rsidR="00454F91" w:rsidRDefault="00454F9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454F91" w14:paraId="30DF5910" w14:textId="77777777" w:rsidTr="00C23298">
        <w:tc>
          <w:tcPr>
            <w:tcW w:w="6804" w:type="dxa"/>
            <w:tcBorders>
              <w:top w:val="nil"/>
              <w:left w:val="nil"/>
              <w:bottom w:val="nil"/>
              <w:right w:val="nil"/>
            </w:tcBorders>
          </w:tcPr>
          <w:p w14:paraId="0029A56B" w14:textId="77777777" w:rsidR="00454F91" w:rsidRPr="008E2476" w:rsidRDefault="00454F91"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8BB9F69" w14:textId="77777777" w:rsidR="00454F91" w:rsidRDefault="00454F91" w:rsidP="009C3B73">
            <w:pPr>
              <w:pStyle w:val="BodyText"/>
              <w:ind w:firstLine="0"/>
              <w:jc w:val="right"/>
            </w:pPr>
            <w:r>
              <w:t>(2.29)</w:t>
            </w:r>
          </w:p>
        </w:tc>
      </w:tr>
    </w:tbl>
    <w:p w14:paraId="03687B7B" w14:textId="77777777" w:rsidR="00454F91" w:rsidRDefault="00454F91" w:rsidP="00C452B7">
      <w:pPr>
        <w:pStyle w:val="BodyText"/>
        <w:ind w:firstLine="0"/>
        <w:jc w:val="both"/>
      </w:pPr>
      <w:r>
        <w:t>The weighted average is similarly performed to determine the effective phase matrix for a particle size distribution.</w:t>
      </w:r>
    </w:p>
    <w:p w14:paraId="5A55C7CB" w14:textId="77777777" w:rsidR="00454F91" w:rsidRDefault="00454F91"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against the wavelength can be seen in </w:t>
      </w:r>
      <w:r>
        <w:fldChar w:fldCharType="begin"/>
      </w:r>
      <w:r>
        <w:instrText xml:space="preserve"> REF _Ref455578667 \h </w:instrText>
      </w:r>
      <w:r>
        <w:fldChar w:fldCharType="separate"/>
      </w:r>
      <w:r>
        <w:t>Figure 2-</w:t>
      </w:r>
      <w:r>
        <w:rPr>
          <w:noProof/>
        </w:rPr>
        <w:t>6</w:t>
      </w:r>
      <w:r>
        <w:fldChar w:fldCharType="end"/>
      </w:r>
      <w:r>
        <w:t xml:space="preserve">a. The wavelength to the fourth dependence is noted in Rayleigh scattering, in blue, (Equation 2.21) whereas Mie scattering, in red, does not have this dependence. Due to the difference the significance of Mie scattering becomes more predominant as longer wavelengths increases. Further the scattering matrix is also radically different. Taking a look at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t>, the Rayleigh term is smooth with even forward and back scattering and small amount of scattering seen in 90</w:t>
      </w:r>
      <w:r>
        <w:rPr>
          <w:vertAlign w:val="superscript"/>
        </w:rPr>
        <w:t xml:space="preserve">◦ </w:t>
      </w:r>
      <w:r w:rsidRPr="00344919">
        <w:t xml:space="preserve">scattering </w:t>
      </w:r>
      <w:r w:rsidRPr="00C94AB1">
        <w:t>angle</w:t>
      </w:r>
      <w:r w:rsidRPr="00344919">
        <w:t xml:space="preserve">. </w:t>
      </w:r>
      <w:r>
        <w:t>The scattering term for Mie on the other hand is very strong tendency for forward scattering compared with few scatter events happening for scattering angles past 90</w:t>
      </w:r>
      <w:r>
        <w:rPr>
          <w:vertAlign w:val="superscript"/>
        </w:rPr>
        <w:t>◦</w:t>
      </w:r>
      <w:r>
        <w:t xml:space="preserve">. </w:t>
      </w:r>
    </w:p>
    <w:p w14:paraId="27DE93BC" w14:textId="77777777" w:rsidR="00454F91" w:rsidRDefault="00454F91" w:rsidP="00832BF3">
      <w:pPr>
        <w:pStyle w:val="BodyText"/>
        <w:keepNext/>
        <w:ind w:firstLine="0"/>
        <w:jc w:val="both"/>
      </w:pPr>
      <w:r>
        <w:rPr>
          <w:noProof/>
          <w:lang w:val="en-CA" w:eastAsia="en-CA"/>
        </w:rPr>
        <w:drawing>
          <wp:inline distT="0" distB="0" distL="0" distR="0" wp14:anchorId="19544FD9" wp14:editId="5287E59D">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20D656BC" w14:textId="77777777" w:rsidR="00454F91" w:rsidRPr="00344919" w:rsidRDefault="00454F91" w:rsidP="00832BF3">
      <w:pPr>
        <w:pStyle w:val="Caption"/>
        <w:spacing w:before="0" w:after="0"/>
        <w:jc w:val="both"/>
        <w:rPr>
          <w:b w:val="0"/>
        </w:rPr>
      </w:pPr>
      <w:bookmarkStart w:id="75" w:name="_Ref455578667"/>
      <w:bookmarkStart w:id="76" w:name="_Toc455582732"/>
      <w:r>
        <w:t>Figure 2-</w:t>
      </w:r>
      <w:r>
        <w:fldChar w:fldCharType="begin"/>
      </w:r>
      <w:r>
        <w:instrText xml:space="preserve"> SEQ Figure \* ARABIC </w:instrText>
      </w:r>
      <w:r>
        <w:fldChar w:fldCharType="separate"/>
      </w:r>
      <w:r>
        <w:rPr>
          <w:noProof/>
        </w:rPr>
        <w:t>6</w:t>
      </w:r>
      <w:r>
        <w:fldChar w:fldCharType="end"/>
      </w:r>
      <w:bookmarkEnd w:id="75"/>
      <w:r>
        <w:t>:</w:t>
      </w:r>
      <w:r>
        <w:rPr>
          <w:b w:val="0"/>
        </w:rPr>
        <w:t xml:space="preserve"> (a) Change in scattering cross section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Pr>
          <w:b w:val="0"/>
        </w:rPr>
        <w:t>, for Rayleigh and Mie scattering across scattering angle.</w:t>
      </w:r>
      <w:bookmarkEnd w:id="76"/>
    </w:p>
    <w:p w14:paraId="59CA300E" w14:textId="77777777" w:rsidR="00454F91" w:rsidRPr="00905A0C" w:rsidRDefault="00454F91">
      <w:pPr>
        <w:pStyle w:val="BodyText"/>
        <w:jc w:val="both"/>
      </w:pPr>
      <w:r>
        <w:t xml:space="preserve">It should be noted that although the theory is well founded to calculate the Mie scattering cross sections and phase matrices, in practice it is computationally intensive since the terms consist of infinite sums of Bessel functions. Work done by </w:t>
      </w:r>
      <w:r>
        <w:rPr>
          <w:i/>
        </w:rPr>
        <w:t>Wiscombe</w:t>
      </w:r>
      <w:r>
        <w:t xml:space="preserve"> (1980) has allowed for effective computation of the Mie scattering coefficients, which has been implemented into the SASKTRAN radiative transfer engine.</w:t>
      </w:r>
    </w:p>
    <w:p w14:paraId="3CA2670C" w14:textId="77777777" w:rsidR="00454F91" w:rsidRDefault="00454F91" w:rsidP="00BA54C2">
      <w:pPr>
        <w:pStyle w:val="Heading2"/>
      </w:pPr>
      <w:bookmarkStart w:id="77" w:name="_Toc452973723"/>
      <w:bookmarkStart w:id="78" w:name="_Toc455582597"/>
      <w:r>
        <w:t>2.4.5 SASKTRAN Radiative Transfer Model</w:t>
      </w:r>
      <w:bookmarkEnd w:id="77"/>
      <w:bookmarkEnd w:id="78"/>
    </w:p>
    <w:p w14:paraId="3D5808A8" w14:textId="77777777" w:rsidR="00454F91" w:rsidRDefault="00454F91" w:rsidP="00AB70C3">
      <w:pPr>
        <w:pStyle w:val="BodyText"/>
        <w:jc w:val="both"/>
      </w:pPr>
      <w:r>
        <w:t xml:space="preserve">The SASKTRAN radiative transfer was first developed to solve the scalar radiative transfer equation in a fully spherical atmosphere for both single and multiple scatter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sunlight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7550F1F0" w14:textId="77777777" w:rsidR="00454F91" w:rsidRDefault="00454F91" w:rsidP="00AB70C3">
      <w:pPr>
        <w:pStyle w:val="BodyText"/>
        <w:jc w:val="both"/>
      </w:pPr>
      <w:r>
        <w:t>Recent upgrades have been performed on SASKTRAN and have led to a new engine known as SASKTRAN High Resolution or SASKTRAN-HR (</w:t>
      </w:r>
      <w:r w:rsidRPr="005C4C73">
        <w:rPr>
          <w:i/>
        </w:rPr>
        <w:t>Zawada et al.</w:t>
      </w:r>
      <w:r>
        <w:t>, 2015) which has expanded the model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true variances observed in the atmosphere. </w:t>
      </w:r>
    </w:p>
    <w:p w14:paraId="3D5E8D62" w14:textId="77777777" w:rsidR="00454F91" w:rsidRPr="00BA54C2" w:rsidRDefault="00454F91" w:rsidP="00AB70C3">
      <w:pPr>
        <w:pStyle w:val="BodyText"/>
        <w:jc w:val="both"/>
      </w:pPr>
      <w:r>
        <w:t>The most important update to the SASKTRAN-HR model for this work is the addition of the ability to calculate the vector or polarized radiances (</w:t>
      </w:r>
      <w:r w:rsidRPr="005C4C73">
        <w:rPr>
          <w:i/>
        </w:rPr>
        <w:t>Dueck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preforms polarized calculations up to an arbitrary order scattering interaction, all scattering past this arbitrary scattering are assumed to be scalar. </w:t>
      </w:r>
    </w:p>
    <w:p w14:paraId="6F62B28E" w14:textId="77777777" w:rsidR="00454F91" w:rsidRDefault="00454F91" w:rsidP="003D416A">
      <w:pPr>
        <w:pStyle w:val="Heading1"/>
      </w:pPr>
      <w:bookmarkStart w:id="79" w:name="_Toc452973724"/>
      <w:bookmarkStart w:id="80" w:name="_Toc455582598"/>
      <w:r>
        <w:t>2.5 ALI Prototype Instrument and Stratospheric Balloon Flight</w:t>
      </w:r>
      <w:bookmarkEnd w:id="79"/>
      <w:bookmarkEnd w:id="80"/>
    </w:p>
    <w:bookmarkEnd w:id="33"/>
    <w:bookmarkEnd w:id="34"/>
    <w:bookmarkEnd w:id="35"/>
    <w:p w14:paraId="3868D624" w14:textId="77777777" w:rsidR="00454F91" w:rsidRDefault="00454F91" w:rsidP="00F21E9F">
      <w:pPr>
        <w:pStyle w:val="BodyText"/>
        <w:jc w:val="both"/>
      </w:pPr>
      <w:r>
        <w:t>The work presented here is focused on the design of the Aerosol Limb Imager (ALI), a polarized limb scatter instrument that spectrally images the atmosphere. The central feature of ALI is the use of the novel technology known as an AOTF which has the ability to rapidly select the central filtered wavelength with no moving parts. AOTFs have recently been developed with large apertures and high quality crystals allowing for imaging capabilities that permits AOTF use in new applications, such as the ALI instrument, with the ability to achieve sub-kilometer resolution, both horizontally and vertically. The AOTF technology operates efficiently in the red to near infrared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28EBF3ED" w14:textId="77777777" w:rsidR="00454F91" w:rsidRDefault="00454F91" w:rsidP="008B011C">
      <w:pPr>
        <w:pStyle w:val="Heading2"/>
      </w:pPr>
      <w:bookmarkStart w:id="81" w:name="_Toc455582599"/>
      <w:r>
        <w:t>2.5.1 ALI Specifications</w:t>
      </w:r>
      <w:bookmarkEnd w:id="81"/>
    </w:p>
    <w:p w14:paraId="7EF9A48F" w14:textId="77777777" w:rsidR="00454F91" w:rsidRDefault="00454F91" w:rsidP="00F21E9F">
      <w:pPr>
        <w:pStyle w:val="BodyText"/>
        <w:jc w:val="both"/>
      </w:pPr>
      <w:r>
        <w:t xml:space="preserve">The goal of ALI is a future satellite mission to be able to monitor aerosol concentration and microphysics globally from space, however the ALI presented here has been designed for a stratospheric balloon platform since it was the only available platform for testing. This platform has resulted in some changes to the required design parameters for the instrument. To sufficiently measure spectral radiance from a stratospheric balloon platform the following specifications and their relevance will be described below. </w:t>
      </w:r>
    </w:p>
    <w:p w14:paraId="4A2AFD81" w14:textId="77777777" w:rsidR="00454F91" w:rsidRDefault="00454F91" w:rsidP="00F21E9F">
      <w:pPr>
        <w:pStyle w:val="BodyText"/>
        <w:jc w:val="both"/>
      </w:pPr>
      <w:r>
        <w:t>The balloon is estimated to have a float altitude of 35 km and ALI will need to measure the atmosphere from a tangent altitude of the ground or 0 km to the float altitude of 35 km. This results in ALI needing a minimum vertical field of view of 6</w:t>
      </w:r>
      <w:r>
        <w:rPr>
          <w:vertAlign w:val="superscript"/>
        </w:rPr>
        <w:t>◦</w:t>
      </w:r>
      <w:r>
        <w:t xml:space="preserve"> to measure the entire region of interest. It is important to note that for a satellite platform the required field of view would be reduce to approximately 1</w:t>
      </w:r>
      <w:r>
        <w:rPr>
          <w:vertAlign w:val="superscript"/>
        </w:rPr>
        <w:t>◦</w:t>
      </w:r>
      <w:r>
        <w:t>. Further, the aerosol structural features discussed in section 2.2 are generally on the order of a kilometer and to resolve these features a minimum spatial resolution of 250 m is required. Similar specifications are used for the horizontal (cross-track) direction to be able to maintain optical unity and allow the use of spherical optics.</w:t>
      </w:r>
    </w:p>
    <w:p w14:paraId="6E4C2BEE" w14:textId="77777777" w:rsidR="00454F91" w:rsidRDefault="00454F91" w:rsidP="00B611F6">
      <w:pPr>
        <w:pStyle w:val="BodyText"/>
        <w:jc w:val="both"/>
      </w:pPr>
      <w:r>
        <w:t xml:space="preserve">Spectrally, aerosol particles scatter over a broadband range; however particle sensitivity, which is currently hard to determine, increases with the near IR measurements. ALI will be able to measure wavelengths from 600-1200 nm. Since the aerosol (Mie) scattering cross section varies slowly with wavelength, measurements at every 25-50 nm within the range are required. Furthermore, this slow varying cross section also allows low spectral resolution with a spectral bandpass requirement of less than 10 nm.  </w:t>
      </w:r>
    </w:p>
    <w:p w14:paraId="7B3E4324" w14:textId="77777777" w:rsidR="00454F91" w:rsidRDefault="00454F91" w:rsidP="00B611F6">
      <w:pPr>
        <w:pStyle w:val="BodyText"/>
        <w:jc w:val="both"/>
      </w:pPr>
      <w:r>
        <w:t>The nature of measuring limb scattered images results in a situation where the lower altitudes have high signal and the upper altitude have low signal. Therefore signal to noise levels are the most important at the high altitudes due to the exponential drop-off of signal. The highest measurement altitudes (</w:t>
      </w:r>
      <w:r>
        <w:rPr>
          <w:i/>
        </w:rPr>
        <w:t>i.e.</w:t>
      </w:r>
      <w:r>
        <w:t xml:space="preserve"> 30-35 km) require that the signal to noise ratio must remain above 1 to be able to use these high altitude measurements to determine aerosol extinction. Additionally the system will be able to take an image on the order of a second to achieve a high number of measurements.</w:t>
      </w:r>
    </w:p>
    <w:p w14:paraId="1EA2BBAF" w14:textId="77777777" w:rsidR="00454F91" w:rsidRPr="00B611F6" w:rsidRDefault="00454F91" w:rsidP="00B611F6">
      <w:pPr>
        <w:pStyle w:val="BodyText"/>
        <w:jc w:val="both"/>
      </w:pPr>
      <w:r>
        <w:t>Finally, due to the limitations of the stratospheric balloon platform both mass, power consumption, and thermal rages are a concern. The balloon platform can only sustain so such mass and has a limited amount of power. As such ALI total mass must remain below 50 kg and power draw below 80 W is required. Furthermore, the balloon will be floating in atmospheric conditions that are colder than -40</w:t>
      </w:r>
      <w:r>
        <w:rPr>
          <w:vertAlign w:val="superscript"/>
        </w:rPr>
        <w:t>◦</w:t>
      </w:r>
      <w:r>
        <w:t xml:space="preserve">C resulting in freezing concerns. Additionally, heating from direct sunlight can bake the instrument resulting in concerns of overheating. In order to mitigate these concerns ALI must be thermally stable. </w:t>
      </w:r>
    </w:p>
    <w:p w14:paraId="6406E8F0" w14:textId="77777777" w:rsidR="00454F91" w:rsidRDefault="00454F91" w:rsidP="008B011C">
      <w:pPr>
        <w:pStyle w:val="Heading2"/>
      </w:pPr>
      <w:bookmarkStart w:id="82" w:name="_Toc455582600"/>
      <w:r>
        <w:t>2.5.2 ALI Instrument Design Process Overview</w:t>
      </w:r>
      <w:bookmarkEnd w:id="82"/>
    </w:p>
    <w:p w14:paraId="78231A26" w14:textId="77777777" w:rsidR="00454F91" w:rsidRDefault="00454F91" w:rsidP="00D80315">
      <w:pPr>
        <w:pStyle w:val="BodyText"/>
        <w:jc w:val="both"/>
      </w:pPr>
      <w:r>
        <w:t>The AOTF provides a novel and new method of being able to record spectral images of the atmosphere. However, the use of an AOTF has specific optical requirements which complicates the optical design on the system. A large focus of this work is the designing and testing of the optical system to verify excellent performance with the AOTF which is the focus of Chapter 3. Once the optical design is finalized, calibration is undergone and control software is written to prepare ALI for its stratospheric balloon flight from Timmins, Ontario in 2014 and is the focus of Chapter 4. Additionally, Chapter 5 is focused on the stratospheric balloon launch and post-flight analysis including raw image conversion and the retrieving of aerosol. The retrieved aerosol is compared to OSIRIS measurements to verify the quality of the measurements recorded by ALI. Finally, since ALI inherently measures polarized radiance due to the nature of the AOTF, special consideration had to be given to the orientation of the AOTF within the system. Measuring a linear polarized light instead of measuring the total radiance, like current generation instruments, changes the sensitivity of the instrument to measure aerosol. To verify good sensitivity to aerosol during the future space missions a study was performed, contained in Chapter 6, to determine the advantages and disadvantages to measuring linear polarized light instead of the total radiance.</w:t>
      </w:r>
    </w:p>
    <w:p w14:paraId="75AF1146" w14:textId="77777777" w:rsidR="00454F91" w:rsidRDefault="00454F91" w:rsidP="00E46AB9">
      <w:pPr>
        <w:pStyle w:val="BodyText"/>
        <w:jc w:val="both"/>
      </w:pPr>
    </w:p>
    <w:p w14:paraId="583692CE" w14:textId="77777777" w:rsidR="00454F91" w:rsidRPr="00BA54C2" w:rsidRDefault="00454F91" w:rsidP="00E46AB9">
      <w:pPr>
        <w:pStyle w:val="BodyText"/>
        <w:jc w:val="both"/>
        <w:rPr>
          <w:lang w:val="en-CA"/>
        </w:rPr>
        <w:sectPr w:rsidR="00454F91" w:rsidRPr="00BA54C2" w:rsidSect="00880845">
          <w:headerReference w:type="default" r:id="rId16"/>
          <w:footerReference w:type="first" r:id="rId17"/>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8"/>
      <w:footerReference w:type="first" r:id="rId1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Elash, Brenden" w:date="2016-06-08T15:32:00Z" w:initials="EB">
    <w:p w14:paraId="42809133" w14:textId="77777777" w:rsidR="00454F91" w:rsidRDefault="00454F91">
      <w:pPr>
        <w:pStyle w:val="CommentText"/>
      </w:pPr>
      <w:r>
        <w:rPr>
          <w:rStyle w:val="CommentReference"/>
        </w:rPr>
        <w:annotationRef/>
      </w:r>
      <w:r>
        <w:t>NOTE: Some of the figures may be in weird spots now. I will fix that when we are set on the edits.</w:t>
      </w:r>
    </w:p>
  </w:comment>
  <w:comment w:id="7" w:author="Elash, Brenden" w:date="2016-06-08T10:28:00Z" w:initials="EB">
    <w:p w14:paraId="594F3136" w14:textId="77777777" w:rsidR="00454F91" w:rsidRDefault="00454F91">
      <w:pPr>
        <w:pStyle w:val="CommentText"/>
      </w:pPr>
      <w:r>
        <w:rPr>
          <w:rStyle w:val="CommentReference"/>
        </w:rPr>
        <w:annotationRef/>
      </w:r>
      <w:r>
        <w:t>ADAM: reference</w:t>
      </w:r>
    </w:p>
    <w:p w14:paraId="4E1FBCBB" w14:textId="77777777" w:rsidR="00454F91" w:rsidRDefault="00454F91">
      <w:pPr>
        <w:pStyle w:val="CommentText"/>
      </w:pPr>
      <w:r>
        <w:t>Re: Added</w:t>
      </w:r>
    </w:p>
  </w:comment>
  <w:comment w:id="8" w:author="Elash, Brenden" w:date="2016-06-08T10:29:00Z" w:initials="EB">
    <w:p w14:paraId="32984327" w14:textId="77777777" w:rsidR="00454F91" w:rsidRDefault="00454F91" w:rsidP="00D62BA2">
      <w:pPr>
        <w:pStyle w:val="CommentText"/>
      </w:pPr>
      <w:r>
        <w:rPr>
          <w:rStyle w:val="CommentReference"/>
        </w:rPr>
        <w:annotationRef/>
      </w:r>
      <w:r>
        <w:t>ADAM: again, reference</w:t>
      </w:r>
    </w:p>
    <w:p w14:paraId="1654F441" w14:textId="77777777" w:rsidR="00454F91" w:rsidRDefault="00454F91" w:rsidP="00D62BA2">
      <w:pPr>
        <w:pStyle w:val="CommentText"/>
      </w:pPr>
      <w:r>
        <w:t>Re: Added</w:t>
      </w:r>
    </w:p>
    <w:p w14:paraId="542B2739" w14:textId="77777777" w:rsidR="00454F91" w:rsidRDefault="00454F91">
      <w:pPr>
        <w:pStyle w:val="CommentText"/>
      </w:pPr>
    </w:p>
  </w:comment>
  <w:comment w:id="9" w:author="Elash, Brenden" w:date="2016-06-08T10:33:00Z" w:initials="EB">
    <w:p w14:paraId="168C85BC" w14:textId="77777777" w:rsidR="00454F91" w:rsidRDefault="00454F91">
      <w:pPr>
        <w:pStyle w:val="CommentText"/>
      </w:pPr>
      <w:r>
        <w:rPr>
          <w:rStyle w:val="CommentReference"/>
        </w:rPr>
        <w:annotationRef/>
      </w:r>
      <w:r>
        <w:rPr>
          <w:rStyle w:val="CommentReference"/>
        </w:rPr>
        <w:t xml:space="preserve">ADAM: </w:t>
      </w:r>
      <w:r>
        <w:t>Not exactly true.  Definitely the case for meridional circulation but the zonal circulation is much much faster.</w:t>
      </w:r>
    </w:p>
    <w:p w14:paraId="27F3307A" w14:textId="77777777" w:rsidR="00454F91" w:rsidRDefault="00454F91">
      <w:pPr>
        <w:pStyle w:val="CommentText"/>
      </w:pPr>
      <w:r>
        <w:t>Re: True, I have change the sentence to reflect this.</w:t>
      </w:r>
    </w:p>
  </w:comment>
  <w:comment w:id="12" w:author="Elash, Brenden" w:date="2016-06-08T10:35:00Z" w:initials="EB">
    <w:p w14:paraId="37976E1F" w14:textId="77777777" w:rsidR="00454F91" w:rsidRDefault="00454F91">
      <w:pPr>
        <w:pStyle w:val="CommentText"/>
      </w:pPr>
      <w:r>
        <w:rPr>
          <w:rStyle w:val="CommentReference"/>
        </w:rPr>
        <w:annotationRef/>
      </w:r>
      <w:r>
        <w:t>ADAM: This statement leaves me hanging about the stratospheric impact</w:t>
      </w:r>
    </w:p>
    <w:p w14:paraId="47685EC6" w14:textId="77777777" w:rsidR="00454F91" w:rsidRDefault="00454F91">
      <w:pPr>
        <w:pStyle w:val="CommentText"/>
      </w:pPr>
      <w:r>
        <w:t>Re: Fair I have added an additional statement</w:t>
      </w:r>
    </w:p>
  </w:comment>
  <w:comment w:id="13" w:author="Elash, Brenden" w:date="2016-06-08T10:37:00Z" w:initials="EB">
    <w:p w14:paraId="0A089EA9" w14:textId="77777777" w:rsidR="00454F91" w:rsidRDefault="00454F91">
      <w:pPr>
        <w:pStyle w:val="CommentText"/>
      </w:pPr>
      <w:r>
        <w:rPr>
          <w:rStyle w:val="CommentReference"/>
        </w:rPr>
        <w:annotationRef/>
      </w:r>
      <w:r>
        <w:t>ADAM: Add statement about hydroxyl chemistry to convert to sulfate aerosol.</w:t>
      </w:r>
    </w:p>
    <w:p w14:paraId="07BB6CE0" w14:textId="77777777" w:rsidR="00454F91" w:rsidRDefault="00454F91">
      <w:pPr>
        <w:pStyle w:val="CommentText"/>
      </w:pPr>
      <w:r>
        <w:t>Re: Done</w:t>
      </w:r>
    </w:p>
  </w:comment>
  <w:comment w:id="14" w:author="Elash, Brenden" w:date="2016-06-08T10:38:00Z" w:initials="EB">
    <w:p w14:paraId="3C4C78AF" w14:textId="77777777" w:rsidR="00454F91" w:rsidRDefault="00454F91">
      <w:pPr>
        <w:pStyle w:val="CommentText"/>
      </w:pPr>
      <w:r>
        <w:rPr>
          <w:rStyle w:val="CommentReference"/>
        </w:rPr>
        <w:annotationRef/>
      </w:r>
      <w:r>
        <w:t>ADAM: Add refs for Nabro, and Calbuco and Kelut if you can find them.</w:t>
      </w:r>
    </w:p>
    <w:p w14:paraId="5CBEAAF6" w14:textId="77777777" w:rsidR="00454F91" w:rsidRDefault="00454F91">
      <w:pPr>
        <w:pStyle w:val="CommentText"/>
      </w:pPr>
      <w:r>
        <w:t>Re: I did and also added Kasatochi because it seemed relevant</w:t>
      </w:r>
    </w:p>
  </w:comment>
  <w:comment w:id="16" w:author="Elash, Brenden" w:date="2016-06-08T10:56:00Z" w:initials="EB">
    <w:p w14:paraId="19B193F5" w14:textId="77777777" w:rsidR="00454F91" w:rsidRDefault="00454F91"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C85E9C2" w14:textId="77777777" w:rsidR="00454F91" w:rsidRDefault="00454F91">
      <w:pPr>
        <w:pStyle w:val="CommentText"/>
      </w:pPr>
      <w:r>
        <w:t>Re: The standard particle size parameters we use. I have moved it.</w:t>
      </w:r>
    </w:p>
  </w:comment>
  <w:comment w:id="17" w:author="Elash, Brenden" w:date="2016-06-08T11:01:00Z" w:initials="EB">
    <w:p w14:paraId="48658374" w14:textId="77777777" w:rsidR="00454F91" w:rsidRDefault="00454F91" w:rsidP="004248EE">
      <w:pPr>
        <w:pStyle w:val="CommentText"/>
      </w:pPr>
      <w:r>
        <w:rPr>
          <w:rStyle w:val="CommentReference"/>
        </w:rPr>
        <w:annotationRef/>
      </w:r>
      <w:r>
        <w:t>ADAM: Should this be a new section.</w:t>
      </w:r>
    </w:p>
    <w:p w14:paraId="7970DA05" w14:textId="77777777" w:rsidR="00454F91" w:rsidRDefault="00454F91" w:rsidP="004248EE">
      <w:pPr>
        <w:pStyle w:val="CommentText"/>
      </w:pPr>
      <w:r>
        <w:t>Re: If it is a new section, would you suggest particle size distribution? This is what I was thinking and have put the spilt in an apocopate place. Or maybe you were thinking something else?</w:t>
      </w:r>
    </w:p>
  </w:comment>
  <w:comment w:id="18" w:author="Elash, Brenden" w:date="2016-06-08T11:01:00Z" w:initials="EB">
    <w:p w14:paraId="7968ECB2" w14:textId="77777777" w:rsidR="00454F91" w:rsidRDefault="00454F91" w:rsidP="004248EE">
      <w:pPr>
        <w:pStyle w:val="CommentText"/>
      </w:pPr>
      <w:r>
        <w:rPr>
          <w:rStyle w:val="CommentReference"/>
        </w:rPr>
        <w:annotationRef/>
      </w:r>
      <w:r>
        <w:t>ADAM: Define OPC</w:t>
      </w:r>
    </w:p>
    <w:p w14:paraId="494D64AC" w14:textId="77777777" w:rsidR="00454F91" w:rsidRDefault="00454F91" w:rsidP="004248EE">
      <w:pPr>
        <w:pStyle w:val="CommentText"/>
      </w:pPr>
      <w:r>
        <w:t>Re: Done</w:t>
      </w:r>
    </w:p>
  </w:comment>
  <w:comment w:id="19" w:author="Elash, Brenden" w:date="2016-06-08T11:03:00Z" w:initials="EB">
    <w:p w14:paraId="391BE5A3" w14:textId="77777777" w:rsidR="00454F91" w:rsidRDefault="00454F91" w:rsidP="004248EE">
      <w:pPr>
        <w:pStyle w:val="CommentText"/>
      </w:pPr>
      <w:r>
        <w:rPr>
          <w:rStyle w:val="CommentReference"/>
        </w:rPr>
        <w:annotationRef/>
      </w:r>
      <w:r>
        <w:t>ADAM: Reference one of the Deshler papers right away</w:t>
      </w:r>
    </w:p>
    <w:p w14:paraId="7E457F2B" w14:textId="77777777" w:rsidR="00454F91" w:rsidRDefault="00454F91" w:rsidP="004248EE">
      <w:pPr>
        <w:pStyle w:val="CommentText"/>
      </w:pPr>
      <w:r>
        <w:t>Re: Done</w:t>
      </w:r>
    </w:p>
  </w:comment>
  <w:comment w:id="20" w:author="Elash, Brenden" w:date="2016-06-08T11:07:00Z" w:initials="EB">
    <w:p w14:paraId="4B2C9679" w14:textId="77777777" w:rsidR="00454F91" w:rsidRDefault="00454F91"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0895718F" w14:textId="77777777" w:rsidR="00454F91" w:rsidRDefault="00454F91" w:rsidP="004248EE">
      <w:pPr>
        <w:pStyle w:val="CommentText"/>
      </w:pPr>
      <w:r>
        <w:t>Re: I agree and have change the section slightly to accommodate this.</w:t>
      </w:r>
    </w:p>
  </w:comment>
  <w:comment w:id="30" w:author="Elash, Brenden" w:date="2016-06-08T15:18:00Z" w:initials="EB">
    <w:p w14:paraId="68322701" w14:textId="77777777" w:rsidR="00454F91" w:rsidRDefault="00454F91" w:rsidP="008B1FD5">
      <w:pPr>
        <w:pStyle w:val="CommentText"/>
      </w:pPr>
      <w:r>
        <w:rPr>
          <w:rStyle w:val="CommentReference"/>
        </w:rPr>
        <w:annotationRef/>
      </w:r>
      <w:r>
        <w:t>ADAM: Seems kind of weak.  Can you add a couple more sentences to make this a stronger statement ?</w:t>
      </w:r>
    </w:p>
    <w:p w14:paraId="670F4A12" w14:textId="77777777" w:rsidR="00454F91" w:rsidRDefault="00454F91">
      <w:pPr>
        <w:pStyle w:val="CommentText"/>
      </w:pPr>
      <w:r>
        <w:t>Re: I believe this is much better.</w:t>
      </w:r>
    </w:p>
  </w:comment>
  <w:comment w:id="36" w:author="Elash, Brenden" w:date="2016-06-08T15:19:00Z" w:initials="EB">
    <w:p w14:paraId="50998648" w14:textId="77777777" w:rsidR="00454F91" w:rsidRDefault="00454F91">
      <w:pPr>
        <w:pStyle w:val="CommentText"/>
      </w:pPr>
      <w:r>
        <w:rPr>
          <w:rStyle w:val="CommentReference"/>
        </w:rPr>
        <w:annotationRef/>
      </w:r>
      <w:r>
        <w:t>ADAM: Isn’t this two methods</w:t>
      </w:r>
    </w:p>
    <w:p w14:paraId="2CC147A8" w14:textId="77777777" w:rsidR="00454F91" w:rsidRDefault="00454F91">
      <w:pPr>
        <w:pStyle w:val="CommentText"/>
      </w:pPr>
      <w:r>
        <w:t>Re: Agree</w:t>
      </w:r>
    </w:p>
  </w:comment>
  <w:comment w:id="39" w:author="Elash, Brenden" w:date="2016-06-09T09:50:00Z" w:initials="EB">
    <w:p w14:paraId="0DE6C729" w14:textId="77777777" w:rsidR="00454F91" w:rsidRDefault="00454F91">
      <w:pPr>
        <w:pStyle w:val="CommentText"/>
      </w:pPr>
      <w:r>
        <w:rPr>
          <w:rStyle w:val="CommentReference"/>
        </w:rPr>
        <w:annotationRef/>
      </w:r>
      <w:r>
        <w:t>I am NOT sure I like this change I made here. It may be better to just remove the SOLOMON/AMON section since I no longer use this data. Your thoughts?</w:t>
      </w:r>
    </w:p>
  </w:comment>
  <w:comment w:id="40" w:author="Elash, Brenden" w:date="2016-06-08T11:22:00Z" w:initials="EB">
    <w:p w14:paraId="69731C2D" w14:textId="77777777" w:rsidR="00454F91" w:rsidRDefault="00454F91">
      <w:pPr>
        <w:pStyle w:val="CommentText"/>
      </w:pPr>
      <w:r>
        <w:rPr>
          <w:rStyle w:val="CommentReference"/>
        </w:rPr>
        <w:annotationRef/>
      </w:r>
      <w:r>
        <w:t>ADAM: Do the instruments “use” particle counters?</w:t>
      </w:r>
    </w:p>
  </w:comment>
  <w:comment w:id="41" w:author="Elash, Brenden" w:date="2016-06-08T11:23:00Z" w:initials="EB">
    <w:p w14:paraId="000CD19A" w14:textId="77777777" w:rsidR="00454F91" w:rsidRDefault="00454F91" w:rsidP="00835520">
      <w:pPr>
        <w:pStyle w:val="CommentText"/>
      </w:pPr>
      <w:r>
        <w:rPr>
          <w:rStyle w:val="CommentReference"/>
        </w:rPr>
        <w:annotationRef/>
      </w:r>
      <w:r>
        <w:t xml:space="preserve">ADAM: Not an in-situ measurement then. </w:t>
      </w:r>
    </w:p>
    <w:p w14:paraId="06D1BFF7" w14:textId="77777777" w:rsidR="00454F91" w:rsidRDefault="00454F91">
      <w:pPr>
        <w:pStyle w:val="CommentText"/>
      </w:pPr>
      <w:r>
        <w:t>Re: Agreed I have changed the section name to better reflect what this section is about</w:t>
      </w:r>
    </w:p>
  </w:comment>
  <w:comment w:id="48" w:author="Elash, Brenden" w:date="2016-06-08T11:25:00Z" w:initials="EB">
    <w:p w14:paraId="37BE10FE" w14:textId="77777777" w:rsidR="00454F91" w:rsidRDefault="00454F91">
      <w:pPr>
        <w:pStyle w:val="CommentText"/>
      </w:pPr>
      <w:r>
        <w:rPr>
          <w:rStyle w:val="CommentReference"/>
        </w:rPr>
        <w:annotationRef/>
      </w:r>
      <w:r>
        <w:t>ADAM: You didn’t say when the SAGE measurements started.</w:t>
      </w:r>
    </w:p>
    <w:p w14:paraId="119EB27E" w14:textId="77777777" w:rsidR="00454F91" w:rsidRDefault="00454F91">
      <w:pPr>
        <w:pStyle w:val="CommentText"/>
      </w:pPr>
      <w:r>
        <w:t>Re: Noted above.</w:t>
      </w:r>
    </w:p>
  </w:comment>
  <w:comment w:id="61" w:author="Elash, Brenden" w:date="2016-06-08T11:26:00Z" w:initials="EB">
    <w:p w14:paraId="1032415A" w14:textId="77777777" w:rsidR="00454F91" w:rsidRDefault="00454F91">
      <w:pPr>
        <w:pStyle w:val="CommentText"/>
      </w:pPr>
      <w:r>
        <w:rPr>
          <w:rStyle w:val="CommentReference"/>
        </w:rPr>
        <w:annotationRef/>
      </w:r>
      <w:r>
        <w:t>ADAM: Define</w:t>
      </w:r>
      <w:r>
        <w:br/>
        <w:t>Re: Done</w:t>
      </w:r>
    </w:p>
  </w:comment>
  <w:comment w:id="62" w:author="Elash, Brenden" w:date="2016-06-08T11:27:00Z" w:initials="EB">
    <w:p w14:paraId="7301C84C" w14:textId="77777777" w:rsidR="00454F91" w:rsidRDefault="00454F91"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66E0B10" w14:textId="77777777" w:rsidR="00454F91" w:rsidRDefault="00454F91">
      <w:pPr>
        <w:pStyle w:val="CommentText"/>
      </w:pPr>
    </w:p>
  </w:comment>
  <w:comment w:id="69" w:author="Elash, Brenden" w:date="2016-06-08T11:29:00Z" w:initials="EB">
    <w:p w14:paraId="66AB3D9A" w14:textId="77777777" w:rsidR="00454F91" w:rsidRDefault="00454F91" w:rsidP="0022229E">
      <w:pPr>
        <w:pStyle w:val="CommentText"/>
      </w:pPr>
      <w:r>
        <w:rPr>
          <w:rStyle w:val="CommentReference"/>
        </w:rPr>
        <w:annotationRef/>
      </w:r>
      <w:r>
        <w:t xml:space="preserve">ADAM: Make sure this spelling mistake is eradicated.  You do it often. </w:t>
      </w:r>
    </w:p>
    <w:p w14:paraId="52672026" w14:textId="77777777" w:rsidR="00454F91" w:rsidRDefault="00454F91">
      <w:pPr>
        <w:pStyle w:val="CommentText"/>
      </w:pPr>
    </w:p>
  </w:comment>
  <w:comment w:id="70" w:author="Elash, Brenden" w:date="2016-06-08T11:29:00Z" w:initials="EB">
    <w:p w14:paraId="59493E86" w14:textId="77777777" w:rsidR="00454F91" w:rsidRDefault="00454F91" w:rsidP="0094076C">
      <w:pPr>
        <w:pStyle w:val="CommentText"/>
      </w:pPr>
      <w:r>
        <w:rPr>
          <w:rStyle w:val="CommentReference"/>
        </w:rPr>
        <w:annotationRef/>
      </w:r>
      <w:r>
        <w:t xml:space="preserve">ADAM: Update from the paper. </w:t>
      </w:r>
    </w:p>
    <w:p w14:paraId="69F08A05" w14:textId="77777777" w:rsidR="00454F91" w:rsidRDefault="00454F91">
      <w:pPr>
        <w:pStyle w:val="CommentText"/>
      </w:pPr>
      <w:r>
        <w:t>Re: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09133" w15:done="0"/>
  <w15:commentEx w15:paraId="4E1FBCBB" w15:done="0"/>
  <w15:commentEx w15:paraId="542B2739" w15:done="0"/>
  <w15:commentEx w15:paraId="27F3307A" w15:done="0"/>
  <w15:commentEx w15:paraId="47685EC6" w15:done="0"/>
  <w15:commentEx w15:paraId="07BB6CE0" w15:done="0"/>
  <w15:commentEx w15:paraId="5CBEAAF6" w15:done="0"/>
  <w15:commentEx w15:paraId="4C85E9C2" w15:done="0"/>
  <w15:commentEx w15:paraId="7970DA05" w15:done="0"/>
  <w15:commentEx w15:paraId="494D64AC" w15:done="0"/>
  <w15:commentEx w15:paraId="7E457F2B" w15:done="0"/>
  <w15:commentEx w15:paraId="0895718F" w15:done="0"/>
  <w15:commentEx w15:paraId="670F4A12" w15:done="0"/>
  <w15:commentEx w15:paraId="2CC147A8" w15:done="0"/>
  <w15:commentEx w15:paraId="0DE6C729" w15:done="0"/>
  <w15:commentEx w15:paraId="69731C2D" w15:done="0"/>
  <w15:commentEx w15:paraId="06D1BFF7" w15:done="0"/>
  <w15:commentEx w15:paraId="119EB27E" w15:done="0"/>
  <w15:commentEx w15:paraId="1032415A" w15:done="0"/>
  <w15:commentEx w15:paraId="266E0B10" w15:done="0"/>
  <w15:commentEx w15:paraId="52672026" w15:done="0"/>
  <w15:commentEx w15:paraId="69F08A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4E84" w14:textId="77777777" w:rsidR="0096436B" w:rsidRDefault="0096436B">
      <w:r>
        <w:separator/>
      </w:r>
    </w:p>
  </w:endnote>
  <w:endnote w:type="continuationSeparator" w:id="0">
    <w:p w14:paraId="4E1506D8" w14:textId="77777777" w:rsidR="0096436B" w:rsidRDefault="0096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5464" w14:textId="77777777" w:rsidR="00454F91" w:rsidRDefault="00454F9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3321F6" w:rsidRDefault="003321F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5F76A" w14:textId="77777777" w:rsidR="0096436B" w:rsidRDefault="0096436B">
      <w:r>
        <w:separator/>
      </w:r>
    </w:p>
  </w:footnote>
  <w:footnote w:type="continuationSeparator" w:id="0">
    <w:p w14:paraId="6482FC4B" w14:textId="77777777" w:rsidR="0096436B" w:rsidRDefault="00964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EDF" w14:textId="77777777" w:rsidR="00454F91" w:rsidRDefault="00454F9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3321F6" w:rsidRDefault="003321F6">
    <w:pPr>
      <w:pStyle w:val="Header"/>
    </w:pPr>
    <w:r>
      <w:rPr>
        <w:rStyle w:val="PageNumber"/>
      </w:rPr>
      <w:fldChar w:fldCharType="begin"/>
    </w:r>
    <w:r>
      <w:rPr>
        <w:rStyle w:val="PageNumber"/>
      </w:rPr>
      <w:instrText xml:space="preserve"> PAGE </w:instrText>
    </w:r>
    <w:r>
      <w:rPr>
        <w:rStyle w:val="PageNumber"/>
      </w:rPr>
      <w:fldChar w:fldCharType="separate"/>
    </w:r>
    <w:r w:rsidR="00D80315">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141A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C77C9"/>
    <w:rsid w:val="000D5FAB"/>
    <w:rsid w:val="000E00D9"/>
    <w:rsid w:val="000E7F58"/>
    <w:rsid w:val="001203C4"/>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57C6"/>
    <w:rsid w:val="00256D95"/>
    <w:rsid w:val="00267F43"/>
    <w:rsid w:val="0028014F"/>
    <w:rsid w:val="002874EA"/>
    <w:rsid w:val="00297320"/>
    <w:rsid w:val="002A3A79"/>
    <w:rsid w:val="002A4AD3"/>
    <w:rsid w:val="002B1B85"/>
    <w:rsid w:val="002B3FC6"/>
    <w:rsid w:val="002B54E1"/>
    <w:rsid w:val="002B638F"/>
    <w:rsid w:val="002C2E94"/>
    <w:rsid w:val="002D0D19"/>
    <w:rsid w:val="002D64DC"/>
    <w:rsid w:val="002D6CE5"/>
    <w:rsid w:val="002D78AB"/>
    <w:rsid w:val="002E1B31"/>
    <w:rsid w:val="002F128C"/>
    <w:rsid w:val="002F308D"/>
    <w:rsid w:val="002F7F31"/>
    <w:rsid w:val="00306434"/>
    <w:rsid w:val="00313BD2"/>
    <w:rsid w:val="00314761"/>
    <w:rsid w:val="00321E61"/>
    <w:rsid w:val="003321F6"/>
    <w:rsid w:val="00342CD1"/>
    <w:rsid w:val="0035331A"/>
    <w:rsid w:val="0036776F"/>
    <w:rsid w:val="003679D5"/>
    <w:rsid w:val="00371DAA"/>
    <w:rsid w:val="00372AC4"/>
    <w:rsid w:val="003774F7"/>
    <w:rsid w:val="00391DFA"/>
    <w:rsid w:val="00394B95"/>
    <w:rsid w:val="00396EA0"/>
    <w:rsid w:val="003A1A1B"/>
    <w:rsid w:val="003A4D25"/>
    <w:rsid w:val="003A7905"/>
    <w:rsid w:val="003B628F"/>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305D"/>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02A"/>
    <w:rsid w:val="007A74EB"/>
    <w:rsid w:val="007C0365"/>
    <w:rsid w:val="007C05BD"/>
    <w:rsid w:val="007D0D67"/>
    <w:rsid w:val="007D66C9"/>
    <w:rsid w:val="007D7A33"/>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4A15"/>
    <w:rsid w:val="0085709F"/>
    <w:rsid w:val="00870629"/>
    <w:rsid w:val="00873FCE"/>
    <w:rsid w:val="00874917"/>
    <w:rsid w:val="00875DD6"/>
    <w:rsid w:val="00880845"/>
    <w:rsid w:val="00883C1D"/>
    <w:rsid w:val="008923B0"/>
    <w:rsid w:val="00892B43"/>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82F29"/>
    <w:rsid w:val="0098348A"/>
    <w:rsid w:val="00990771"/>
    <w:rsid w:val="00991614"/>
    <w:rsid w:val="00993EEF"/>
    <w:rsid w:val="009A0793"/>
    <w:rsid w:val="009B75AC"/>
    <w:rsid w:val="009C0863"/>
    <w:rsid w:val="009C3B73"/>
    <w:rsid w:val="009C3CFE"/>
    <w:rsid w:val="009C65F3"/>
    <w:rsid w:val="009D4D5E"/>
    <w:rsid w:val="009D70A2"/>
    <w:rsid w:val="009D71BA"/>
    <w:rsid w:val="009E691F"/>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1F6"/>
    <w:rsid w:val="00B61652"/>
    <w:rsid w:val="00B6277D"/>
    <w:rsid w:val="00B648AE"/>
    <w:rsid w:val="00B65FEF"/>
    <w:rsid w:val="00B73279"/>
    <w:rsid w:val="00B75B67"/>
    <w:rsid w:val="00B802C7"/>
    <w:rsid w:val="00B83AF5"/>
    <w:rsid w:val="00B87FEE"/>
    <w:rsid w:val="00B90AA2"/>
    <w:rsid w:val="00B9205B"/>
    <w:rsid w:val="00B96323"/>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94AB1"/>
    <w:rsid w:val="00CA3F4D"/>
    <w:rsid w:val="00CA402F"/>
    <w:rsid w:val="00CA6687"/>
    <w:rsid w:val="00CA79A7"/>
    <w:rsid w:val="00CB3CBE"/>
    <w:rsid w:val="00CB6418"/>
    <w:rsid w:val="00CB7E85"/>
    <w:rsid w:val="00CC3714"/>
    <w:rsid w:val="00CC6677"/>
    <w:rsid w:val="00CD347B"/>
    <w:rsid w:val="00CD48EF"/>
    <w:rsid w:val="00CD4D6C"/>
    <w:rsid w:val="00CE1F87"/>
    <w:rsid w:val="00CE29C6"/>
    <w:rsid w:val="00CE2D48"/>
    <w:rsid w:val="00CE368C"/>
    <w:rsid w:val="00CE3695"/>
    <w:rsid w:val="00CF2784"/>
    <w:rsid w:val="00CF4654"/>
    <w:rsid w:val="00CF48CD"/>
    <w:rsid w:val="00D142BD"/>
    <w:rsid w:val="00D15330"/>
    <w:rsid w:val="00D22465"/>
    <w:rsid w:val="00D266E7"/>
    <w:rsid w:val="00D400FE"/>
    <w:rsid w:val="00D4123E"/>
    <w:rsid w:val="00D4434E"/>
    <w:rsid w:val="00D4722C"/>
    <w:rsid w:val="00D505EA"/>
    <w:rsid w:val="00D54B14"/>
    <w:rsid w:val="00D62BA2"/>
    <w:rsid w:val="00D70117"/>
    <w:rsid w:val="00D721D4"/>
    <w:rsid w:val="00D72942"/>
    <w:rsid w:val="00D75640"/>
    <w:rsid w:val="00D80315"/>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DF5AC3"/>
    <w:rsid w:val="00E00F68"/>
    <w:rsid w:val="00E00FBB"/>
    <w:rsid w:val="00E01DAF"/>
    <w:rsid w:val="00E10A8C"/>
    <w:rsid w:val="00E15F55"/>
    <w:rsid w:val="00E200DF"/>
    <w:rsid w:val="00E22043"/>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233AC"/>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1F3A-8684-485C-8D5E-8001FAB3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22113</TotalTime>
  <Pages>1</Pages>
  <Words>7764</Words>
  <Characters>44256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55</cp:revision>
  <dcterms:created xsi:type="dcterms:W3CDTF">2015-08-27T21:13:00Z</dcterms:created>
  <dcterms:modified xsi:type="dcterms:W3CDTF">2016-07-06T21:35:00Z</dcterms:modified>
</cp:coreProperties>
</file>