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D7" w:rsidRPr="007E1609" w:rsidRDefault="00A765D7" w:rsidP="005B3B3A">
      <w:pPr>
        <w:pStyle w:val="ONEINCHSPACER"/>
        <w:spacing w:before="0"/>
        <w:jc w:val="center"/>
        <w:rPr>
          <w:sz w:val="36"/>
          <w:szCs w:val="36"/>
        </w:rPr>
      </w:pPr>
      <w:r w:rsidRPr="007E1609">
        <w:rPr>
          <w:sz w:val="36"/>
          <w:szCs w:val="36"/>
        </w:rPr>
        <w:t>CHAPTER 2</w:t>
      </w:r>
    </w:p>
    <w:p w:rsidR="00A765D7" w:rsidRPr="007E1609" w:rsidRDefault="00A765D7">
      <w:pPr>
        <w:pStyle w:val="CHAPTERTITLE"/>
        <w:rPr>
          <w:sz w:val="36"/>
          <w:szCs w:val="36"/>
        </w:rPr>
      </w:pPr>
      <w:bookmarkStart w:id="0" w:name="_Toc442187627"/>
      <w:r w:rsidRPr="007E1609">
        <w:rPr>
          <w:sz w:val="36"/>
          <w:szCs w:val="36"/>
        </w:rPr>
        <w:t>BACKGROUND</w:t>
      </w:r>
      <w:bookmarkEnd w:id="0"/>
    </w:p>
    <w:p w:rsidR="00A765D7" w:rsidRDefault="00A765D7" w:rsidP="007E1609">
      <w:pPr>
        <w:pStyle w:val="Heading1"/>
      </w:pPr>
      <w:bookmarkStart w:id="1" w:name="_Toc442187628"/>
      <w:r>
        <w:t>2.1 Introduction</w:t>
      </w:r>
      <w:bookmarkEnd w:id="1"/>
    </w:p>
    <w:p w:rsidR="00A765D7" w:rsidRDefault="00A765D7"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A765D7" w:rsidRDefault="00A765D7"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00F515A1">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A765D7" w:rsidRDefault="00A765D7"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A765D7" w:rsidRDefault="00A765D7"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A765D7" w:rsidRDefault="00A765D7"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A765D7" w:rsidRPr="008C65D4" w:rsidRDefault="00A765D7"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A765D7" w:rsidRDefault="00A765D7" w:rsidP="007E1609">
      <w:pPr>
        <w:pStyle w:val="Heading1"/>
      </w:pPr>
      <w:bookmarkStart w:id="2" w:name="_Toc442187629"/>
      <w:r>
        <w:lastRenderedPageBreak/>
        <w:t>2.2 Stratospheric Aerosol</w:t>
      </w:r>
      <w:bookmarkEnd w:id="2"/>
    </w:p>
    <w:p w:rsidR="00A765D7" w:rsidRDefault="00A765D7"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which were noisy and unreliable due to the technology available, to discover this mysterious altitude in the atmosphere</w:t>
      </w:r>
      <w:proofErr w:type="gramStart"/>
      <w:r>
        <w:t>,.</w:t>
      </w:r>
      <w:proofErr w:type="gramEnd"/>
      <w:r>
        <w:t xml:space="preserv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proofErr w:type="spellStart"/>
      <w:r w:rsidRPr="00342CD1">
        <w:rPr>
          <w:i/>
        </w:rPr>
        <w:t>Hoinka</w:t>
      </w:r>
      <w:proofErr w:type="spellEnd"/>
      <w:r>
        <w:t>, 1997). The stratosphere is the region of the atmosphere above the temperature inversion of the troposphere, where atmospheric temperature increases and the lower bound of the stratosphere is in-between 10 and 16</w:t>
      </w:r>
      <w:r w:rsidR="00F515A1">
        <w:t> </w:t>
      </w:r>
      <w:r>
        <w:t>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A765D7" w:rsidRDefault="00A765D7"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 </w:t>
      </w:r>
      <w:r>
        <w:t xml:space="preserve">(1961) though stratospheric balloon </w:t>
      </w:r>
      <w:proofErr w:type="spellStart"/>
      <w:r>
        <w:t>sondes</w:t>
      </w:r>
      <w:proofErr w:type="spellEnd"/>
      <w:r>
        <w:t>. Sulfate aerosols are droplets of hydrated sulfuric acid (H</w:t>
      </w:r>
      <w:r>
        <w:rPr>
          <w:vertAlign w:val="subscript"/>
        </w:rPr>
        <w:softHyphen/>
        <w:t>2</w:t>
      </w:r>
      <w:r>
        <w:rPr>
          <w:vertAlign w:val="subscript"/>
        </w:rPr>
        <w:softHyphen/>
      </w:r>
      <w:r>
        <w:t>SO</w:t>
      </w:r>
      <w:r>
        <w:softHyphen/>
      </w:r>
      <w:r>
        <w:rPr>
          <w:vertAlign w:val="subscript"/>
        </w:rPr>
        <w:t>4</w:t>
      </w:r>
      <w:r>
        <w:t xml:space="preserve">) formed from the oxidation </w:t>
      </w:r>
      <w:r>
        <w:lastRenderedPageBreak/>
        <w:t>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A765D7" w:rsidRDefault="00A765D7" w:rsidP="002347DA">
      <w:pPr>
        <w:pStyle w:val="Heading2"/>
      </w:pPr>
      <w:bookmarkStart w:id="3" w:name="_Toc442187630"/>
      <w:r>
        <w:t>2.2.1 Aerosol Sources and Microphysics</w:t>
      </w:r>
      <w:bookmarkEnd w:id="3"/>
    </w:p>
    <w:p w:rsidR="00A765D7" w:rsidRDefault="00A765D7"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Pr>
          <w:i/>
        </w:rPr>
        <w:t>Notholt</w:t>
      </w:r>
      <w:proofErr w:type="spellEnd"/>
      <w:r>
        <w:rPr>
          <w:i/>
        </w:rPr>
        <w:t xml:space="preserve">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rsidR="00A765D7" w:rsidRDefault="00A765D7"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stratosphere. 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Pr>
          <w:i/>
        </w:rPr>
        <w:t xml:space="preserve">McCormick and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A765D7" w:rsidRDefault="00A765D7"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Pr>
          <w:lang w:val="en-CA"/>
        </w:rPr>
        <w:lastRenderedPageBreak/>
        <w:t>(</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has been used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594F11"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w:t>
            </w:r>
          </w:p>
        </w:tc>
      </w:tr>
    </w:tbl>
    <w:p w:rsidR="00A765D7" w:rsidRDefault="00A765D7"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DF7576">
        <w:fldChar w:fldCharType="begin"/>
      </w:r>
      <w:r w:rsidRPr="00DF7576">
        <w:instrText xml:space="preserve"> REF _Ref442116398 \h  \* MERGEFORMAT </w:instrText>
      </w:r>
      <w:r w:rsidRPr="00DF7576">
        <w:fldChar w:fldCharType="separate"/>
      </w:r>
      <w:r w:rsidRPr="00DF7576">
        <w:t>Figure 2-</w:t>
      </w:r>
      <w:r w:rsidRPr="00DF7576">
        <w:rPr>
          <w:noProof/>
        </w:rPr>
        <w:t>1</w:t>
      </w:r>
      <w:r w:rsidRPr="00DF7576">
        <w:fldChar w:fldCharType="end"/>
      </w:r>
      <w:r>
        <w:t>.</w:t>
      </w:r>
    </w:p>
    <w:p w:rsidR="00A765D7" w:rsidRDefault="00A765D7" w:rsidP="008A0BC4">
      <w:pPr>
        <w:pStyle w:val="ListNumber"/>
        <w:keepNext/>
        <w:spacing w:after="0" w:line="480" w:lineRule="auto"/>
        <w:ind w:left="0" w:firstLine="0"/>
        <w:jc w:val="both"/>
      </w:pPr>
      <w:r>
        <w:rPr>
          <w:noProof/>
          <w:lang w:val="en-CA" w:eastAsia="en-CA"/>
        </w:rPr>
        <w:drawing>
          <wp:inline distT="0" distB="0" distL="0" distR="0" wp14:anchorId="4C56BD17" wp14:editId="36A0F44C">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A765D7" w:rsidRPr="00ED192E" w:rsidRDefault="00A765D7" w:rsidP="00ED192E">
      <w:pPr>
        <w:pStyle w:val="Caption"/>
        <w:jc w:val="center"/>
        <w:rPr>
          <w:b w:val="0"/>
        </w:rPr>
      </w:pPr>
      <w:bookmarkStart w:id="4" w:name="_Ref442116398"/>
      <w:bookmarkStart w:id="5" w:name="_Toc442188780"/>
      <w:r w:rsidRPr="00D127DE">
        <w:rPr>
          <w:b w:val="0"/>
        </w:rPr>
        <w:t>Figure 2-</w:t>
      </w:r>
      <w:r w:rsidRPr="00D127DE">
        <w:rPr>
          <w:b w:val="0"/>
        </w:rPr>
        <w:fldChar w:fldCharType="begin"/>
      </w:r>
      <w:r w:rsidRPr="00D127DE">
        <w:rPr>
          <w:b w:val="0"/>
        </w:rPr>
        <w:instrText xml:space="preserve"> SEQ Figure \* ARABIC \r 1 </w:instrText>
      </w:r>
      <w:r w:rsidRPr="00D127DE">
        <w:rPr>
          <w:b w:val="0"/>
        </w:rPr>
        <w:fldChar w:fldCharType="separate"/>
      </w:r>
      <w:r w:rsidRPr="00D127DE">
        <w:rPr>
          <w:b w:val="0"/>
          <w:noProof/>
        </w:rPr>
        <w:t>1</w:t>
      </w:r>
      <w:r w:rsidRPr="00D127DE">
        <w:rPr>
          <w:b w:val="0"/>
        </w:rPr>
        <w:fldChar w:fldCharType="end"/>
      </w:r>
      <w:bookmarkEnd w:id="4"/>
      <w:r>
        <w:t>:</w:t>
      </w:r>
      <w:r>
        <w:rPr>
          <w:b w:val="0"/>
        </w:rPr>
        <w:t xml:space="preserve"> </w:t>
      </w:r>
      <w:r w:rsidRPr="00ED192E">
        <w:rPr>
          <w:b w:val="0"/>
          <w:szCs w:val="24"/>
        </w:rPr>
        <w:t>Log-normal distribution for non-volcanic background aerosol layer.</w:t>
      </w:r>
      <w:bookmarkEnd w:id="5"/>
    </w:p>
    <w:p w:rsidR="00A765D7" w:rsidRDefault="00A765D7" w:rsidP="009C3CFE">
      <w:pPr>
        <w:pStyle w:val="ListNumber"/>
        <w:keepNext/>
        <w:spacing w:after="0" w:line="480" w:lineRule="auto"/>
        <w:ind w:left="0" w:firstLine="0"/>
        <w:jc w:val="both"/>
      </w:pPr>
      <w:r>
        <w:rPr>
          <w:noProof/>
          <w:lang w:val="en-CA" w:eastAsia="en-CA"/>
        </w:rPr>
        <w:lastRenderedPageBreak/>
        <w:drawing>
          <wp:inline distT="0" distB="0" distL="0" distR="0" wp14:anchorId="57C8D263" wp14:editId="4E3C0471">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A765D7" w:rsidRPr="00DF5010" w:rsidRDefault="00A765D7" w:rsidP="009C3CFE">
      <w:pPr>
        <w:jc w:val="center"/>
        <w:rPr>
          <w:sz w:val="24"/>
          <w:szCs w:val="24"/>
        </w:rPr>
      </w:pPr>
      <w:bookmarkStart w:id="6" w:name="_Ref432512315"/>
      <w:bookmarkStart w:id="7" w:name="_Toc435878542"/>
      <w:bookmarkStart w:id="8" w:name="_Toc442188781"/>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6"/>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bookmarkEnd w:id="8"/>
    </w:p>
    <w:p w:rsidR="00A765D7" w:rsidRPr="009C3CFE" w:rsidRDefault="00A765D7" w:rsidP="009C3CFE">
      <w:pPr>
        <w:jc w:val="center"/>
        <w:rPr>
          <w:sz w:val="24"/>
          <w:szCs w:val="24"/>
        </w:rPr>
      </w:pPr>
    </w:p>
    <w:p w:rsidR="00A765D7" w:rsidRDefault="00A765D7" w:rsidP="00F515A1">
      <w:pPr>
        <w:pStyle w:val="ListNumber"/>
        <w:spacing w:after="0" w:line="480" w:lineRule="auto"/>
        <w:ind w:left="0" w:firstLine="720"/>
        <w:jc w:val="both"/>
      </w:pPr>
      <w:r>
        <w:t xml:space="preserve">OPC have been used on board </w:t>
      </w:r>
      <w:proofErr w:type="spellStart"/>
      <w:r>
        <w:t>sondes</w:t>
      </w:r>
      <w:proofErr w:type="spellEnd"/>
      <w:r>
        <w:t xml:space="preserve">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 with the addition of a coarse mode (</w:t>
      </w:r>
      <w:r>
        <w:rPr>
          <w:i/>
        </w:rPr>
        <w:t>Deshler et al.</w:t>
      </w:r>
      <w:r>
        <w:t xml:space="preserve">, 2003; 2008; </w:t>
      </w:r>
      <w:proofErr w:type="spellStart"/>
      <w:r w:rsidRPr="00B07B0C">
        <w:rPr>
          <w:i/>
        </w:rPr>
        <w:t>Kovilakam</w:t>
      </w:r>
      <w:proofErr w:type="spellEnd"/>
      <w:r w:rsidRPr="00B07B0C">
        <w:rPr>
          <w:i/>
        </w:rPr>
        <w:t xml:space="preserve"> et al.</w:t>
      </w:r>
      <w:r>
        <w:t xml:space="preserve">, 2015). The coarse mode has larger particles than the fine mode and complicates determining full aerosol microphysical parameters since the number of required parameters has increased to </w:t>
      </w:r>
      <w:r>
        <w:lastRenderedPageBreak/>
        <w:t xml:space="preserve">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CB6418">
        <w:rPr>
          <w:szCs w:val="24"/>
        </w:rPr>
        <w:t>Figure 2-</w:t>
      </w:r>
      <w:r w:rsidRPr="00CB6418">
        <w:rPr>
          <w:noProof/>
          <w:szCs w:val="24"/>
        </w:rPr>
        <w:t>2</w:t>
      </w:r>
      <w:r w:rsidRPr="00CB6418">
        <w:fldChar w:fldCharType="end"/>
      </w:r>
      <w:r w:rsidRPr="00CB6418">
        <w:t>, demonstrated</w:t>
      </w:r>
      <w:r>
        <w:t xml:space="preserve"> two bimodal particle size distributions from balloon OPC. The first distribution is from a volcanic period in 1993 after the Mount Pinatubo eruption and another from a background period in 1999.</w:t>
      </w:r>
    </w:p>
    <w:p w:rsidR="00A765D7" w:rsidRDefault="00A765D7" w:rsidP="002347DA">
      <w:pPr>
        <w:pStyle w:val="Heading2"/>
      </w:pPr>
      <w:bookmarkStart w:id="9" w:name="_Toc442187631"/>
      <w:r>
        <w:t>2.2.2 Climate Effects</w:t>
      </w:r>
      <w:bookmarkEnd w:id="9"/>
    </w:p>
    <w:p w:rsidR="00A765D7" w:rsidRDefault="00A765D7"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proofErr w:type="spellStart"/>
      <w:r>
        <w:rPr>
          <w:i/>
        </w:rPr>
        <w:t>Lacis</w:t>
      </w:r>
      <w:proofErr w:type="spellEnd"/>
      <w:r>
        <w:rPr>
          <w:i/>
        </w:rPr>
        <w:t xml:space="preserve"> et al.</w:t>
      </w:r>
      <w:r>
        <w:t>, 1992). The albedo is the amount of incoming irradiance that is reflected by the earth. A secondary effect from aerosols, that is dependent on aerosol particle size distributions, is a greenhouse effect that is caused by infrared radiation from the planet being scattered by aerosols (</w:t>
      </w:r>
      <w:proofErr w:type="spellStart"/>
      <w:r w:rsidRPr="00774BC7">
        <w:rPr>
          <w:i/>
        </w:rPr>
        <w:t>Kiehl</w:t>
      </w:r>
      <w:proofErr w:type="spellEnd"/>
      <w:r w:rsidRPr="00774BC7">
        <w:rPr>
          <w:i/>
        </w:rPr>
        <w:t xml:space="preserve"> and </w:t>
      </w:r>
      <w:proofErr w:type="spellStart"/>
      <w:r w:rsidRPr="00774BC7">
        <w:rPr>
          <w:i/>
        </w:rPr>
        <w:t>Briegleb</w:t>
      </w:r>
      <w:proofErr w:type="spellEnd"/>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and thus increasing the albedo (</w:t>
      </w:r>
      <w:proofErr w:type="spellStart"/>
      <w:r w:rsidRPr="007066DF">
        <w:rPr>
          <w:i/>
        </w:rPr>
        <w:t>Charlson</w:t>
      </w:r>
      <w:proofErr w:type="spellEnd"/>
      <w:r w:rsidRPr="007066DF">
        <w:rPr>
          <w:i/>
        </w:rPr>
        <w:t xml:space="preserve"> et al.</w:t>
      </w:r>
      <w:r>
        <w:t>, 1992). Overall, the cooling effect of the aerosol particles dominates the warming effect and cools the surface of the planet (</w:t>
      </w:r>
      <w:r>
        <w:rPr>
          <w:i/>
        </w:rPr>
        <w:t>Solomon et al.</w:t>
      </w:r>
      <w:r>
        <w:t xml:space="preserve">, 2011). </w:t>
      </w:r>
    </w:p>
    <w:p w:rsidR="00A765D7" w:rsidRPr="00F876B4" w:rsidRDefault="00A765D7"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xml:space="preserve">, 2013). And the surface </w:t>
      </w:r>
      <w:r>
        <w:lastRenderedPageBreak/>
        <w:t>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has been proposed to be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A765D7" w:rsidRDefault="00A765D7">
      <w:pPr>
        <w:pStyle w:val="Heading1"/>
      </w:pPr>
      <w:bookmarkStart w:id="10" w:name="_Toc442187632"/>
      <w:r>
        <w:t>2.3 Aerosol Measurements</w:t>
      </w:r>
      <w:bookmarkEnd w:id="10"/>
    </w:p>
    <w:p w:rsidR="00A765D7" w:rsidRDefault="00A765D7" w:rsidP="007E1609">
      <w:pPr>
        <w:pStyle w:val="BodyText"/>
        <w:jc w:val="both"/>
      </w:pPr>
      <w:bookmarkStart w:id="11" w:name="_Ref463275989"/>
      <w:bookmarkStart w:id="12" w:name="_Toc463235095"/>
      <w:bookmarkStart w:id="13"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n overview will be given on</w:t>
      </w:r>
      <w:r w:rsidRPr="002163A1">
        <w:t xml:space="preserve"> some of the common methods to det</w:t>
      </w:r>
      <w:r>
        <w:t>ermine aerosol extinction</w:t>
      </w:r>
      <w:r w:rsidRPr="002163A1">
        <w:t xml:space="preserve"> and why using different methods helps to increase the overall accuracy and precision of </w:t>
      </w:r>
      <w:r>
        <w:t xml:space="preserve">merged </w:t>
      </w:r>
      <w:r w:rsidRPr="002163A1">
        <w:t>data sets.</w:t>
      </w:r>
    </w:p>
    <w:p w:rsidR="00A765D7" w:rsidRDefault="00A765D7" w:rsidP="003D416A">
      <w:pPr>
        <w:pStyle w:val="Heading2"/>
      </w:pPr>
      <w:bookmarkStart w:id="14" w:name="_Toc442187633"/>
      <w:r>
        <w:t>2.3.1 In-Situ Measurements</w:t>
      </w:r>
      <w:bookmarkEnd w:id="14"/>
    </w:p>
    <w:p w:rsidR="00A765D7" w:rsidRDefault="00A765D7"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instrument has been launched fr</w:t>
      </w:r>
      <w:r>
        <w:t>om Laramie, Wyoming since 1971 and have successfully measured</w:t>
      </w:r>
      <w:r w:rsidRPr="002163A1">
        <w:t xml:space="preserve"> aerosol extinction 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2015). Another</w:t>
      </w:r>
      <w:r w:rsidRPr="002163A1">
        <w:t xml:space="preserve"> type of balloon </w:t>
      </w:r>
      <w:r w:rsidRPr="002163A1">
        <w:lastRenderedPageBreak/>
        <w:t xml:space="preserve">instrument uses a passive light source, </w:t>
      </w:r>
      <w:r>
        <w:t>such as</w:t>
      </w:r>
      <w:r w:rsidRPr="002163A1">
        <w:t xml:space="preserve"> the sun, moon, or stars, to determine aerosol extinctions. </w:t>
      </w:r>
      <w:r>
        <w:t>Some i</w:t>
      </w:r>
      <w:r w:rsidRPr="002163A1">
        <w:t xml:space="preserve">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r>
        <w:t>Furthermore, aircrafts have been used to carry n</w:t>
      </w:r>
      <w:r w:rsidRPr="00136038">
        <w:t xml:space="preserve">ephelometers </w:t>
      </w:r>
      <w:r>
        <w:t>to acquire detailed in-situ measurements (</w:t>
      </w:r>
      <w:proofErr w:type="spellStart"/>
      <w:r w:rsidRPr="00AA52AA">
        <w:rPr>
          <w:i/>
        </w:rPr>
        <w:t>Beuttell</w:t>
      </w:r>
      <w:proofErr w:type="spellEnd"/>
      <w:r w:rsidRPr="00AA52AA">
        <w:rPr>
          <w:i/>
        </w:rPr>
        <w:t xml:space="preserve"> and Brewer</w:t>
      </w:r>
      <w:r>
        <w:t>,</w:t>
      </w:r>
      <w:r w:rsidRPr="00471DF1">
        <w:t xml:space="preserve"> 1949</w:t>
      </w:r>
      <w:r>
        <w:t xml:space="preserve">; </w:t>
      </w:r>
      <w:proofErr w:type="spellStart"/>
      <w:r w:rsidRPr="00AA52AA">
        <w:rPr>
          <w:i/>
        </w:rPr>
        <w:t>Charlson</w:t>
      </w:r>
      <w:proofErr w:type="spellEnd"/>
      <w:r w:rsidRPr="00AA52AA">
        <w:rPr>
          <w:i/>
        </w:rPr>
        <w:t xml:space="preserve">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rsidR="00A765D7" w:rsidRDefault="00A765D7"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A765D7" w:rsidRDefault="00A765D7" w:rsidP="003D416A">
      <w:pPr>
        <w:pStyle w:val="Heading2"/>
      </w:pPr>
      <w:bookmarkStart w:id="15" w:name="_Toc442187634"/>
      <w:r>
        <w:t>2.3.2 Occultation</w:t>
      </w:r>
      <w:bookmarkEnd w:id="15"/>
    </w:p>
    <w:p w:rsidR="00A765D7" w:rsidRDefault="00A765D7" w:rsidP="00E46E53">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BB5BF9">
        <w:rPr>
          <w:szCs w:val="24"/>
        </w:rPr>
        <w:t>Figure 2-3</w:t>
      </w:r>
      <w:r w:rsidRPr="002D64DC">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 xml:space="preserve">rally compared </w:t>
      </w:r>
      <w:r>
        <w:lastRenderedPageBreak/>
        <w:t>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ach scan, allowing for 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rsidR="00A765D7" w:rsidRDefault="00A765D7" w:rsidP="00BB5BF9">
      <w:pPr>
        <w:pStyle w:val="BodyText"/>
        <w:keepNext/>
        <w:ind w:firstLine="0"/>
        <w:jc w:val="center"/>
      </w:pPr>
      <w:r>
        <w:rPr>
          <w:noProof/>
          <w:lang w:val="en-CA" w:eastAsia="en-CA"/>
        </w:rPr>
        <w:drawing>
          <wp:inline distT="0" distB="0" distL="0" distR="0" wp14:anchorId="6F835324" wp14:editId="1C198218">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A765D7" w:rsidRDefault="00A765D7" w:rsidP="00BB5BF9">
      <w:pPr>
        <w:jc w:val="center"/>
        <w:rPr>
          <w:sz w:val="24"/>
          <w:szCs w:val="24"/>
        </w:rPr>
      </w:pPr>
      <w:bookmarkStart w:id="16" w:name="_Ref433365111"/>
      <w:bookmarkStart w:id="17" w:name="_Toc435878543"/>
      <w:bookmarkStart w:id="18" w:name="_Toc442188782"/>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6"/>
      <w:r w:rsidRPr="00D15330">
        <w:rPr>
          <w:sz w:val="24"/>
          <w:szCs w:val="24"/>
        </w:rPr>
        <w:t>: An</w:t>
      </w:r>
      <w:r w:rsidRPr="009A0793">
        <w:rPr>
          <w:sz w:val="24"/>
          <w:szCs w:val="24"/>
        </w:rPr>
        <w:t xml:space="preserve"> occultation instrument monitoring the atmosphere by scanning the atmosphere by looking directly at the sun.</w:t>
      </w:r>
      <w:bookmarkEnd w:id="17"/>
      <w:bookmarkEnd w:id="18"/>
    </w:p>
    <w:p w:rsidR="00A765D7" w:rsidRPr="00BB5BF9" w:rsidRDefault="00A765D7" w:rsidP="00BB5BF9">
      <w:pPr>
        <w:jc w:val="center"/>
        <w:rPr>
          <w:sz w:val="24"/>
          <w:szCs w:val="24"/>
        </w:rPr>
      </w:pPr>
    </w:p>
    <w:p w:rsidR="00A765D7" w:rsidRPr="00BB5BF9" w:rsidRDefault="00A765D7" w:rsidP="00BB5BF9">
      <w:pPr>
        <w:pStyle w:val="BodyText"/>
        <w:jc w:val="both"/>
      </w:pPr>
      <w:r>
        <w:t xml:space="preserve">The SAGE III mission came to an end in 2006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xml:space="preserve">, a </w:t>
      </w:r>
      <w:r w:rsidRPr="00E46E53">
        <w:lastRenderedPageBreak/>
        <w:t>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A765D7" w:rsidRDefault="00A765D7" w:rsidP="003D416A">
      <w:pPr>
        <w:pStyle w:val="Heading2"/>
      </w:pPr>
      <w:bookmarkStart w:id="19" w:name="_Toc442187635"/>
      <w:r>
        <w:t>2.3.3 Lidar</w:t>
      </w:r>
      <w:bookmarkEnd w:id="19"/>
    </w:p>
    <w:p w:rsidR="00A765D7" w:rsidRPr="00935A8D" w:rsidRDefault="00A765D7"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074E92">
        <w:rPr>
          <w:szCs w:val="24"/>
        </w:rPr>
        <w:t>Figure 2-</w:t>
      </w:r>
      <w:r>
        <w:rPr>
          <w:noProof/>
          <w:szCs w:val="24"/>
        </w:rPr>
        <w:t>4</w:t>
      </w:r>
      <w:r>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rsidR="00A765D7" w:rsidRDefault="00A765D7"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w:t>
      </w:r>
      <w:r>
        <w:lastRenderedPageBreak/>
        <w:t>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A765D7" w:rsidRDefault="00A765D7" w:rsidP="005E1011">
      <w:pPr>
        <w:pStyle w:val="BodyText"/>
        <w:keepNext/>
        <w:ind w:firstLine="0"/>
        <w:jc w:val="both"/>
      </w:pPr>
      <w:r>
        <w:rPr>
          <w:noProof/>
          <w:lang w:val="en-CA" w:eastAsia="en-CA"/>
        </w:rPr>
        <w:drawing>
          <wp:inline distT="0" distB="0" distL="0" distR="0" wp14:anchorId="19A0897E" wp14:editId="3EC77825">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765D7" w:rsidRDefault="00A765D7" w:rsidP="005E1011">
      <w:pPr>
        <w:pStyle w:val="Caption"/>
        <w:spacing w:before="0" w:after="0"/>
        <w:jc w:val="center"/>
        <w:rPr>
          <w:b w:val="0"/>
          <w:szCs w:val="24"/>
        </w:rPr>
      </w:pPr>
      <w:bookmarkStart w:id="20" w:name="_Ref433639889"/>
      <w:bookmarkStart w:id="21" w:name="_Toc435878544"/>
      <w:bookmarkStart w:id="22" w:name="_Toc442188783"/>
      <w:r w:rsidRPr="00F515A1">
        <w:rPr>
          <w:szCs w:val="24"/>
        </w:rPr>
        <w:t>Figure 2-</w:t>
      </w:r>
      <w:r w:rsidRPr="00F515A1">
        <w:rPr>
          <w:szCs w:val="24"/>
        </w:rPr>
        <w:fldChar w:fldCharType="begin"/>
      </w:r>
      <w:r w:rsidRPr="00F515A1">
        <w:rPr>
          <w:szCs w:val="24"/>
        </w:rPr>
        <w:instrText xml:space="preserve"> SEQ Figure \* ARABIC </w:instrText>
      </w:r>
      <w:r w:rsidRPr="00F515A1">
        <w:rPr>
          <w:szCs w:val="24"/>
        </w:rPr>
        <w:fldChar w:fldCharType="separate"/>
      </w:r>
      <w:r w:rsidR="00F515A1" w:rsidRPr="00F515A1">
        <w:rPr>
          <w:noProof/>
          <w:szCs w:val="24"/>
        </w:rPr>
        <w:t>4</w:t>
      </w:r>
      <w:r w:rsidRPr="00F515A1">
        <w:rPr>
          <w:szCs w:val="24"/>
        </w:rPr>
        <w:fldChar w:fldCharType="end"/>
      </w:r>
      <w:bookmarkEnd w:id="20"/>
      <w:r w:rsidRPr="00F515A1">
        <w:rPr>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1"/>
      <w:bookmarkEnd w:id="22"/>
    </w:p>
    <w:p w:rsidR="00A765D7" w:rsidRPr="005E1011" w:rsidRDefault="00A765D7" w:rsidP="005E1011"/>
    <w:p w:rsidR="00A765D7" w:rsidRDefault="00A765D7" w:rsidP="003D416A">
      <w:pPr>
        <w:pStyle w:val="Heading2"/>
      </w:pPr>
      <w:bookmarkStart w:id="23" w:name="_Toc442187636"/>
      <w:r>
        <w:t>2.3.4 Limb Scatter</w:t>
      </w:r>
      <w:bookmarkEnd w:id="23"/>
    </w:p>
    <w:p w:rsidR="00A765D7" w:rsidRDefault="00A765D7"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w:t>
      </w:r>
      <w:r>
        <w:lastRenderedPageBreak/>
        <w:t xml:space="preserve">limb scatter technique can be seen in </w:t>
      </w:r>
      <w:r>
        <w:fldChar w:fldCharType="begin"/>
      </w:r>
      <w:r>
        <w:instrText xml:space="preserve"> REF _Ref434222559 \h </w:instrText>
      </w:r>
      <w:r>
        <w:fldChar w:fldCharType="separate"/>
      </w:r>
      <w:r w:rsidRPr="004663A6">
        <w:rPr>
          <w:szCs w:val="24"/>
        </w:rPr>
        <w:t>Figure 2-</w:t>
      </w:r>
      <w:r>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w:t>
      </w:r>
      <w:r>
        <w:rPr>
          <w:szCs w:val="24"/>
        </w:rPr>
        <w:t>5</w:t>
      </w:r>
      <w:r w:rsidRPr="00647F9E">
        <w:fldChar w:fldCharType="end"/>
      </w:r>
      <w:r w:rsidRPr="009B5D10">
        <w:t>.</w:t>
      </w:r>
    </w:p>
    <w:p w:rsidR="00A765D7" w:rsidRDefault="00A765D7" w:rsidP="00954FF1">
      <w:pPr>
        <w:pStyle w:val="BodyText"/>
        <w:keepNext/>
        <w:ind w:firstLine="0"/>
      </w:pPr>
      <w:r>
        <w:rPr>
          <w:noProof/>
          <w:lang w:val="en-CA" w:eastAsia="en-CA"/>
        </w:rPr>
        <w:drawing>
          <wp:inline distT="0" distB="0" distL="0" distR="0" wp14:anchorId="05590753" wp14:editId="437AB380">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765D7" w:rsidRDefault="00A765D7" w:rsidP="00D505EA">
      <w:pPr>
        <w:pStyle w:val="Caption"/>
        <w:spacing w:before="0" w:after="0"/>
        <w:jc w:val="center"/>
        <w:rPr>
          <w:b w:val="0"/>
          <w:szCs w:val="24"/>
        </w:rPr>
      </w:pPr>
      <w:bookmarkStart w:id="24" w:name="_Ref434222559"/>
      <w:bookmarkStart w:id="25" w:name="_Toc435878545"/>
      <w:bookmarkStart w:id="26" w:name="_Toc442188784"/>
      <w:bookmarkStart w:id="27" w:name="_GoBack"/>
      <w:r w:rsidRPr="00F515A1">
        <w:rPr>
          <w:szCs w:val="24"/>
        </w:rPr>
        <w:t>Figure 2-</w:t>
      </w:r>
      <w:r w:rsidRPr="00F515A1">
        <w:rPr>
          <w:szCs w:val="24"/>
        </w:rPr>
        <w:fldChar w:fldCharType="begin"/>
      </w:r>
      <w:r w:rsidRPr="00F515A1">
        <w:rPr>
          <w:szCs w:val="24"/>
        </w:rPr>
        <w:instrText xml:space="preserve"> SEQ Figure \* ARABIC </w:instrText>
      </w:r>
      <w:r w:rsidRPr="00F515A1">
        <w:rPr>
          <w:szCs w:val="24"/>
        </w:rPr>
        <w:fldChar w:fldCharType="separate"/>
      </w:r>
      <w:r w:rsidRPr="00F515A1">
        <w:rPr>
          <w:noProof/>
          <w:szCs w:val="24"/>
        </w:rPr>
        <w:t>5</w:t>
      </w:r>
      <w:r w:rsidRPr="00F515A1">
        <w:rPr>
          <w:szCs w:val="24"/>
        </w:rPr>
        <w:fldChar w:fldCharType="end"/>
      </w:r>
      <w:bookmarkEnd w:id="24"/>
      <w:bookmarkEnd w:id="27"/>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
      <w:bookmarkEnd w:id="26"/>
    </w:p>
    <w:p w:rsidR="00A765D7" w:rsidRPr="00954FF1" w:rsidRDefault="00A765D7" w:rsidP="00954FF1"/>
    <w:p w:rsidR="00A765D7" w:rsidRDefault="00A765D7" w:rsidP="00954FF1">
      <w:pPr>
        <w:pStyle w:val="BodyText"/>
        <w:jc w:val="both"/>
      </w:pPr>
      <w:r>
        <w:t>The limb scatter method yields 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rsidR="00A765D7" w:rsidRPr="00745CB4" w:rsidRDefault="00A765D7" w:rsidP="00954FF1">
      <w:pPr>
        <w:pStyle w:val="BodyText"/>
        <w:jc w:val="both"/>
      </w:pPr>
      <w:r>
        <w:lastRenderedPageBreak/>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w:t>
      </w:r>
      <w:proofErr w:type="spellStart"/>
      <w:r>
        <w:t>InfraRed</w:t>
      </w:r>
      <w:proofErr w:type="spellEnd"/>
      <w:r>
        <w:t xml:space="preserve"> Imaging System (OSIRIS)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A765D7" w:rsidRDefault="00A765D7"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A765D7" w:rsidRDefault="00A765D7"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A765D7" w:rsidRPr="00A24B7F" w:rsidRDefault="00A765D7" w:rsidP="000927B6">
      <w:pPr>
        <w:pStyle w:val="BodyText"/>
        <w:jc w:val="both"/>
      </w:pPr>
      <w:r>
        <w:lastRenderedPageBreak/>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A765D7" w:rsidRDefault="00A765D7" w:rsidP="003D416A">
      <w:pPr>
        <w:pStyle w:val="Heading1"/>
      </w:pPr>
      <w:bookmarkStart w:id="28" w:name="_Toc442187637"/>
      <w:r>
        <w:t>2.4 Radiative Transfer</w:t>
      </w:r>
      <w:bookmarkEnd w:id="28"/>
    </w:p>
    <w:p w:rsidR="00A765D7" w:rsidRDefault="00A765D7"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A description of scattering interactions important to aerosols will be underwent. Finally, an overview of the SASKTRAN radiative transfer model used within this work will be introduced. </w:t>
      </w:r>
    </w:p>
    <w:p w:rsidR="00A765D7" w:rsidRDefault="00A765D7" w:rsidP="00D54B14">
      <w:pPr>
        <w:pStyle w:val="Heading2"/>
      </w:pPr>
      <w:bookmarkStart w:id="29" w:name="_Toc442187638"/>
      <w:r>
        <w:t>2.4.1 Scalar Radiative Transfer</w:t>
      </w:r>
      <w:bookmarkEnd w:id="29"/>
    </w:p>
    <w:p w:rsidR="00A765D7" w:rsidRDefault="00A765D7" w:rsidP="00A32789">
      <w:pPr>
        <w:pStyle w:val="BodyText"/>
        <w:jc w:val="both"/>
      </w:pPr>
      <w:r>
        <w:t>The scattering and absorption processes in the atmosphere are non-trivial and an adequate method to model this interaction is needed. The following will present a derivation of radiative transfer equations for the atmosphere with scaler radiance which does not account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w:t>
      </w:r>
      <w:r>
        <w:lastRenderedPageBreak/>
        <w:t xml:space="preserve">defined by its path length, </w:t>
      </w:r>
      <m:oMath>
        <m:r>
          <w:rPr>
            <w:rFonts w:ascii="Cambria Math" w:hAnsi="Cambria Math"/>
          </w:rPr>
          <m:t>s</m:t>
        </m:r>
      </m:oMath>
      <w:r>
        <w:t>. The basis of path length will be used to define the radiative transfer equations.</w:t>
      </w:r>
    </w:p>
    <w:p w:rsidR="00A765D7" w:rsidRPr="00A15663" w:rsidRDefault="00A765D7"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594F11"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(2.2)</w:t>
            </w:r>
          </w:p>
        </w:tc>
      </w:tr>
    </w:tbl>
    <w:p w:rsidR="00A765D7" w:rsidRDefault="00A765D7"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(2.3)</w:t>
            </w:r>
          </w:p>
        </w:tc>
      </w:tr>
    </w:tbl>
    <w:p w:rsidR="00A765D7" w:rsidRDefault="00A765D7"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(2.4)</w:t>
            </w:r>
          </w:p>
        </w:tc>
      </w:tr>
    </w:tbl>
    <w:p w:rsidR="00A765D7" w:rsidRDefault="00A765D7"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(2.5)</w:t>
            </w:r>
          </w:p>
        </w:tc>
      </w:tr>
    </w:tbl>
    <w:p w:rsidR="00A765D7" w:rsidRDefault="00A765D7"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A765D7" w:rsidRDefault="00A765D7"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594F11"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(2.6)</w:t>
            </w:r>
          </w:p>
        </w:tc>
      </w:tr>
    </w:tbl>
    <w:p w:rsidR="00A765D7" w:rsidRDefault="00A765D7"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(2.7)</w:t>
            </w:r>
          </w:p>
        </w:tc>
      </w:tr>
    </w:tbl>
    <w:p w:rsidR="00A765D7" w:rsidRDefault="00A765D7"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594F11"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(2.8)</w:t>
            </w:r>
          </w:p>
        </w:tc>
      </w:tr>
    </w:tbl>
    <w:p w:rsidR="00A765D7" w:rsidRDefault="00A765D7"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594F11"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(2.9)</w:t>
            </w:r>
          </w:p>
        </w:tc>
      </w:tr>
    </w:tbl>
    <w:p w:rsidR="00A765D7" w:rsidRDefault="00A765D7"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594F11"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(2.10)</w:t>
            </w:r>
          </w:p>
        </w:tc>
      </w:tr>
    </w:tbl>
    <w:p w:rsidR="00A765D7" w:rsidRDefault="00A765D7"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(2.11)</w:t>
            </w:r>
          </w:p>
        </w:tc>
      </w:tr>
    </w:tbl>
    <w:p w:rsidR="00A765D7" w:rsidRDefault="00A765D7"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(2.12)</w:t>
            </w:r>
          </w:p>
        </w:tc>
      </w:tr>
    </w:tbl>
    <w:p w:rsidR="00A765D7" w:rsidRDefault="00A765D7"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rsidR="00A765D7" w:rsidRDefault="00A765D7"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(2.13)</w:t>
            </w:r>
          </w:p>
        </w:tc>
      </w:tr>
    </w:tbl>
    <w:p w:rsidR="00A765D7" w:rsidRDefault="00A765D7"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594F11"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(2.14)</w:t>
            </w:r>
          </w:p>
        </w:tc>
      </w:tr>
    </w:tbl>
    <w:p w:rsidR="00A765D7" w:rsidRDefault="00A765D7"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A765D7" w:rsidRDefault="00A765D7"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(2.15)</w:t>
            </w:r>
          </w:p>
        </w:tc>
      </w:tr>
    </w:tbl>
    <w:p w:rsidR="00A765D7" w:rsidRDefault="00A765D7" w:rsidP="00851023">
      <w:pPr>
        <w:pStyle w:val="BodyText"/>
        <w:ind w:firstLine="0"/>
        <w:jc w:val="both"/>
      </w:pPr>
      <w:r>
        <w:lastRenderedPageBreak/>
        <w:t>The multiple scatter term is calculated until the contribution is sufficiently small to be negligible.</w:t>
      </w:r>
    </w:p>
    <w:p w:rsidR="00A765D7" w:rsidRDefault="00A765D7" w:rsidP="00FA7303">
      <w:pPr>
        <w:pStyle w:val="Heading2"/>
      </w:pPr>
      <w:bookmarkStart w:id="30" w:name="_Toc442187639"/>
      <w:r>
        <w:t>2.4.2 Vector Radiative Transfer</w:t>
      </w:r>
      <w:bookmarkEnd w:id="30"/>
    </w:p>
    <w:p w:rsidR="00A765D7" w:rsidRDefault="00A765D7"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(2.16)</w:t>
            </w:r>
          </w:p>
        </w:tc>
      </w:tr>
    </w:tbl>
    <w:p w:rsidR="00A765D7" w:rsidRDefault="00A765D7" w:rsidP="005530E3">
      <w:pPr>
        <w:pStyle w:val="BodyText"/>
        <w:ind w:firstLine="0"/>
        <w:jc w:val="both"/>
      </w:pPr>
      <w:proofErr w:type="gramStart"/>
      <w:r>
        <w:t>where</w:t>
      </w:r>
      <w:proofErr w:type="gramEnd"/>
      <w:r>
        <w:t xml:space="preserve"> </w:t>
      </w:r>
      <m:oMath>
        <m:r>
          <w:rPr>
            <w:rFonts w:ascii="Cambria Math" w:hAnsi="Cambria Math"/>
          </w:rPr>
          <m:t>I</m:t>
        </m:r>
      </m:oMath>
      <w:r>
        <w:t xml:space="preserve"> is the scaler or total radiance, </w:t>
      </w:r>
      <m:oMath>
        <m:r>
          <w:rPr>
            <w:rFonts w:ascii="Cambria Math" w:hAnsi="Cambria Math"/>
          </w:rPr>
          <m:t>Q</m:t>
        </m:r>
      </m:oMath>
      <w:r>
        <w:t xml:space="preserve"> is the horizontally polarization, </w:t>
      </w:r>
      <m:oMath>
        <m:r>
          <w:rPr>
            <w:rFonts w:ascii="Cambria Math" w:hAnsi="Cambria Math"/>
          </w:rPr>
          <m:t>U</m:t>
        </m:r>
      </m:oMath>
      <w:r>
        <w:t xml:space="preserve"> is the diagonally (+45</w:t>
      </w:r>
      <w:r>
        <w:rPr>
          <w:vertAlign w:val="superscript"/>
        </w:rPr>
        <w:t>o</w:t>
      </w:r>
      <w:r>
        <w:t xml:space="preserve">) polarization, and </w:t>
      </w:r>
      <m:oMath>
        <m:r>
          <w:rPr>
            <w:rFonts w:ascii="Cambria Math" w:hAnsi="Cambria Math"/>
          </w:rPr>
          <m:t>V</m:t>
        </m:r>
      </m:oMath>
      <w:r>
        <w:t xml:space="preserve"> is the counter clockwise circular polarization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A765D7" w:rsidTr="009C3B73">
        <w:tc>
          <w:tcPr>
            <w:tcW w:w="6804" w:type="dxa"/>
            <w:tcBorders>
              <w:top w:val="nil"/>
              <w:left w:val="nil"/>
              <w:bottom w:val="nil"/>
              <w:right w:val="nil"/>
            </w:tcBorders>
          </w:tcPr>
          <w:p w:rsidR="00A765D7" w:rsidRPr="0076182D" w:rsidRDefault="00A765D7"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U=2Re(&lt;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V=2Im(&lt;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(2.17)</w:t>
            </w:r>
          </w:p>
        </w:tc>
      </w:tr>
    </w:tbl>
    <w:p w:rsidR="00A765D7" w:rsidRDefault="00A765D7"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w:rPr>
            <w:rFonts w:ascii="Cambria Math" w:hAnsi="Cambria Math"/>
          </w:rPr>
          <m:t>Re</m:t>
        </m:r>
      </m:oMath>
      <w:r>
        <w:t xml:space="preserve"> and </w:t>
      </w:r>
      <m:oMath>
        <m: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A765D7" w:rsidRDefault="00A765D7"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0927B6">
        <w:tc>
          <w:tcPr>
            <w:tcW w:w="6804" w:type="dxa"/>
          </w:tcPr>
          <w:p w:rsidR="00A765D7" w:rsidRPr="0076182D" w:rsidRDefault="00A765D7" w:rsidP="002B54E1">
            <w:pPr>
              <w:pStyle w:val="BodyText"/>
              <w:ind w:firstLine="289"/>
              <w:jc w:val="right"/>
              <w:rPr>
                <w:i/>
              </w:rPr>
            </w:pPr>
            <m:oMathPara>
              <m:oMath>
                <m:r>
                  <m:rPr>
                    <m:sty m:val="bi"/>
                  </m:rPr>
                  <w:rPr>
                    <w:rFonts w:ascii="Cambria Math" w:hAnsi="Cambria Math"/>
                  </w:rPr>
                  <w:lastRenderedPageBreak/>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A765D7" w:rsidRDefault="00A765D7" w:rsidP="009C3B73">
            <w:pPr>
              <w:pStyle w:val="BodyText"/>
              <w:ind w:firstLine="0"/>
              <w:jc w:val="right"/>
            </w:pPr>
            <w:r>
              <w:t>(2.18)</w:t>
            </w:r>
          </w:p>
        </w:tc>
      </w:tr>
      <w:tr w:rsidR="00A765D7" w:rsidTr="000927B6">
        <w:tc>
          <w:tcPr>
            <w:tcW w:w="6804" w:type="dxa"/>
          </w:tcPr>
          <w:p w:rsidR="00A765D7" w:rsidRPr="0076182D" w:rsidRDefault="00A765D7"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A765D7" w:rsidRDefault="00A765D7" w:rsidP="009C3B73">
            <w:pPr>
              <w:pStyle w:val="BodyText"/>
              <w:ind w:firstLine="0"/>
              <w:jc w:val="right"/>
            </w:pPr>
            <w:r>
              <w:t>(2.19)</w:t>
            </w:r>
          </w:p>
        </w:tc>
      </w:tr>
    </w:tbl>
    <w:p w:rsidR="00A765D7" w:rsidRDefault="00A765D7"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2002). With polarization a scattering reference frame is defined and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A765D7" w:rsidTr="00D75640">
        <w:tc>
          <w:tcPr>
            <w:tcW w:w="6804" w:type="dxa"/>
            <w:tcBorders>
              <w:top w:val="nil"/>
              <w:left w:val="nil"/>
              <w:bottom w:val="nil"/>
              <w:right w:val="nil"/>
            </w:tcBorders>
          </w:tcPr>
          <w:p w:rsidR="00A765D7" w:rsidRPr="008E2476" w:rsidRDefault="00594F11"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(2.20)</w:t>
            </w:r>
          </w:p>
        </w:tc>
      </w:tr>
    </w:tbl>
    <w:p w:rsidR="00A765D7" w:rsidRDefault="00A765D7" w:rsidP="00097F5B">
      <w:pPr>
        <w:pStyle w:val="BodyText"/>
        <w:ind w:firstLine="0"/>
        <w:jc w:val="both"/>
      </w:pPr>
      <w:proofErr w:type="gramStart"/>
      <w:r>
        <w:t>where</w:t>
      </w:r>
      <w:proofErr w:type="gramEnd"/>
      <w:r>
        <w:t xml:space="preserve"> </w:t>
      </w:r>
      <m:oMath>
        <m:r>
          <w:rPr>
            <w:rFonts w:ascii="Cambria Math" w:hAnsi="Cambria Math"/>
          </w:rPr>
          <m:t>α</m:t>
        </m:r>
      </m:oMath>
      <w:r>
        <w:t xml:space="preserve"> is the angle between he propagation and polarization reference frame. The radiance and the source terms are now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A765D7" w:rsidRDefault="00A765D7"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A765D7" w:rsidRDefault="00A765D7" w:rsidP="00FA7303">
      <w:pPr>
        <w:pStyle w:val="Heading2"/>
      </w:pPr>
      <w:bookmarkStart w:id="31" w:name="_Toc442187640"/>
      <w:r>
        <w:t>2.4.3 Rayleigh Scattering</w:t>
      </w:r>
      <w:bookmarkEnd w:id="31"/>
    </w:p>
    <w:p w:rsidR="00A765D7" w:rsidRDefault="00A765D7" w:rsidP="008E2476">
      <w:pPr>
        <w:pStyle w:val="BodyText"/>
        <w:jc w:val="both"/>
      </w:pPr>
      <w:r>
        <w:t xml:space="preserve">Rayleigh scatter is the scattering performed on the molecular background of the atmosphere. The first calculation of molecular atmospheric scattering cross sections was by Lord </w:t>
      </w:r>
      <w:r>
        <w:lastRenderedPageBreak/>
        <w:t>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594F11"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(2.21)</w:t>
            </w:r>
          </w:p>
        </w:tc>
      </w:tr>
    </w:tbl>
    <w:p w:rsidR="00A765D7" w:rsidRDefault="00A765D7"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rsidR="00A765D7" w:rsidRDefault="00A765D7" w:rsidP="000E00D9">
      <w:pPr>
        <w:pStyle w:val="BodyText"/>
        <w:jc w:val="both"/>
      </w:pPr>
      <w:r>
        <w:t>The other important quantity for scattering is the phase function. For Rayleigh scattering, the vector model phase function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594F11"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(2.22)</w:t>
            </w:r>
          </w:p>
        </w:tc>
      </w:tr>
    </w:tbl>
    <w:p w:rsidR="00A765D7" w:rsidRDefault="00A765D7" w:rsidP="002B54E1">
      <w:pPr>
        <w:pStyle w:val="BodyText"/>
        <w:ind w:firstLine="0"/>
        <w:jc w:val="both"/>
      </w:pPr>
      <w:r>
        <w:t xml:space="preserve">Each component of the phase matrix itself is smooth which allows for easy and accurate calculation for Rayleigh scattering. </w:t>
      </w:r>
    </w:p>
    <w:p w:rsidR="00A765D7" w:rsidRDefault="00A765D7" w:rsidP="00FA7303">
      <w:pPr>
        <w:pStyle w:val="Heading2"/>
      </w:pPr>
      <w:bookmarkStart w:id="32" w:name="_Toc442187641"/>
      <w:r>
        <w:t>2.4.4 Mie Scattering</w:t>
      </w:r>
      <w:bookmarkEnd w:id="32"/>
    </w:p>
    <w:p w:rsidR="00A765D7" w:rsidRDefault="00A765D7"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a full derivation 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594F11"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(2.23)</w:t>
            </w:r>
          </w:p>
        </w:tc>
      </w:tr>
    </w:tbl>
    <w:p w:rsidR="00A765D7" w:rsidRDefault="00A765D7" w:rsidP="000927B6">
      <w:pPr>
        <w:pStyle w:val="BodyText"/>
        <w:ind w:firstLine="0"/>
      </w:pPr>
      <w:proofErr w:type="gramStart"/>
      <w:r>
        <w:t>where</w:t>
      </w:r>
      <w:proofErr w:type="gramEnd"/>
      <w:r>
        <w:t xml:space="preserv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5519E0">
        <w:tc>
          <w:tcPr>
            <w:tcW w:w="6804" w:type="dxa"/>
          </w:tcPr>
          <w:p w:rsidR="00A765D7" w:rsidRPr="008E2476" w:rsidRDefault="00594F11"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765D7" w:rsidRDefault="00A765D7" w:rsidP="009C3B73">
            <w:pPr>
              <w:pStyle w:val="BodyText"/>
              <w:ind w:firstLine="0"/>
              <w:jc w:val="right"/>
            </w:pPr>
            <w:r>
              <w:t>(2.24)</w:t>
            </w:r>
          </w:p>
        </w:tc>
      </w:tr>
      <w:tr w:rsidR="00A765D7" w:rsidTr="005519E0">
        <w:tc>
          <w:tcPr>
            <w:tcW w:w="6804" w:type="dxa"/>
          </w:tcPr>
          <w:p w:rsidR="00A765D7" w:rsidRPr="008E2476" w:rsidRDefault="00594F11"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765D7" w:rsidRDefault="00A765D7" w:rsidP="009C3B73">
            <w:pPr>
              <w:pStyle w:val="BodyText"/>
              <w:ind w:firstLine="0"/>
              <w:jc w:val="right"/>
            </w:pPr>
            <w:r>
              <w:t>(2.25)</w:t>
            </w:r>
          </w:p>
        </w:tc>
      </w:tr>
    </w:tbl>
    <w:p w:rsidR="00A765D7" w:rsidRDefault="00A765D7"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the particle,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A765D7" w:rsidTr="009C3B73">
        <w:tc>
          <w:tcPr>
            <w:tcW w:w="8364" w:type="dxa"/>
            <w:tcBorders>
              <w:top w:val="nil"/>
              <w:left w:val="nil"/>
              <w:bottom w:val="nil"/>
              <w:right w:val="nil"/>
            </w:tcBorders>
          </w:tcPr>
          <w:p w:rsidR="00A765D7" w:rsidRPr="008E2476" w:rsidRDefault="00594F11"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rsidR="00A765D7" w:rsidRDefault="00A765D7" w:rsidP="009C3B73">
            <w:pPr>
              <w:pStyle w:val="BodyText"/>
              <w:ind w:left="32" w:hanging="32"/>
              <w:jc w:val="right"/>
            </w:pPr>
            <w:r>
              <w:t>(2.26)</w:t>
            </w:r>
          </w:p>
        </w:tc>
      </w:tr>
    </w:tbl>
    <w:p w:rsidR="00A765D7" w:rsidRDefault="00A765D7"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1E4300">
        <w:tc>
          <w:tcPr>
            <w:tcW w:w="6804" w:type="dxa"/>
          </w:tcPr>
          <w:p w:rsidR="00A765D7" w:rsidRPr="008E2476" w:rsidRDefault="00594F11"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765D7" w:rsidRDefault="00A765D7" w:rsidP="009C3B73">
            <w:pPr>
              <w:pStyle w:val="BodyText"/>
              <w:ind w:firstLine="0"/>
              <w:jc w:val="right"/>
            </w:pPr>
            <w:r>
              <w:t>(2.27)</w:t>
            </w:r>
          </w:p>
        </w:tc>
      </w:tr>
      <w:tr w:rsidR="00A765D7" w:rsidTr="001E4300">
        <w:tc>
          <w:tcPr>
            <w:tcW w:w="6804" w:type="dxa"/>
          </w:tcPr>
          <w:p w:rsidR="00A765D7" w:rsidRPr="008E2476" w:rsidRDefault="00594F11"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765D7" w:rsidRDefault="00A765D7" w:rsidP="009C3B73">
            <w:pPr>
              <w:pStyle w:val="BodyText"/>
              <w:ind w:firstLine="0"/>
              <w:jc w:val="right"/>
            </w:pPr>
            <w:r>
              <w:t>(2.28)</w:t>
            </w:r>
          </w:p>
        </w:tc>
      </w:tr>
    </w:tbl>
    <w:p w:rsidR="00A765D7" w:rsidRDefault="00A765D7"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A765D7" w:rsidRDefault="00A765D7"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A765D7" w:rsidTr="00C23298">
        <w:tc>
          <w:tcPr>
            <w:tcW w:w="6804" w:type="dxa"/>
            <w:tcBorders>
              <w:top w:val="nil"/>
              <w:left w:val="nil"/>
              <w:bottom w:val="nil"/>
              <w:right w:val="nil"/>
            </w:tcBorders>
          </w:tcPr>
          <w:p w:rsidR="00A765D7" w:rsidRPr="008E2476" w:rsidRDefault="00594F11"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(2.29)</w:t>
            </w:r>
          </w:p>
        </w:tc>
      </w:tr>
    </w:tbl>
    <w:p w:rsidR="00A765D7" w:rsidRDefault="00A765D7" w:rsidP="00C452B7">
      <w:pPr>
        <w:pStyle w:val="BodyText"/>
        <w:ind w:firstLine="0"/>
        <w:jc w:val="both"/>
      </w:pPr>
      <w:r>
        <w:t>The weighted average is similarly performed to determine the effective phase function for a particle size distribution.</w:t>
      </w:r>
    </w:p>
    <w:p w:rsidR="00A765D7" w:rsidRPr="00905A0C" w:rsidRDefault="00A765D7"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rsidR="00A765D7" w:rsidRDefault="00A765D7" w:rsidP="00BA54C2">
      <w:pPr>
        <w:pStyle w:val="Heading2"/>
      </w:pPr>
      <w:bookmarkStart w:id="33" w:name="_Toc442187642"/>
      <w:r>
        <w:t>2.4.5 SASKTRAN Radiative Transfer Model</w:t>
      </w:r>
      <w:bookmarkEnd w:id="33"/>
    </w:p>
    <w:p w:rsidR="00A765D7" w:rsidRDefault="00A765D7"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2008). The first source term</w:t>
      </w:r>
      <w:proofErr w:type="gramStart"/>
      <w:r>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randomly 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depolarizing </w:t>
      </w:r>
      <w:proofErr w:type="spellStart"/>
      <w:r>
        <w:t>Lambertian</w:t>
      </w:r>
      <w:proofErr w:type="spellEnd"/>
      <w:r>
        <w:t xml:space="preserve"> distribution when any radiance encounters the surface of the earth with the efficiency of the albedo.</w:t>
      </w:r>
    </w:p>
    <w:p w:rsidR="00A765D7" w:rsidRDefault="00A765D7" w:rsidP="00AB70C3">
      <w:pPr>
        <w:pStyle w:val="BodyText"/>
        <w:jc w:val="both"/>
      </w:pPr>
      <w:r>
        <w:t>Recent upgrades have been performed on SASKTRAN and have led to a new engine known as SASKTRAN High Resolution model 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allows the model to vary the atmospheric concentrations in </w:t>
      </w:r>
      <w:r>
        <w:lastRenderedPageBreak/>
        <w:t xml:space="preserve">the model not just in the vertical direction, like the original SASKTRAN, but in both of the horizontal geometries, allowing for true variances observed in the atmosphere. </w:t>
      </w:r>
    </w:p>
    <w:p w:rsidR="00A765D7" w:rsidRPr="00BA54C2" w:rsidRDefault="00A765D7"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A765D7" w:rsidRDefault="00A765D7" w:rsidP="003D416A">
      <w:pPr>
        <w:pStyle w:val="Heading1"/>
      </w:pPr>
      <w:bookmarkStart w:id="34" w:name="_Toc442187643"/>
      <w:r>
        <w:t>2.5 ALI Prototype and Stratospheric Balloon Flight</w:t>
      </w:r>
      <w:bookmarkEnd w:id="34"/>
    </w:p>
    <w:bookmarkEnd w:id="11"/>
    <w:bookmarkEnd w:id="12"/>
    <w:bookmarkEnd w:id="13"/>
    <w:p w:rsidR="00C453BF" w:rsidRDefault="00A765D7" w:rsidP="00F84215">
      <w:pPr>
        <w:pStyle w:val="BodyText"/>
        <w:jc w:val="both"/>
      </w:pPr>
      <w:r>
        <w:t xml:space="preserve">New satellite instrumentation will be necessary to continue the stratospheric aerosol data set, especially since the current generation of remote sensing instruments are aging and are operating well beyond their designed lifetimes. </w:t>
      </w:r>
      <w:r w:rsidR="009C3B73">
        <w:t>With current prospects for missions looking bleak t</w:t>
      </w:r>
      <w:r w:rsidR="00C125EE">
        <w:t xml:space="preserve">hese new instruments will </w:t>
      </w:r>
      <w:r w:rsidR="009C3B73">
        <w:t xml:space="preserve">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w:t>
      </w:r>
      <w:r w:rsidR="00C453BF">
        <w:t xml:space="preserve">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w:t>
      </w:r>
      <w:r w:rsidR="00BD7C59">
        <w:t xml:space="preserve">and dynamical process that distribution and filter aerosol in the stratosphere </w:t>
      </w:r>
      <w:r w:rsidR="00C453BF">
        <w:t xml:space="preserve">will help to more precisely contribute the cooling effects from aerosol on climate change. </w:t>
      </w:r>
    </w:p>
    <w:p w:rsidR="00BE2863" w:rsidRDefault="00A765D7" w:rsidP="00F84215">
      <w:pPr>
        <w:pStyle w:val="BodyText"/>
        <w:jc w:val="both"/>
      </w:pPr>
      <w:r>
        <w:lastRenderedPageBreak/>
        <w:t xml:space="preserve">One such instrument proposed to fulfill this role is the Aerosol Limb Imager (ALI) which will </w:t>
      </w:r>
      <w:r w:rsidR="00BD7C59">
        <w:t xml:space="preserve">collect spectral </w:t>
      </w:r>
      <w:r>
        <w:t>image</w:t>
      </w:r>
      <w:r w:rsidR="00BD7C59">
        <w:t>s</w:t>
      </w:r>
      <w:r>
        <w:t xml:space="preserve"> the atmosphere </w:t>
      </w:r>
      <w:r w:rsidR="00BD7C59">
        <w:t xml:space="preserve">using an AOTF as the filtering device. The measurements will be recorded </w:t>
      </w:r>
      <w:r>
        <w:t xml:space="preserve">in a limb scatter geometry and with the correct orbit be able to achieve daily global aerosol extinctions. </w:t>
      </w:r>
      <w:r w:rsidR="00C453BF">
        <w:t xml:space="preserve">The ability to measure cross-track and vertical </w:t>
      </w:r>
      <w:r w:rsidR="00BD7C59">
        <w:t xml:space="preserve">profiles </w:t>
      </w:r>
      <w:r w:rsidR="0064116E">
        <w:t xml:space="preserve">measured by ALI will </w:t>
      </w:r>
      <w:r>
        <w:t xml:space="preserve">achieve </w:t>
      </w:r>
      <w:r w:rsidR="0064116E">
        <w:t xml:space="preserve">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w:t>
      </w:r>
      <w:r w:rsidR="00BE2863">
        <w:t xml:space="preserve">the process that contribute to aerosol loading. The possible wavelength range for ALI can range from the visible to the near infrared will allow information </w:t>
      </w:r>
      <w:r w:rsidR="00313BD2">
        <w:t xml:space="preserve">the collection of microphysical parameters of aerosol. This additional information </w:t>
      </w:r>
      <w:r w:rsidR="00E46AB9">
        <w:t>of particle size distribution in combination with the extinction profile will</w:t>
      </w:r>
      <w:r w:rsidR="00313BD2">
        <w:t xml:space="preserve"> help to understanding the </w:t>
      </w:r>
      <w:r w:rsidR="00E46AB9">
        <w:t>radiative</w:t>
      </w:r>
      <w:r w:rsidR="00313BD2">
        <w:t xml:space="preserve"> forcing </w:t>
      </w:r>
      <w:r w:rsidR="00E46AB9">
        <w:t>effects that</w:t>
      </w:r>
      <w:r w:rsidR="00313BD2">
        <w:t xml:space="preserve"> stratospheric aerosol </w:t>
      </w:r>
      <w:r w:rsidR="00E46AB9">
        <w:t xml:space="preserve">contribute to the planet’s atmosphere. The additional information that could be provided by an ALI instrument would be significant to the contributions </w:t>
      </w:r>
      <w:r w:rsidR="00982F29">
        <w:t>of determining and monitoring the effects of</w:t>
      </w:r>
      <w:r w:rsidR="00E46AB9">
        <w:t xml:space="preserve"> global climate change. </w:t>
      </w:r>
    </w:p>
    <w:p w:rsidR="00A765D7" w:rsidRPr="00BA54C2" w:rsidRDefault="00E46AB9" w:rsidP="00E46AB9">
      <w:pPr>
        <w:pStyle w:val="BodyText"/>
        <w:jc w:val="both"/>
        <w:rPr>
          <w:lang w:val="en-CA"/>
        </w:rPr>
        <w:sectPr w:rsidR="00A765D7" w:rsidRPr="00BA54C2" w:rsidSect="00880845">
          <w:headerReference w:type="default" r:id="rId13"/>
          <w:footerReference w:type="first" r:id="rId14"/>
          <w:pgSz w:w="12240" w:h="15840" w:code="1"/>
          <w:pgMar w:top="1440" w:right="1440" w:bottom="1440" w:left="1440" w:header="720" w:footer="720" w:gutter="0"/>
          <w:cols w:space="720"/>
          <w:titlePg/>
        </w:sectPr>
      </w:pPr>
      <w:r>
        <w:t>In order to image</w:t>
      </w:r>
      <w:r w:rsidR="00A765D7">
        <w:t xml:space="preserve"> the atmosphere an AOTF will be used which will complicate the optical design and has not been well tested in a space environment. However, before a satellite mission can be considered, a proof of concept or prototype missions need to be undergone to verify feasibility of the technology. This work will 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w:t>
      </w:r>
      <w:r w:rsidR="00A765D7">
        <w:lastRenderedPageBreak/>
        <w:t xml:space="preserve">the radiance measurements were used to verify that this technology can retrieve aerosol profiles accurately.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F11" w:rsidRDefault="00594F11">
      <w:r>
        <w:separator/>
      </w:r>
    </w:p>
  </w:endnote>
  <w:endnote w:type="continuationSeparator" w:id="0">
    <w:p w:rsidR="00594F11" w:rsidRDefault="00594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Footer"/>
    </w:pPr>
    <w:r>
      <w:rPr>
        <w:rStyle w:val="PageNumber"/>
      </w:rPr>
      <w:fldChar w:fldCharType="begin"/>
    </w:r>
    <w:r>
      <w:rPr>
        <w:rStyle w:val="PageNumber"/>
      </w:rPr>
      <w:instrText xml:space="preserve"> PAGE </w:instrText>
    </w:r>
    <w:r>
      <w:rPr>
        <w:rStyle w:val="PageNumber"/>
      </w:rPr>
      <w:fldChar w:fldCharType="separate"/>
    </w:r>
    <w:r w:rsidR="00F515A1">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F11" w:rsidRDefault="00594F11">
      <w:r>
        <w:separator/>
      </w:r>
    </w:p>
  </w:footnote>
  <w:footnote w:type="continuationSeparator" w:id="0">
    <w:p w:rsidR="00594F11" w:rsidRDefault="00594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Header"/>
    </w:pPr>
    <w:r>
      <w:rPr>
        <w:rStyle w:val="PageNumber"/>
      </w:rPr>
      <w:fldChar w:fldCharType="begin"/>
    </w:r>
    <w:r>
      <w:rPr>
        <w:rStyle w:val="PageNumber"/>
      </w:rPr>
      <w:instrText xml:space="preserve"> PAGE </w:instrText>
    </w:r>
    <w:r>
      <w:rPr>
        <w:rStyle w:val="PageNumber"/>
      </w:rPr>
      <w:fldChar w:fldCharType="separate"/>
    </w:r>
    <w:r w:rsidR="00F515A1">
      <w:rPr>
        <w:rStyle w:val="PageNumber"/>
        <w:noProof/>
      </w:rPr>
      <w:t>25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Header"/>
    </w:pPr>
    <w:r>
      <w:rPr>
        <w:rStyle w:val="PageNumber"/>
      </w:rPr>
      <w:fldChar w:fldCharType="begin"/>
    </w:r>
    <w:r>
      <w:rPr>
        <w:rStyle w:val="PageNumber"/>
      </w:rPr>
      <w:instrText xml:space="preserve"> PAGE </w:instrText>
    </w:r>
    <w:r>
      <w:rPr>
        <w:rStyle w:val="PageNumber"/>
      </w:rPr>
      <w:fldChar w:fldCharType="separate"/>
    </w:r>
    <w:r w:rsidR="00F515A1">
      <w:rPr>
        <w:rStyle w:val="PageNumber"/>
        <w:noProof/>
      </w:rPr>
      <w:t>28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5EE4"/>
    <w:rsid w:val="00151ED9"/>
    <w:rsid w:val="00153059"/>
    <w:rsid w:val="00157783"/>
    <w:rsid w:val="00160D81"/>
    <w:rsid w:val="00164350"/>
    <w:rsid w:val="00172D78"/>
    <w:rsid w:val="00173883"/>
    <w:rsid w:val="0017417B"/>
    <w:rsid w:val="001760E7"/>
    <w:rsid w:val="00176DE8"/>
    <w:rsid w:val="00177C4A"/>
    <w:rsid w:val="00187AD1"/>
    <w:rsid w:val="001A33E5"/>
    <w:rsid w:val="001A53CB"/>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5600"/>
    <w:rsid w:val="002156CE"/>
    <w:rsid w:val="002163A1"/>
    <w:rsid w:val="00222BE7"/>
    <w:rsid w:val="002277ED"/>
    <w:rsid w:val="002347DA"/>
    <w:rsid w:val="002362EA"/>
    <w:rsid w:val="00250BEC"/>
    <w:rsid w:val="00256D95"/>
    <w:rsid w:val="00267F43"/>
    <w:rsid w:val="0028014F"/>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4C5"/>
    <w:rsid w:val="005577B0"/>
    <w:rsid w:val="00565F67"/>
    <w:rsid w:val="00591F92"/>
    <w:rsid w:val="00594F11"/>
    <w:rsid w:val="005B3B3A"/>
    <w:rsid w:val="005B3C39"/>
    <w:rsid w:val="005C2A3E"/>
    <w:rsid w:val="005C4C73"/>
    <w:rsid w:val="005D7098"/>
    <w:rsid w:val="005E1011"/>
    <w:rsid w:val="005E36A6"/>
    <w:rsid w:val="005E7C80"/>
    <w:rsid w:val="005F331B"/>
    <w:rsid w:val="005F360B"/>
    <w:rsid w:val="005F41A7"/>
    <w:rsid w:val="005F5809"/>
    <w:rsid w:val="006008D1"/>
    <w:rsid w:val="006069EB"/>
    <w:rsid w:val="0061633B"/>
    <w:rsid w:val="006310FC"/>
    <w:rsid w:val="00632071"/>
    <w:rsid w:val="006357D5"/>
    <w:rsid w:val="006363C6"/>
    <w:rsid w:val="0064116E"/>
    <w:rsid w:val="0065605C"/>
    <w:rsid w:val="00657F5B"/>
    <w:rsid w:val="00673EC3"/>
    <w:rsid w:val="006811BF"/>
    <w:rsid w:val="00681468"/>
    <w:rsid w:val="006849E7"/>
    <w:rsid w:val="006863A3"/>
    <w:rsid w:val="00690712"/>
    <w:rsid w:val="00691E8F"/>
    <w:rsid w:val="00694A40"/>
    <w:rsid w:val="006A6BAE"/>
    <w:rsid w:val="006B1F6F"/>
    <w:rsid w:val="006B3917"/>
    <w:rsid w:val="006B504D"/>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470B9"/>
    <w:rsid w:val="00851023"/>
    <w:rsid w:val="00854A15"/>
    <w:rsid w:val="0085709F"/>
    <w:rsid w:val="00870629"/>
    <w:rsid w:val="00873FCE"/>
    <w:rsid w:val="00880845"/>
    <w:rsid w:val="00883C1D"/>
    <w:rsid w:val="008923B0"/>
    <w:rsid w:val="00892B43"/>
    <w:rsid w:val="00897065"/>
    <w:rsid w:val="008A0BC4"/>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82F29"/>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5C53"/>
    <w:rsid w:val="00A37415"/>
    <w:rsid w:val="00A4291E"/>
    <w:rsid w:val="00A44BDC"/>
    <w:rsid w:val="00A50433"/>
    <w:rsid w:val="00A52F0C"/>
    <w:rsid w:val="00A7651A"/>
    <w:rsid w:val="00A765D7"/>
    <w:rsid w:val="00A8371D"/>
    <w:rsid w:val="00A9281F"/>
    <w:rsid w:val="00A95A63"/>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4668D"/>
    <w:rsid w:val="00B54433"/>
    <w:rsid w:val="00B61652"/>
    <w:rsid w:val="00B648AE"/>
    <w:rsid w:val="00B65FEF"/>
    <w:rsid w:val="00B73279"/>
    <w:rsid w:val="00B75B67"/>
    <w:rsid w:val="00B83AF5"/>
    <w:rsid w:val="00B87FEE"/>
    <w:rsid w:val="00B90AA2"/>
    <w:rsid w:val="00BA46A1"/>
    <w:rsid w:val="00BA54C2"/>
    <w:rsid w:val="00BA68D4"/>
    <w:rsid w:val="00BB1654"/>
    <w:rsid w:val="00BB5BF9"/>
    <w:rsid w:val="00BD1ABC"/>
    <w:rsid w:val="00BD7C59"/>
    <w:rsid w:val="00BE2863"/>
    <w:rsid w:val="00C125EE"/>
    <w:rsid w:val="00C23298"/>
    <w:rsid w:val="00C36B31"/>
    <w:rsid w:val="00C452B7"/>
    <w:rsid w:val="00C453BF"/>
    <w:rsid w:val="00C53FD1"/>
    <w:rsid w:val="00C5731C"/>
    <w:rsid w:val="00C65F0D"/>
    <w:rsid w:val="00C67D1F"/>
    <w:rsid w:val="00CA3F4D"/>
    <w:rsid w:val="00CA402F"/>
    <w:rsid w:val="00CA6687"/>
    <w:rsid w:val="00CB3CBE"/>
    <w:rsid w:val="00CB6418"/>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75640"/>
    <w:rsid w:val="00D838FE"/>
    <w:rsid w:val="00D85420"/>
    <w:rsid w:val="00DA1E49"/>
    <w:rsid w:val="00DA4460"/>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717"/>
    <w:rsid w:val="00E46AB9"/>
    <w:rsid w:val="00E46E53"/>
    <w:rsid w:val="00E56F94"/>
    <w:rsid w:val="00E57BFF"/>
    <w:rsid w:val="00E64D22"/>
    <w:rsid w:val="00E6623B"/>
    <w:rsid w:val="00E665AB"/>
    <w:rsid w:val="00E751D0"/>
    <w:rsid w:val="00E76A3F"/>
    <w:rsid w:val="00E914CB"/>
    <w:rsid w:val="00EA1644"/>
    <w:rsid w:val="00EA5DCF"/>
    <w:rsid w:val="00EA7004"/>
    <w:rsid w:val="00ED192E"/>
    <w:rsid w:val="00EE2E6D"/>
    <w:rsid w:val="00EE383C"/>
    <w:rsid w:val="00EE44B5"/>
    <w:rsid w:val="00F02A7F"/>
    <w:rsid w:val="00F077F1"/>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AE080-7C4A-41AE-812C-C9E00F93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19281</TotalTime>
  <Pages>28</Pages>
  <Words>6938</Words>
  <Characters>39551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194</cp:revision>
  <dcterms:created xsi:type="dcterms:W3CDTF">2015-08-27T21:13:00Z</dcterms:created>
  <dcterms:modified xsi:type="dcterms:W3CDTF">2016-02-10T16:06:00Z</dcterms:modified>
</cp:coreProperties>
</file>