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B524A" w14:textId="77777777" w:rsidR="00BB4F16" w:rsidRPr="007E1609" w:rsidRDefault="00BB4F16" w:rsidP="005B3B3A">
      <w:pPr>
        <w:pStyle w:val="ONEINCHSPACER"/>
        <w:spacing w:before="0"/>
        <w:jc w:val="center"/>
        <w:rPr>
          <w:sz w:val="36"/>
          <w:szCs w:val="36"/>
        </w:rPr>
      </w:pPr>
      <w:r w:rsidRPr="007E1609">
        <w:rPr>
          <w:sz w:val="36"/>
          <w:szCs w:val="36"/>
        </w:rPr>
        <w:t>CHAPTER 2</w:t>
      </w:r>
    </w:p>
    <w:p w14:paraId="39F0B8B3" w14:textId="77777777" w:rsidR="00BB4F16" w:rsidRPr="007E1609" w:rsidRDefault="00BB4F16">
      <w:pPr>
        <w:pStyle w:val="CHAPTERTITLE"/>
        <w:rPr>
          <w:sz w:val="36"/>
          <w:szCs w:val="36"/>
        </w:rPr>
      </w:pPr>
      <w:bookmarkStart w:id="0" w:name="_Toc452973708"/>
      <w:bookmarkStart w:id="1" w:name="_Toc459300468"/>
      <w:r w:rsidRPr="007E1609">
        <w:rPr>
          <w:sz w:val="36"/>
          <w:szCs w:val="36"/>
        </w:rPr>
        <w:t>BACKGROUND</w:t>
      </w:r>
      <w:bookmarkEnd w:id="0"/>
      <w:bookmarkEnd w:id="1"/>
    </w:p>
    <w:p w14:paraId="62EA805E" w14:textId="77777777" w:rsidR="00BB4F16" w:rsidRDefault="00BB4F16" w:rsidP="007E1609">
      <w:pPr>
        <w:pStyle w:val="Heading1"/>
      </w:pPr>
      <w:bookmarkStart w:id="2" w:name="_Toc452973709"/>
      <w:bookmarkStart w:id="3" w:name="_Toc459300469"/>
      <w:r>
        <w:t>2.1 Introduction</w:t>
      </w:r>
      <w:bookmarkEnd w:id="2"/>
      <w:bookmarkEnd w:id="3"/>
    </w:p>
    <w:p w14:paraId="594B9214" w14:textId="77777777" w:rsidR="00BB4F16" w:rsidRDefault="00BB4F16"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xml:space="preserve">, 2013) and efforts to quantify the variability and trends in the global stratospheric aerosol load are underway with various ground-based and satellite data sets (e.g. </w:t>
      </w:r>
      <w:r w:rsidRPr="00774BC7">
        <w:rPr>
          <w:i/>
        </w:rPr>
        <w:t>Rieger et al.</w:t>
      </w:r>
      <w:r>
        <w:t xml:space="preserve">, 2015; </w:t>
      </w:r>
      <w:r w:rsidRPr="00774BC7">
        <w:rPr>
          <w:i/>
        </w:rPr>
        <w:t>Ridley et al.</w:t>
      </w:r>
      <w:r>
        <w:t xml:space="preserve">, 2014). </w:t>
      </w:r>
    </w:p>
    <w:p w14:paraId="432FF3BD" w14:textId="77777777" w:rsidR="00BB4F16" w:rsidRDefault="00BB4F16"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21A677C6" w14:textId="77777777" w:rsidR="00BB4F16" w:rsidRDefault="00BB4F16"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0A4D9FCE" w14:textId="77777777" w:rsidR="00BB4F16" w:rsidRDefault="00BB4F16"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5EF85024" w14:textId="77777777" w:rsidR="00BB4F16" w:rsidRDefault="00BB4F16"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772758A8" w14:textId="77777777" w:rsidR="00BB4F16" w:rsidRPr="008C65D4" w:rsidRDefault="00BB4F16"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and has been recently selected for small satellite deployment by the European Space Agency.  ALTIUS is designed to measure limb scattered sunlight; however, it also has solar, stellar, and planetary occultation modes and is scientifically focused on trace gas measurements, particularly for ozone, whereas ALI is optimized for aerosol observation from limb scattering observations.  </w:t>
      </w:r>
    </w:p>
    <w:p w14:paraId="3B810E3B" w14:textId="77777777" w:rsidR="00BB4F16" w:rsidRDefault="00BB4F16" w:rsidP="007E1609">
      <w:pPr>
        <w:pStyle w:val="Heading1"/>
      </w:pPr>
      <w:bookmarkStart w:id="4" w:name="_Toc452973710"/>
      <w:bookmarkStart w:id="5" w:name="_Toc459300470"/>
      <w:r>
        <w:t>2.2 Stratospheric Aerosol</w:t>
      </w:r>
      <w:bookmarkEnd w:id="4"/>
      <w:bookmarkEnd w:id="5"/>
    </w:p>
    <w:p w14:paraId="610BC82C" w14:textId="77777777" w:rsidR="00BB4F16" w:rsidRDefault="00BB4F16" w:rsidP="006363C6">
      <w:pPr>
        <w:pStyle w:val="ListNumber"/>
        <w:spacing w:after="0" w:line="480" w:lineRule="auto"/>
        <w:ind w:left="0" w:firstLine="709"/>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lead to a series of balloon campaigns, which were noisy and unreliable due to the technology available, to discover this mysterious altitude in the atmosphere.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occurs where the temperature starts to increase and thus the tropopause, which separates troposphere and the stratosphere, was discovered. The stratosphere is the region of the atmosphere above this temperature inversion point where atmospheric temperature increases. The tropopause, which is the lower bound of the stratosphere, ranges in altitude from approximately 10 km to 16 km from the high latitudes to the tropics (</w:t>
      </w:r>
      <w:r w:rsidRPr="00043A8D">
        <w:rPr>
          <w:i/>
        </w:rPr>
        <w:t>Andrews</w:t>
      </w:r>
      <w:r>
        <w:t>, 1987), and extends up to approximately 50 km.  It is a thermodynamically stable and fairly dry (</w:t>
      </w:r>
      <w:r>
        <w:rPr>
          <w:i/>
        </w:rPr>
        <w:t>Boucher</w:t>
      </w:r>
      <w:r>
        <w:t>, 2015) region of the atmosphere, and the characteristic stability of the stratosphere limits vertical transport, leading to long lifetimes, spanning from months to years, for non-volatile species (</w:t>
      </w:r>
      <w:r>
        <w:rPr>
          <w:i/>
        </w:rPr>
        <w:t>Volk et al.,</w:t>
      </w:r>
      <w:r>
        <w:t xml:space="preserve"> 1997; </w:t>
      </w:r>
      <w:r>
        <w:rPr>
          <w:i/>
        </w:rPr>
        <w:t>Brasseur and Solomon</w:t>
      </w:r>
      <w:r>
        <w:t>, 2005)</w:t>
      </w:r>
    </w:p>
    <w:p w14:paraId="1C0B188D" w14:textId="77777777" w:rsidR="00BB4F16" w:rsidRDefault="00BB4F16" w:rsidP="006363C6">
      <w:pPr>
        <w:pStyle w:val="ListNumber"/>
        <w:spacing w:after="0" w:line="480" w:lineRule="auto"/>
        <w:ind w:left="0" w:firstLine="709"/>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 </w:t>
      </w:r>
      <w:r w:rsidRPr="00FD1E67">
        <w:rPr>
          <w:i/>
        </w:rPr>
        <w:t>i.e</w:t>
      </w:r>
      <w:r>
        <w:t>. along a constant latitude, is much faster (</w:t>
      </w:r>
      <w:r>
        <w:rPr>
          <w:i/>
        </w:rPr>
        <w:t>Plumb and Eluszkiewicz</w:t>
      </w:r>
      <w:r>
        <w:t xml:space="preserve">, 1999) and tends to cause zonal symmetry of composition. The transport of gases emitted from sources on the surface, or chemically created in the troposphere, through the tropopause and into the stratosphere is an important aspect of stratospheric composition.  This is the case for stratospheric aerosol where the oxidation of sulfur-bearing compounds, transported from the troposphere to the stratosphere, forms the aerosol layer discovered by </w:t>
      </w:r>
      <w:r>
        <w:rPr>
          <w:i/>
        </w:rPr>
        <w:t xml:space="preserve">Junge et al. </w:t>
      </w:r>
      <w:r>
        <w:t>(1961) with stratospheric balloon sondes measurements. These aerosols are primarily droplets of hydrated sulfuric acid (H</w:t>
      </w:r>
      <w:r>
        <w:rPr>
          <w:vertAlign w:val="subscript"/>
        </w:rPr>
        <w:softHyphen/>
        <w:t>2</w:t>
      </w:r>
      <w:r>
        <w:rPr>
          <w:vertAlign w:val="subscript"/>
        </w:rPr>
        <w:softHyphen/>
      </w:r>
      <w:r>
        <w:t>SO</w:t>
      </w:r>
      <w:r>
        <w:softHyphen/>
      </w:r>
      <w:r>
        <w:rPr>
          <w:vertAlign w:val="subscript"/>
        </w:rPr>
        <w:t>4</w:t>
      </w:r>
      <w:r>
        <w:t>) formed from the oxidation of sulfur-containing source gases,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70B9A785" w14:textId="77777777" w:rsidR="00BB4F16" w:rsidRDefault="00BB4F16" w:rsidP="002347DA">
      <w:pPr>
        <w:pStyle w:val="Heading2"/>
      </w:pPr>
      <w:bookmarkStart w:id="6" w:name="_Toc452973711"/>
      <w:bookmarkStart w:id="7" w:name="_Toc459300471"/>
      <w:r>
        <w:t>2.2.1 Aerosol Sources</w:t>
      </w:r>
      <w:bookmarkEnd w:id="6"/>
      <w:bookmarkEnd w:id="7"/>
    </w:p>
    <w:p w14:paraId="1D5C9267" w14:textId="77777777" w:rsidR="00BB4F16" w:rsidRDefault="00BB4F16" w:rsidP="00DD3820">
      <w:pPr>
        <w:pStyle w:val="ListNumber"/>
        <w:spacing w:after="0" w:line="480" w:lineRule="auto"/>
        <w:ind w:left="0" w:firstLine="709"/>
        <w:jc w:val="both"/>
      </w:pPr>
      <w:r>
        <w:t xml:space="preserve">The source gases that eventually form stratospheric aerosol are emitted or produced in the troposphere through both natural and anthropogenic processes. These sulfur sources enter the atmosphere in various ways and undergo a chain of chemical reactions to form sulfate aerosol within the stratosphere. </w:t>
      </w:r>
    </w:p>
    <w:p w14:paraId="03694147" w14:textId="77777777" w:rsidR="00BB4F16" w:rsidRDefault="00BB4F16" w:rsidP="00DD3820">
      <w:pPr>
        <w:pStyle w:val="ListNumber"/>
        <w:spacing w:after="0" w:line="480" w:lineRule="auto"/>
        <w:ind w:left="0" w:firstLine="709"/>
        <w:jc w:val="both"/>
      </w:pPr>
      <w:r>
        <w:t>One primary source of atmospheric sulfur is OCS, which originates from natural marine processes, biomass burning, and industrial processes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where it contributes to the background aerosol layer (</w:t>
      </w:r>
      <w:r>
        <w:rPr>
          <w:i/>
        </w:rPr>
        <w:t>Crutzen</w:t>
      </w:r>
      <w:r>
        <w:t xml:space="preserve">, 1976). </w:t>
      </w:r>
    </w:p>
    <w:p w14:paraId="77F9FBAF" w14:textId="77777777" w:rsidR="00BB4F16" w:rsidRPr="000E5426" w:rsidRDefault="00BB4F16" w:rsidP="00DD3820">
      <w:pPr>
        <w:pStyle w:val="ListNumber"/>
        <w:spacing w:after="0" w:line="480" w:lineRule="auto"/>
        <w:ind w:left="0" w:firstLine="709"/>
        <w:jc w:val="both"/>
        <w:rPr>
          <w:i/>
        </w:rPr>
      </w:pPr>
      <w:r>
        <w:t>Another important source of atmospheric sulfur is sulfur dioxide (SO</w:t>
      </w:r>
      <w:r>
        <w:rPr>
          <w:vertAlign w:val="subscript"/>
        </w:rPr>
        <w:t>2</w:t>
      </w:r>
      <w:r>
        <w:t>), which originates in the troposphere through the burning of fossil fuels. SO</w:t>
      </w:r>
      <w:r>
        <w:rPr>
          <w:vertAlign w:val="subscript"/>
        </w:rPr>
        <w:t>2</w:t>
      </w:r>
      <w:r>
        <w:t xml:space="preserve"> has a short lifetime in the troposphere, and its concentration varies regionally; however, this emitted SO</w:t>
      </w:r>
      <w:r w:rsidRPr="00671D30">
        <w:rPr>
          <w:vertAlign w:val="subscript"/>
        </w:rPr>
        <w:t>2</w:t>
      </w:r>
      <w:r>
        <w:t xml:space="preserve"> still can enter the stratosphere through transport processes and contribute to the background aerosol layer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Volcanic eruptions can inject such large amounts of sulfur that they in fact dominate the variability of the stratospheric aerosol layer, essentially episodically perturbing the background levels.  This volcanic enhancement of the aerosol layer occurred on a massive level following the volcanic eruptions of El Chichon in 1982 (12-20 Tg of SO</w:t>
      </w:r>
      <w:r w:rsidRPr="00BD3148">
        <w:rPr>
          <w:vertAlign w:val="subscript"/>
        </w:rPr>
        <w:t>2</w:t>
      </w:r>
      <w:r>
        <w:t>) (</w:t>
      </w:r>
      <w:r>
        <w:rPr>
          <w:i/>
        </w:rPr>
        <w:t>McCormick and Swissler</w:t>
      </w:r>
      <w:r>
        <w:t xml:space="preserve">, 1983; </w:t>
      </w:r>
      <w:r>
        <w:rPr>
          <w:i/>
        </w:rPr>
        <w:t>Hofmann and Rosen</w:t>
      </w:r>
      <w:r>
        <w:t>, 1983) and Mount Pinatubo in 1991 (20-30 Tg of SO</w:t>
      </w:r>
      <w:r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 until the early 2000’s. Following this period, a series of relatively minor, mostly tropical, volcanic eruptions have increased the background aerosol layer in the amount of 4-7% per year from 2000 to 2009 (</w:t>
      </w:r>
      <w:r>
        <w:rPr>
          <w:i/>
        </w:rPr>
        <w:t>Vernier et al.</w:t>
      </w:r>
      <w:r>
        <w:t>, 2011b).  These small eruptions have continued to the present day and include eruptions such as Kasatochi (1.2-2.2 Tg of SO</w:t>
      </w:r>
      <w:r w:rsidRPr="00671D30">
        <w:rPr>
          <w:vertAlign w:val="subscript"/>
        </w:rPr>
        <w:t>2</w:t>
      </w:r>
      <w:r>
        <w:t>) in 2008 (</w:t>
      </w:r>
      <w:r w:rsidRPr="008B011C">
        <w:rPr>
          <w:i/>
        </w:rPr>
        <w:t>Prata et al.</w:t>
      </w:r>
      <w:r>
        <w:t>, 2010), Nabro (1.0- 1.5 Tg of SO</w:t>
      </w:r>
      <w:r w:rsidRPr="00671D30">
        <w:rPr>
          <w:vertAlign w:val="subscript"/>
        </w:rPr>
        <w:t>2</w:t>
      </w:r>
      <w:r>
        <w:t>) in 2011 (</w:t>
      </w:r>
      <w:r w:rsidRPr="008B011C">
        <w:rPr>
          <w:i/>
        </w:rPr>
        <w:t>Clarisse et al.</w:t>
      </w:r>
      <w:r>
        <w:t>, 2016),  Kelut (0.1-0.3 Tg of SO</w:t>
      </w:r>
      <w:r w:rsidRPr="00671D30">
        <w:rPr>
          <w:vertAlign w:val="subscript"/>
        </w:rPr>
        <w:t>2</w:t>
      </w:r>
      <w:r>
        <w:t>) in 2014, and Calbuco (0.2 -0.5 Tg of SO</w:t>
      </w:r>
      <w:r w:rsidRPr="00671D30">
        <w:rPr>
          <w:vertAlign w:val="subscript"/>
        </w:rPr>
        <w:t>2</w:t>
      </w:r>
      <w:r>
        <w:t>) in 2015 (</w:t>
      </w:r>
      <w:r w:rsidRPr="008B011C">
        <w:rPr>
          <w:i/>
        </w:rPr>
        <w:t>Carn et al</w:t>
      </w:r>
      <w:r>
        <w:t>., 2016).  The enhancement of the aerosol layer from these eruptions is well captured in the satellite record (</w:t>
      </w:r>
      <w:r>
        <w:rPr>
          <w:i/>
        </w:rPr>
        <w:t>Rieger et al., 2015).</w:t>
      </w:r>
    </w:p>
    <w:p w14:paraId="4C395FEF" w14:textId="77777777" w:rsidR="00BB4F16" w:rsidRDefault="00BB4F16" w:rsidP="008B011C">
      <w:pPr>
        <w:pStyle w:val="Heading2"/>
      </w:pPr>
      <w:bookmarkStart w:id="8" w:name="_Toc459300472"/>
      <w:r>
        <w:t>2.2.2 Aerosol Microphysics</w:t>
      </w:r>
      <w:bookmarkEnd w:id="8"/>
    </w:p>
    <w:p w14:paraId="50223B4D" w14:textId="77777777" w:rsidR="00BB4F16" w:rsidRDefault="00BB4F16" w:rsidP="00DD3820">
      <w:pPr>
        <w:pStyle w:val="ListNumber"/>
        <w:spacing w:after="0" w:line="480" w:lineRule="auto"/>
        <w:ind w:left="0" w:firstLine="709"/>
        <w:jc w:val="both"/>
      </w:pPr>
      <w:r>
        <w:t xml:space="preserve">These sulfur source gases undergo a series of chemical reactions and are converted </w:t>
      </w:r>
      <w:r w:rsidRPr="006069EB">
        <w:t xml:space="preserve">into </w:t>
      </w:r>
      <w:r>
        <w:t>molecular H</w:t>
      </w:r>
      <w:r>
        <w:rPr>
          <w:vertAlign w:val="subscript"/>
        </w:rPr>
        <w:t>2</w:t>
      </w:r>
      <w:r>
        <w:t>SO</w:t>
      </w:r>
      <w:r>
        <w:softHyphen/>
      </w:r>
      <w:r>
        <w:rPr>
          <w:vertAlign w:val="subscript"/>
        </w:rPr>
        <w:t>4</w:t>
      </w:r>
      <w:r>
        <w:t xml:space="preserve"> that then nucleates and condenses to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1989). These spherical droplets coagulate into various sizes distributed between approximately 0.05 to 1.0 µm,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distribution of particle radii, </w:t>
      </w:r>
      <w:r>
        <w:rPr>
          <w:i/>
        </w:rPr>
        <w:t>r</w:t>
      </w:r>
      <w:r>
        <w:t xml:space="preserve">, in the form of </w:t>
      </w:r>
    </w:p>
    <w:tbl>
      <w:tblPr>
        <w:tblStyle w:val="TableGrid"/>
        <w:tblW w:w="8050" w:type="dxa"/>
        <w:tblInd w:w="1418" w:type="dxa"/>
        <w:tblLook w:val="04A0" w:firstRow="1" w:lastRow="0" w:firstColumn="1" w:lastColumn="0" w:noHBand="0" w:noVBand="1"/>
      </w:tblPr>
      <w:tblGrid>
        <w:gridCol w:w="6804"/>
        <w:gridCol w:w="1246"/>
      </w:tblGrid>
      <w:tr w:rsidR="00BB4F16" w14:paraId="0DE3F4D4" w14:textId="77777777" w:rsidTr="000927B6">
        <w:tc>
          <w:tcPr>
            <w:tcW w:w="6804" w:type="dxa"/>
            <w:tcBorders>
              <w:top w:val="nil"/>
              <w:left w:val="nil"/>
              <w:bottom w:val="nil"/>
              <w:right w:val="nil"/>
            </w:tcBorders>
          </w:tcPr>
          <w:p w14:paraId="4C49CCE4" w14:textId="77777777" w:rsidR="00BB4F16" w:rsidRPr="0076182D" w:rsidRDefault="00BB4F16"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46463173" w14:textId="77777777" w:rsidR="00BB4F16" w:rsidRDefault="00BB4F16" w:rsidP="000927B6">
            <w:pPr>
              <w:pStyle w:val="BodyText"/>
              <w:ind w:firstLine="0"/>
              <w:jc w:val="right"/>
            </w:pPr>
            <w:r>
              <w:t>(2.1)</w:t>
            </w:r>
          </w:p>
        </w:tc>
      </w:tr>
    </w:tbl>
    <w:p w14:paraId="7D3419A4" w14:textId="77777777" w:rsidR="00BB4F16" w:rsidRDefault="00BB4F16"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Pr>
          <w:i/>
        </w:rPr>
        <w:t>Deshler</w:t>
      </w:r>
      <w:r>
        <w:t xml:space="preserve">, 2003), the log-normal distribution is shown in </w:t>
      </w:r>
      <w:r w:rsidRPr="00C07B58">
        <w:fldChar w:fldCharType="begin"/>
      </w:r>
      <w:r w:rsidRPr="00C07B58">
        <w:instrText xml:space="preserve"> REF _Ref456353520 \h </w:instrText>
      </w:r>
      <w:r w:rsidRPr="00C07B58">
        <w:instrText xml:space="preserve"> \* MERGEFORMAT </w:instrText>
      </w:r>
      <w:r w:rsidRPr="00C07B58">
        <w:fldChar w:fldCharType="separate"/>
      </w:r>
      <w:r w:rsidRPr="00E93584">
        <w:t>Figure 2-1</w:t>
      </w:r>
      <w:r w:rsidRPr="00C07B58">
        <w:fldChar w:fldCharType="end"/>
      </w:r>
      <w:r>
        <w:t>.</w:t>
      </w:r>
    </w:p>
    <w:p w14:paraId="52C8A45C" w14:textId="77777777" w:rsidR="00BB4F16" w:rsidRDefault="00BB4F16" w:rsidP="000F1B17">
      <w:pPr>
        <w:pStyle w:val="ListNumber"/>
        <w:keepNext/>
        <w:spacing w:after="0" w:line="480" w:lineRule="auto"/>
        <w:ind w:left="0" w:firstLine="0"/>
        <w:jc w:val="center"/>
      </w:pPr>
      <w:r>
        <w:rPr>
          <w:noProof/>
          <w:lang w:val="en-US"/>
        </w:rPr>
        <w:drawing>
          <wp:inline distT="0" distB="0" distL="0" distR="0" wp14:anchorId="45F4FE45" wp14:editId="62CB866A">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765639F5" w14:textId="77777777" w:rsidR="00BB4F16" w:rsidRPr="00ED192E" w:rsidRDefault="00BB4F16" w:rsidP="0004009B">
      <w:pPr>
        <w:pStyle w:val="Caption"/>
        <w:jc w:val="both"/>
        <w:rPr>
          <w:b w:val="0"/>
        </w:rPr>
      </w:pPr>
      <w:bookmarkStart w:id="9" w:name="_Ref456353520"/>
      <w:bookmarkStart w:id="10" w:name="_Toc459300600"/>
      <w:r w:rsidRPr="00E678B3">
        <w:rPr>
          <w:b w:val="0"/>
        </w:rPr>
        <w:t>Figure 2-</w:t>
      </w:r>
      <w:r w:rsidRPr="00E678B3">
        <w:rPr>
          <w:b w:val="0"/>
        </w:rPr>
        <w:fldChar w:fldCharType="begin"/>
      </w:r>
      <w:r w:rsidRPr="00E678B3">
        <w:rPr>
          <w:b w:val="0"/>
        </w:rPr>
        <w:instrText xml:space="preserve"> SEQ Figure \* ARABIC \r 1 </w:instrText>
      </w:r>
      <w:r w:rsidRPr="00E678B3">
        <w:rPr>
          <w:b w:val="0"/>
        </w:rPr>
        <w:fldChar w:fldCharType="separate"/>
      </w:r>
      <w:r>
        <w:rPr>
          <w:b w:val="0"/>
          <w:noProof/>
        </w:rPr>
        <w:t>1</w:t>
      </w:r>
      <w:r w:rsidRPr="00E678B3">
        <w:rPr>
          <w:b w:val="0"/>
          <w:noProof/>
        </w:rPr>
        <w:fldChar w:fldCharType="end"/>
      </w:r>
      <w:bookmarkEnd w:id="9"/>
      <w:r w:rsidRPr="00286697">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64FA525B" w14:textId="77777777" w:rsidR="00BB4F16" w:rsidRDefault="00BB4F16" w:rsidP="008F7035">
      <w:pPr>
        <w:pStyle w:val="ListNumber"/>
        <w:spacing w:after="0"/>
        <w:ind w:left="0" w:firstLine="0"/>
        <w:jc w:val="both"/>
      </w:pPr>
    </w:p>
    <w:p w14:paraId="72364BB1" w14:textId="77777777" w:rsidR="00BB4F16" w:rsidRDefault="00BB4F16"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E93584">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E93584">
        <w:rPr>
          <w:szCs w:val="24"/>
        </w:rPr>
        <w:t>Figure 2-2</w:t>
      </w:r>
      <w:r w:rsidRPr="005E339C">
        <w:fldChar w:fldCharType="end"/>
      </w:r>
      <w:r>
        <w:t>, the number density of the coarse mode is very small and can generally be ignored in non-volcanic periods so a unimodal approximation is typically sufficient.</w:t>
      </w:r>
    </w:p>
    <w:p w14:paraId="2802AEF4" w14:textId="77777777" w:rsidR="00BB4F16" w:rsidRDefault="00BB4F16" w:rsidP="000F1B17">
      <w:pPr>
        <w:pStyle w:val="ListNumber"/>
        <w:keepNext/>
        <w:spacing w:after="0" w:line="480" w:lineRule="auto"/>
        <w:ind w:left="0" w:firstLine="0"/>
        <w:jc w:val="center"/>
      </w:pPr>
      <w:r>
        <w:rPr>
          <w:noProof/>
          <w:lang w:val="en-US"/>
        </w:rPr>
        <w:drawing>
          <wp:inline distT="0" distB="0" distL="0" distR="0" wp14:anchorId="34F0792F" wp14:editId="0865D067">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09FE7E9E" w14:textId="77777777" w:rsidR="00BB4F16" w:rsidRPr="00DF5010" w:rsidRDefault="00BB4F16" w:rsidP="00D62BA2">
      <w:pPr>
        <w:jc w:val="both"/>
        <w:rPr>
          <w:sz w:val="24"/>
          <w:szCs w:val="24"/>
        </w:rPr>
      </w:pPr>
      <w:bookmarkStart w:id="11" w:name="_Ref432512315"/>
      <w:bookmarkStart w:id="12" w:name="_Toc435878542"/>
      <w:bookmarkStart w:id="13" w:name="_Toc452973849"/>
      <w:bookmarkStart w:id="14" w:name="_Toc459300601"/>
      <w:r w:rsidRPr="00DF5010">
        <w:rPr>
          <w:b/>
          <w:sz w:val="24"/>
          <w:szCs w:val="24"/>
        </w:rPr>
        <w:t>Figure 2-</w:t>
      </w:r>
      <w:r w:rsidRPr="008F7035">
        <w:rPr>
          <w:b/>
          <w:sz w:val="24"/>
          <w:szCs w:val="24"/>
        </w:rPr>
        <w:fldChar w:fldCharType="begin"/>
      </w:r>
      <w:r w:rsidRPr="0004009B">
        <w:rPr>
          <w:b/>
          <w:sz w:val="24"/>
          <w:szCs w:val="24"/>
        </w:rPr>
        <w:instrText xml:space="preserve"> SEQ Figure \* ARABIC </w:instrText>
      </w:r>
      <w:r w:rsidRPr="008F7035">
        <w:rPr>
          <w:b/>
          <w:sz w:val="24"/>
          <w:szCs w:val="24"/>
        </w:rPr>
        <w:fldChar w:fldCharType="separate"/>
      </w:r>
      <w:r>
        <w:rPr>
          <w:b/>
          <w:noProof/>
          <w:szCs w:val="24"/>
        </w:rPr>
        <w:t>2</w:t>
      </w:r>
      <w:r w:rsidRPr="008F7035">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034C1AD1" w14:textId="77777777" w:rsidR="00BB4F16" w:rsidRPr="009C3CFE" w:rsidRDefault="00BB4F16" w:rsidP="009C3CFE">
      <w:pPr>
        <w:jc w:val="center"/>
        <w:rPr>
          <w:sz w:val="24"/>
          <w:szCs w:val="24"/>
        </w:rPr>
      </w:pPr>
    </w:p>
    <w:p w14:paraId="19AD65DF" w14:textId="77777777" w:rsidR="00BB4F16" w:rsidRDefault="00BB4F16" w:rsidP="002347DA">
      <w:pPr>
        <w:pStyle w:val="Heading2"/>
      </w:pPr>
      <w:bookmarkStart w:id="15" w:name="_Toc452973712"/>
      <w:bookmarkStart w:id="16" w:name="_Toc459300473"/>
      <w:r>
        <w:t>2.2.3 Climate Effects</w:t>
      </w:r>
      <w:bookmarkEnd w:id="15"/>
      <w:bookmarkEnd w:id="16"/>
    </w:p>
    <w:p w14:paraId="2C29DA5B" w14:textId="77777777" w:rsidR="00BB4F16" w:rsidRDefault="00BB4F16" w:rsidP="00B03693">
      <w:pPr>
        <w:pStyle w:val="ListNumber"/>
        <w:spacing w:after="0" w:line="480" w:lineRule="auto"/>
        <w:ind w:left="0" w:firstLine="709"/>
        <w:jc w:val="both"/>
      </w:pPr>
      <w:r>
        <w:t>Stratospheric aerosol can have several effects on the climate of the planet, and particularly due to the variability of the 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5CAAA455" w14:textId="77777777" w:rsidR="00BB4F16" w:rsidRDefault="00BB4F16" w:rsidP="00BB1654">
      <w:pPr>
        <w:pStyle w:val="ListNumber"/>
        <w:spacing w:after="0" w:line="480" w:lineRule="auto"/>
        <w:ind w:left="0" w:firstLine="709"/>
        <w:jc w:val="both"/>
      </w:pPr>
      <w:r>
        <w:t>During background periods without substantial volcanic contribution to the aerosol load the cooling effect from stratospheric aerosols is very small, but this greatly changes during periods of volcanic activity where the layer concentrations can be significantly enhanced. After the eruption of Mount Pinatubo in 1991 the sulfate aerosol load was increased by 5 to 10 fold causing cooling of the lower atmosphere by 0.5</w:t>
      </w:r>
      <w:r>
        <w:rPr>
          <w:vertAlign w:val="superscript"/>
        </w:rPr>
        <w:t>◦</w:t>
      </w:r>
      <w:r>
        <w:t>C (</w:t>
      </w:r>
      <w:r>
        <w:rPr>
          <w:i/>
        </w:rPr>
        <w:t>McCormick et al.</w:t>
      </w:r>
      <w:r>
        <w:t xml:space="preserve"> 1995; </w:t>
      </w:r>
      <w:r>
        <w:rPr>
          <w:i/>
        </w:rPr>
        <w:t>Soden et al.</w:t>
      </w:r>
      <w:r>
        <w:t>, 2002) and 0.1 to 0.3</w:t>
      </w:r>
      <w:r>
        <w:rPr>
          <w:vertAlign w:val="superscript"/>
        </w:rPr>
        <w:t>◦</w:t>
      </w:r>
      <w:r>
        <w:t>C on the surface (</w:t>
      </w:r>
      <w:r>
        <w:rPr>
          <w:i/>
        </w:rPr>
        <w:t>Thompson et al.</w:t>
      </w:r>
      <w:r>
        <w:t xml:space="preserve">, 2009; </w:t>
      </w:r>
      <w:r>
        <w:rPr>
          <w:i/>
        </w:rPr>
        <w:t>Canty et al.</w:t>
      </w:r>
      <w:r>
        <w:t>, 2013).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This additional volcanic aerosol load has been proposed to be linked to a larger effect of decreased warming, known sometimes as the global warming hiatus</w:t>
      </w:r>
      <w:r w:rsidDel="0052744D">
        <w:t xml:space="preserve"> </w:t>
      </w:r>
      <w:r>
        <w:t>(</w:t>
      </w:r>
      <w:r w:rsidRPr="00774BC7">
        <w:rPr>
          <w:i/>
        </w:rPr>
        <w:t>Solomon et al.</w:t>
      </w:r>
      <w:r>
        <w:t xml:space="preserve">, 2011; </w:t>
      </w:r>
      <w:r w:rsidRPr="00774BC7">
        <w:rPr>
          <w:i/>
        </w:rPr>
        <w:t>Haywood et al.</w:t>
      </w:r>
      <w:r>
        <w:t xml:space="preserve">, 2014; </w:t>
      </w:r>
      <w:r w:rsidRPr="00774BC7">
        <w:rPr>
          <w:i/>
        </w:rPr>
        <w:t>Fyfe et al.</w:t>
      </w:r>
      <w:r>
        <w:t xml:space="preserve">, 2013). </w:t>
      </w:r>
    </w:p>
    <w:p w14:paraId="196F3177" w14:textId="77777777" w:rsidR="00BB4F16" w:rsidRDefault="00BB4F16">
      <w:pPr>
        <w:pStyle w:val="Heading1"/>
      </w:pPr>
      <w:bookmarkStart w:id="17" w:name="_Toc452973713"/>
      <w:bookmarkStart w:id="18" w:name="_Toc459300474"/>
      <w:r>
        <w:t>2.3 Aerosol Measurements</w:t>
      </w:r>
      <w:bookmarkEnd w:id="17"/>
      <w:bookmarkEnd w:id="18"/>
    </w:p>
    <w:p w14:paraId="59C95AE0" w14:textId="77777777" w:rsidR="00BB4F16" w:rsidRDefault="00BB4F16"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Pr>
          <w:i/>
        </w:rPr>
        <w:t>in-</w:t>
      </w:r>
      <w:r w:rsidRPr="00E34CE3">
        <w:rPr>
          <w:i/>
        </w:rPr>
        <w:t>situ</w:t>
      </w:r>
      <w:r>
        <w:t xml:space="preserve"> measurements, and satellite based remote sensing. Each of these methods has certain strengths and the combination of data from all three approaches is essential for the future.  G</w:t>
      </w:r>
      <w:r w:rsidRPr="002163A1">
        <w:t xml:space="preserve">round based and </w:t>
      </w:r>
      <w:r w:rsidRPr="009D0058">
        <w:rPr>
          <w:i/>
        </w:rPr>
        <w:t>in-situ</w:t>
      </w:r>
      <w:r w:rsidRPr="002163A1">
        <w:t xml:space="preserve"> measurements </w:t>
      </w:r>
      <w:r>
        <w:t>typically provide</w:t>
      </w:r>
      <w:r w:rsidRPr="002163A1">
        <w:t xml:space="preserve"> detail</w:t>
      </w:r>
      <w:r>
        <w:t>ed</w:t>
      </w:r>
      <w:r w:rsidRPr="002163A1">
        <w:t xml:space="preserve"> information about a specific localized</w:t>
      </w:r>
      <w:r>
        <w:t xml:space="preserve"> area</w:t>
      </w:r>
      <w:r w:rsidRPr="002163A1">
        <w:t xml:space="preserve">. </w:t>
      </w:r>
      <w:r>
        <w:t>Global coverage can only really be obtained with satellite measurements, but these are essentially always information-limited by the remote sensing technique. Ground-</w:t>
      </w:r>
      <w:r w:rsidRPr="002163A1">
        <w:t>base</w:t>
      </w:r>
      <w:r>
        <w:t xml:space="preserve">d, </w:t>
      </w:r>
      <w:r>
        <w:rPr>
          <w:i/>
        </w:rPr>
        <w:t>in-situ</w:t>
      </w:r>
      <w:r>
        <w:t xml:space="preserve"> and satellite measurements</w:t>
      </w:r>
      <w:r w:rsidRPr="002163A1">
        <w:t xml:space="preserve"> have important roles in monitoring the planet</w:t>
      </w:r>
      <w:r>
        <w:t>’</w:t>
      </w:r>
      <w:r w:rsidRPr="002163A1">
        <w:t>s aerosol content</w:t>
      </w:r>
      <w:r>
        <w:t xml:space="preserve"> and</w:t>
      </w:r>
      <w:r w:rsidRPr="002163A1">
        <w:t xml:space="preserve"> each of these methods have inherent advantages and disadvantages. A</w:t>
      </w:r>
      <w:r>
        <w:t>n overview is given here on</w:t>
      </w:r>
      <w:r w:rsidRPr="002163A1">
        <w:t xml:space="preserve"> some of the common methods </w:t>
      </w:r>
      <w:r>
        <w:t xml:space="preserve">for stratospheric aerosol measurements in order to place the ALI requirements and design in context. </w:t>
      </w:r>
    </w:p>
    <w:p w14:paraId="1CB02981" w14:textId="77777777" w:rsidR="00BB4F16" w:rsidRDefault="00BB4F16" w:rsidP="003D416A">
      <w:pPr>
        <w:pStyle w:val="Heading2"/>
      </w:pPr>
      <w:bookmarkStart w:id="22" w:name="_Toc452973714"/>
      <w:bookmarkStart w:id="23" w:name="_Toc459300475"/>
      <w:r>
        <w:t>2.3.1 In-situ Measurements</w:t>
      </w:r>
      <w:bookmarkEnd w:id="22"/>
      <w:bookmarkEnd w:id="23"/>
    </w:p>
    <w:p w14:paraId="2D350372" w14:textId="77777777" w:rsidR="00BB4F16" w:rsidRDefault="00BB4F16"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 on many flights since that time. Similarly,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65D1EE20" w14:textId="77777777" w:rsidR="00BB4F16" w:rsidRDefault="00BB4F16" w:rsidP="003D416A">
      <w:pPr>
        <w:pStyle w:val="Heading2"/>
      </w:pPr>
      <w:bookmarkStart w:id="24" w:name="_Toc452973715"/>
      <w:bookmarkStart w:id="25" w:name="_Toc459300476"/>
      <w:r>
        <w:t>2.3.2 Occultation</w:t>
      </w:r>
      <w:bookmarkEnd w:id="24"/>
      <w:bookmarkEnd w:id="25"/>
    </w:p>
    <w:p w14:paraId="41A926EE" w14:textId="77777777" w:rsidR="00BB4F16" w:rsidRDefault="00BB4F16"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t xml:space="preserve">.  The viewing geometry of this technique is shown in </w:t>
      </w:r>
      <w:r w:rsidRPr="002D64DC">
        <w:fldChar w:fldCharType="begin"/>
      </w:r>
      <w:r w:rsidRPr="002D64DC">
        <w:instrText xml:space="preserve"> REF _Ref433365111 \h  \* MERGEFORMAT </w:instrText>
      </w:r>
      <w:r w:rsidRPr="002D64DC">
        <w:fldChar w:fldCharType="separate"/>
      </w:r>
      <w:r w:rsidRPr="00E9358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47421E" w14:textId="77777777" w:rsidR="00BB4F16" w:rsidRDefault="00BB4F16" w:rsidP="004263FA">
      <w:pPr>
        <w:pStyle w:val="BodyText"/>
        <w:jc w:val="both"/>
      </w:pPr>
      <w:r>
        <w:t xml:space="preserve">The series of SAGE missions came to an end in 2006 with the failure of SAGE III. The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valuable occultation-based aerosol record</w:t>
      </w:r>
      <w:r w:rsidRPr="00E46E53">
        <w:t>.</w:t>
      </w:r>
    </w:p>
    <w:p w14:paraId="75C04193" w14:textId="77777777" w:rsidR="00BB4F16" w:rsidRDefault="00BB4F16" w:rsidP="00BB5BF9">
      <w:pPr>
        <w:pStyle w:val="BodyText"/>
        <w:keepNext/>
        <w:ind w:firstLine="0"/>
        <w:jc w:val="center"/>
      </w:pPr>
      <w:r>
        <w:rPr>
          <w:noProof/>
          <w:lang w:val="en-US"/>
        </w:rPr>
        <w:drawing>
          <wp:inline distT="0" distB="0" distL="0" distR="0" wp14:anchorId="44F8A81B" wp14:editId="1255DF7D">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6BA0ABF2" w14:textId="77777777" w:rsidR="00BB4F16" w:rsidRDefault="00BB4F16" w:rsidP="00286697">
      <w:pPr>
        <w:jc w:val="both"/>
        <w:rPr>
          <w:sz w:val="24"/>
          <w:szCs w:val="24"/>
        </w:rPr>
      </w:pPr>
      <w:bookmarkStart w:id="26" w:name="_Ref433365111"/>
      <w:bookmarkStart w:id="27" w:name="_Toc435878543"/>
      <w:bookmarkStart w:id="28" w:name="_Toc452973850"/>
      <w:bookmarkStart w:id="29" w:name="_Toc459300602"/>
      <w:r w:rsidRPr="00D15330">
        <w:rPr>
          <w:b/>
          <w:sz w:val="24"/>
          <w:szCs w:val="24"/>
        </w:rPr>
        <w:t xml:space="preserve">Figure </w:t>
      </w:r>
      <w:r w:rsidRPr="00DB2FD3">
        <w:rPr>
          <w:b/>
          <w:sz w:val="24"/>
          <w:szCs w:val="24"/>
        </w:rPr>
        <w:t>2-</w:t>
      </w:r>
      <w:r w:rsidRPr="008F7035">
        <w:rPr>
          <w:b/>
          <w:sz w:val="24"/>
          <w:szCs w:val="24"/>
        </w:rPr>
        <w:fldChar w:fldCharType="begin"/>
      </w:r>
      <w:r w:rsidRPr="008F7035">
        <w:rPr>
          <w:b/>
          <w:sz w:val="24"/>
          <w:szCs w:val="24"/>
        </w:rPr>
        <w:instrText xml:space="preserve"> SEQ Figure \* ARABIC </w:instrText>
      </w:r>
      <w:r w:rsidRPr="008F7035">
        <w:rPr>
          <w:b/>
          <w:sz w:val="24"/>
          <w:szCs w:val="24"/>
        </w:rPr>
        <w:fldChar w:fldCharType="separate"/>
      </w:r>
      <w:r>
        <w:rPr>
          <w:b/>
          <w:noProof/>
          <w:szCs w:val="24"/>
        </w:rPr>
        <w:t>3</w:t>
      </w:r>
      <w:r w:rsidRPr="008F7035">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0DF15363" w14:textId="77777777" w:rsidR="00BB4F16" w:rsidRPr="00286697" w:rsidRDefault="00BB4F16" w:rsidP="00286697">
      <w:pPr>
        <w:jc w:val="both"/>
        <w:rPr>
          <w:sz w:val="24"/>
          <w:szCs w:val="24"/>
        </w:rPr>
      </w:pPr>
    </w:p>
    <w:p w14:paraId="7E18A2CD" w14:textId="77777777" w:rsidR="00BB4F16" w:rsidRDefault="00BB4F16" w:rsidP="003D416A">
      <w:pPr>
        <w:pStyle w:val="Heading2"/>
      </w:pPr>
      <w:bookmarkStart w:id="30" w:name="_Toc452973716"/>
      <w:bookmarkStart w:id="31" w:name="_Toc459300477"/>
      <w:r>
        <w:t>2.3.3 Lidar</w:t>
      </w:r>
      <w:bookmarkEnd w:id="30"/>
      <w:bookmarkEnd w:id="31"/>
    </w:p>
    <w:p w14:paraId="122A8843" w14:textId="77777777" w:rsidR="00BB4F16" w:rsidRPr="00935A8D" w:rsidRDefault="00BB4F16" w:rsidP="00990771">
      <w:pPr>
        <w:pStyle w:val="BodyText"/>
        <w:jc w:val="both"/>
      </w:pPr>
      <w:r>
        <w:t>A method known as lidar can determine atmospheric parameters through the pulsing of a laser and the subsequent measurement of the intensity of the backscattered light at different wavelengths and polarizations. Lidar has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Traditionally lidar instrument observed in the nadir or zenith directions (</w:t>
      </w:r>
      <w:r w:rsidRPr="00FD1E67">
        <w:rPr>
          <w:i/>
        </w:rPr>
        <w:t>i.e</w:t>
      </w:r>
      <w:r>
        <w:t xml:space="preserve">. straight down or up); however, some instruments are mounted slightly off-nadir. Both orientations are shown in </w:t>
      </w:r>
      <w:r w:rsidRPr="001F785B">
        <w:fldChar w:fldCharType="begin"/>
      </w:r>
      <w:r w:rsidRPr="001F785B">
        <w:instrText xml:space="preserve"> REF _Ref433639889 \h  \* MERGEFORMAT </w:instrText>
      </w:r>
      <w:r w:rsidRPr="001F785B">
        <w:fldChar w:fldCharType="separate"/>
      </w:r>
      <w:r w:rsidRPr="00E93584">
        <w:rPr>
          <w:szCs w:val="24"/>
        </w:rPr>
        <w:t>Figure 2-4</w:t>
      </w:r>
      <w:r w:rsidRPr="001F785B">
        <w:fldChar w:fldCharType="end"/>
      </w:r>
      <w:r>
        <w:t xml:space="preserve"> for a space based geometry. Lidar measurements have been used to make highly spatially resolved measurements of aerosol plumes from volcanic eruptions (</w:t>
      </w:r>
      <w:r w:rsidRPr="001A647C">
        <w:rPr>
          <w:i/>
        </w:rPr>
        <w:t>Chazette et al.</w:t>
      </w:r>
      <w:r>
        <w:t xml:space="preserve">, 1995; </w:t>
      </w:r>
      <w:r w:rsidRPr="001A647C">
        <w:rPr>
          <w:i/>
        </w:rPr>
        <w:t>Sawamura et al.</w:t>
      </w:r>
      <w:r>
        <w:t>, 2012) as well as monitoring long term trends (</w:t>
      </w:r>
      <w:r w:rsidRPr="001A647C">
        <w:rPr>
          <w:i/>
        </w:rPr>
        <w:t>Hofmann et al.</w:t>
      </w:r>
      <w:r>
        <w:t>, 2009).</w:t>
      </w:r>
    </w:p>
    <w:p w14:paraId="04BA3A80" w14:textId="77777777" w:rsidR="00BB4F16" w:rsidRDefault="00BB4F16" w:rsidP="005E1011">
      <w:pPr>
        <w:pStyle w:val="BodyText"/>
        <w:keepNext/>
        <w:ind w:firstLine="0"/>
        <w:jc w:val="both"/>
      </w:pPr>
      <w:r>
        <w:rPr>
          <w:noProof/>
          <w:lang w:val="en-US"/>
        </w:rPr>
        <w:drawing>
          <wp:inline distT="0" distB="0" distL="0" distR="0" wp14:anchorId="036B836C" wp14:editId="4E9D84E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7762F0E7" w14:textId="77777777" w:rsidR="00BB4F16" w:rsidRDefault="00BB4F16" w:rsidP="00D62BA2">
      <w:pPr>
        <w:pStyle w:val="Caption"/>
        <w:spacing w:before="0" w:after="0"/>
        <w:jc w:val="both"/>
        <w:rPr>
          <w:b w:val="0"/>
          <w:szCs w:val="24"/>
        </w:rPr>
      </w:pPr>
      <w:bookmarkStart w:id="32" w:name="_Ref433639889"/>
      <w:bookmarkStart w:id="33" w:name="_Toc435878544"/>
      <w:bookmarkStart w:id="34" w:name="_Toc452973851"/>
      <w:bookmarkStart w:id="35" w:name="_Toc459300603"/>
      <w:r w:rsidRPr="00E678B3">
        <w:rPr>
          <w:b w:val="0"/>
          <w:szCs w:val="24"/>
        </w:rPr>
        <w:t>Figure 2-</w:t>
      </w:r>
      <w:r w:rsidRPr="00E678B3">
        <w:rPr>
          <w:b w:val="0"/>
          <w:szCs w:val="24"/>
        </w:rPr>
        <w:fldChar w:fldCharType="begin"/>
      </w:r>
      <w:r w:rsidRPr="00E678B3">
        <w:rPr>
          <w:b w:val="0"/>
          <w:szCs w:val="24"/>
        </w:rPr>
        <w:instrText xml:space="preserve"> SEQ Figure \* ARABIC </w:instrText>
      </w:r>
      <w:r w:rsidRPr="00E678B3">
        <w:rPr>
          <w:b w:val="0"/>
          <w:szCs w:val="24"/>
        </w:rPr>
        <w:fldChar w:fldCharType="separate"/>
      </w:r>
      <w:r>
        <w:rPr>
          <w:b w:val="0"/>
          <w:noProof/>
          <w:szCs w:val="24"/>
        </w:rPr>
        <w:t>4</w:t>
      </w:r>
      <w:r w:rsidRPr="00E678B3">
        <w:rPr>
          <w:b w:val="0"/>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29C0B4CC" w14:textId="77777777" w:rsidR="00BB4F16" w:rsidRDefault="00BB4F16" w:rsidP="00286697"/>
    <w:p w14:paraId="60E4B8B8" w14:textId="77777777" w:rsidR="00BB4F16" w:rsidRPr="005E1011" w:rsidRDefault="00BB4F16" w:rsidP="00286697">
      <w:pPr>
        <w:pStyle w:val="BodyText"/>
        <w:jc w:val="both"/>
      </w:pPr>
      <w:r>
        <w:t>One of the most notable lidar instruments for stratospheric aerosol measurements is CALIPSO, which is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w:t>
      </w:r>
      <w:r>
        <w:t>S to 82</w:t>
      </w:r>
      <w:r>
        <w:rPr>
          <w:vertAlign w:val="superscript"/>
        </w:rPr>
        <w:t>◦</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2011).  CALIPSO was launched in 2006 and although it is presently still operational, it is operating beyond its design lifetime.</w:t>
      </w:r>
    </w:p>
    <w:p w14:paraId="418F570A" w14:textId="77777777" w:rsidR="00BB4F16" w:rsidRDefault="00BB4F16" w:rsidP="003D416A">
      <w:pPr>
        <w:pStyle w:val="Heading2"/>
      </w:pPr>
      <w:bookmarkStart w:id="36" w:name="_Toc452973717"/>
      <w:bookmarkStart w:id="37" w:name="_Toc459300478"/>
      <w:r>
        <w:t>2.3.4 Limb Scatter</w:t>
      </w:r>
      <w:bookmarkEnd w:id="36"/>
      <w:bookmarkEnd w:id="37"/>
    </w:p>
    <w:p w14:paraId="330AFF90" w14:textId="77777777" w:rsidR="00BB4F16" w:rsidRDefault="00BB4F16" w:rsidP="00954FF1">
      <w:pPr>
        <w:pStyle w:val="BodyText"/>
        <w:jc w:val="both"/>
      </w:pPr>
      <w:r>
        <w:t xml:space="preserve">The limb scatter technique has an observing geometry that is similar to occultation but measures sunlight light that is scattered into the line of sight of the instrument from atmospheric interactions rather than directly observing the sun. These scattering interactions can include both single and multiple scattering events. Single scattering occurs when light from the sun interacts with a particle in the atmosphere and scatters it directly into the line of sight of the instrument. Multiple scatter is when the photon undergoes several scattering events before entering the line of sight. This can include scattering from multiple particles in the atmosphere and scattering from the ground surface. In general, these events can occur any number of times before entering the instrument. The geometry for the limb scatter technique is shown in </w:t>
      </w:r>
      <w:r w:rsidRPr="001F785B">
        <w:fldChar w:fldCharType="begin"/>
      </w:r>
      <w:r w:rsidRPr="001F785B">
        <w:instrText xml:space="preserve"> REF _Ref434222559 \h  \* MERGEFORMAT </w:instrText>
      </w:r>
      <w:r w:rsidRPr="001F785B">
        <w:fldChar w:fldCharType="separate"/>
      </w:r>
      <w:r w:rsidRPr="00E93584">
        <w:rPr>
          <w:szCs w:val="24"/>
        </w:rPr>
        <w:t>Figure 2-5</w:t>
      </w:r>
      <w:r w:rsidRPr="001F785B">
        <w:fldChar w:fldCharType="end"/>
      </w:r>
      <w:r>
        <w:t xml:space="preserve"> along with the fundamental angles used to describe this condition.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Scattering Angle (SSA) is the defined to be the angle between the direction of the sun and the line of sight; and the Solar Azimuth Angle (SAA) is the angle between the projection of the sun direction onto the horizontal plane at the tangent point and the line of sight. </w:t>
      </w:r>
    </w:p>
    <w:p w14:paraId="47FB047D" w14:textId="77777777" w:rsidR="00BB4F16" w:rsidRDefault="00BB4F16" w:rsidP="00954FF1">
      <w:pPr>
        <w:pStyle w:val="BodyText"/>
        <w:keepNext/>
        <w:ind w:firstLine="0"/>
      </w:pPr>
      <w:r>
        <w:rPr>
          <w:noProof/>
          <w:lang w:val="en-US"/>
        </w:rPr>
        <w:drawing>
          <wp:inline distT="0" distB="0" distL="0" distR="0" wp14:anchorId="0BFF5986" wp14:editId="5E1A1C7B">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03E80CB3" w14:textId="77777777" w:rsidR="00BB4F16" w:rsidRDefault="00BB4F16" w:rsidP="00D62BA2">
      <w:pPr>
        <w:pStyle w:val="Caption"/>
        <w:spacing w:before="0" w:after="0"/>
        <w:jc w:val="both"/>
        <w:rPr>
          <w:b w:val="0"/>
          <w:szCs w:val="24"/>
        </w:rPr>
      </w:pPr>
      <w:bookmarkStart w:id="38" w:name="_Ref434222559"/>
      <w:bookmarkStart w:id="39" w:name="_Toc435878545"/>
      <w:bookmarkStart w:id="40" w:name="_Toc452973852"/>
      <w:bookmarkStart w:id="41" w:name="_Toc459300604"/>
      <w:r w:rsidRPr="00E678B3">
        <w:rPr>
          <w:b w:val="0"/>
          <w:szCs w:val="24"/>
        </w:rPr>
        <w:t>Figure 2-</w:t>
      </w:r>
      <w:r w:rsidRPr="00E678B3">
        <w:rPr>
          <w:b w:val="0"/>
          <w:szCs w:val="24"/>
        </w:rPr>
        <w:fldChar w:fldCharType="begin"/>
      </w:r>
      <w:r w:rsidRPr="00E678B3">
        <w:rPr>
          <w:b w:val="0"/>
          <w:szCs w:val="24"/>
        </w:rPr>
        <w:instrText xml:space="preserve"> SEQ Figure \* ARABIC </w:instrText>
      </w:r>
      <w:r w:rsidRPr="00E678B3">
        <w:rPr>
          <w:b w:val="0"/>
          <w:szCs w:val="24"/>
        </w:rPr>
        <w:fldChar w:fldCharType="separate"/>
      </w:r>
      <w:r>
        <w:rPr>
          <w:b w:val="0"/>
          <w:noProof/>
          <w:szCs w:val="24"/>
        </w:rPr>
        <w:t>5</w:t>
      </w:r>
      <w:r w:rsidRPr="00E678B3">
        <w:rPr>
          <w:b w:val="0"/>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783BE7F8" w14:textId="77777777" w:rsidR="00BB4F16" w:rsidRPr="00954FF1" w:rsidRDefault="00BB4F16" w:rsidP="00954FF1"/>
    <w:p w14:paraId="2D3F1719" w14:textId="77777777" w:rsidR="00BB4F16" w:rsidRDefault="00BB4F16" w:rsidP="00954FF1">
      <w:pPr>
        <w:pStyle w:val="BodyText"/>
        <w:jc w:val="both"/>
      </w:pPr>
      <w:r>
        <w:t xml:space="preserve">The limb scatter method yields relatively good vertical resolution, comparable to occultation, and allows for measurements to be taken during any daylight period; however, it requires the use of a complex forward model to calculate the scattering events along with typically some </w:t>
      </w:r>
      <w:r w:rsidRPr="00586FF7">
        <w:rPr>
          <w:i/>
        </w:rPr>
        <w:t>a priori</w:t>
      </w:r>
      <w:r>
        <w:t xml:space="preserve"> knowledge of the aerosol scattering cross section in order to retrieve the extinction coefficient profile. The model needs to accurately determine the effect of multiple scattering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6865D340" w14:textId="77777777" w:rsidR="00BB4F16" w:rsidRPr="00745CB4" w:rsidRDefault="00BB4F16"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with a single line-of-sight and scan the atmosphere vertically to complete a vertical profile measurement. </w:t>
      </w:r>
    </w:p>
    <w:p w14:paraId="25662ECB" w14:textId="77777777" w:rsidR="00BB4F16" w:rsidRDefault="00BB4F16" w:rsidP="00954FF1">
      <w:pPr>
        <w:pStyle w:val="BodyText"/>
        <w:jc w:val="both"/>
      </w:pPr>
      <w:r>
        <w:t>The OSIRIS version 5.07 data product provides 750 nm aerosol 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5C1DF4D7" w14:textId="77777777" w:rsidR="00BB4F16" w:rsidRDefault="00BB4F16"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0446C6CF" w14:textId="77777777" w:rsidR="00BB4F16" w:rsidRDefault="00BB4F16" w:rsidP="000927B6">
      <w:pPr>
        <w:pStyle w:val="BodyText"/>
        <w:jc w:val="both"/>
      </w:pPr>
      <w:r>
        <w:t>An instrument that is currently under development for a European Space Agency satellite mission is</w:t>
      </w:r>
      <w:r w:rsidRPr="00222E24">
        <w:t xml:space="preserve"> </w:t>
      </w:r>
      <w:r>
        <w:t>ALTIUS</w:t>
      </w:r>
      <w:r w:rsidRPr="00222E24">
        <w:t xml:space="preserve"> (</w:t>
      </w:r>
      <w:r w:rsidRPr="00210627">
        <w:rPr>
          <w:i/>
        </w:rPr>
        <w:t>Dekemper et al.</w:t>
      </w:r>
      <w:r w:rsidRPr="00222E24">
        <w:t>, 2012)</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sunlight, both vertically and horizontally across the track through the use of Acousto-Optic Tunable Filter (AOTF) technology (see section 3.2).  ALTIUS is also designed to have s</w:t>
      </w:r>
      <w:r w:rsidRPr="00222E24">
        <w:t>olar, stellar, and planetary occultation</w:t>
      </w:r>
      <w:r>
        <w:t xml:space="preserve"> modes. ALTIUS is scientifically focused on trace gas measurements, particularly for ozone and the instrument has three hardware channels, each channel with a separate AOTF, overall measuring wavelengths from 250-2000 nm.  These measurements could eventually be used for aerosol extinction retrieval.</w:t>
      </w:r>
    </w:p>
    <w:p w14:paraId="2A45997D" w14:textId="77777777" w:rsidR="00BB4F16" w:rsidRPr="00A24B7F" w:rsidRDefault="00BB4F16" w:rsidP="000927B6">
      <w:pPr>
        <w:pStyle w:val="BodyText"/>
        <w:jc w:val="both"/>
      </w:pPr>
      <w:r>
        <w:t>The limb scatter technique is the one selected for the ALI instrument in this thesis work. The limb scatter technique was selected for ALI due to the potential for global coverage, high vertical resolution and the high quality of aerosol extinction retrieval as proven the OSIRIS heritage. Like ALTUIS, ALI also uses an AOTF to spectrally image the limb scattered signal. As discussed in detail in Chapter 3, the hyperspectral imaging nature of the ALI design with the AOTF allows for rapid image collection for the retrieval of high spatial resolution aerosol extinction.</w:t>
      </w:r>
    </w:p>
    <w:p w14:paraId="4B1E2348" w14:textId="77777777" w:rsidR="00BB4F16" w:rsidRDefault="00BB4F16" w:rsidP="003D416A">
      <w:pPr>
        <w:pStyle w:val="Heading1"/>
      </w:pPr>
      <w:bookmarkStart w:id="42" w:name="_Toc452973718"/>
      <w:bookmarkStart w:id="43" w:name="_Toc459300479"/>
      <w:r>
        <w:t>2.4 Radiative Transfer</w:t>
      </w:r>
      <w:bookmarkEnd w:id="42"/>
      <w:bookmarkEnd w:id="43"/>
    </w:p>
    <w:p w14:paraId="5E3C56F3" w14:textId="77777777" w:rsidR="00BB4F16" w:rsidRDefault="00BB4F16" w:rsidP="007E1609">
      <w:pPr>
        <w:pStyle w:val="BodyText"/>
        <w:jc w:val="both"/>
      </w:pPr>
      <w:r>
        <w:t xml:space="preserve">The use of the limb scatter technique requires a detailed understanding of radiative transfer, and the modeling of the complex scattering interactions of light within the atmosphere is somewhat involved. In this section, a necessary overview of scalar radiative transfer is provided, followed by the necessary modifications to the theory to form the polarized radiative transfer equation. A description of scattering interactions important to aerosols is also developed. Finally, an overview of the SASKTRAN radiative transfer model used within this work is provided. </w:t>
      </w:r>
    </w:p>
    <w:p w14:paraId="4BE0814B" w14:textId="77777777" w:rsidR="00BB4F16" w:rsidRDefault="00BB4F16" w:rsidP="00D54B14">
      <w:pPr>
        <w:pStyle w:val="Heading2"/>
      </w:pPr>
      <w:bookmarkStart w:id="44" w:name="_Toc452973719"/>
      <w:bookmarkStart w:id="45" w:name="_Toc459300480"/>
      <w:r>
        <w:t>2.4.1 Scalar Radiative Transfer</w:t>
      </w:r>
      <w:bookmarkEnd w:id="44"/>
      <w:bookmarkEnd w:id="45"/>
    </w:p>
    <w:p w14:paraId="7ECCEBFD" w14:textId="77777777" w:rsidR="00BB4F16" w:rsidRDefault="00BB4F16" w:rsidP="00A32789">
      <w:pPr>
        <w:pStyle w:val="BodyText"/>
        <w:jc w:val="both"/>
      </w:pPr>
      <w:r>
        <w:t xml:space="preserve">The following presents a derivation of radiative transfer equations for the atmosphere in terms of the scalar radiance, a theory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16864FA2" w14:textId="77777777" w:rsidR="00BB4F16" w:rsidRPr="00A15663" w:rsidRDefault="00BB4F16" w:rsidP="003E0CAD">
      <w:pPr>
        <w:pStyle w:val="BodyText"/>
        <w:jc w:val="both"/>
      </w:pPr>
      <w:r>
        <w:t xml:space="preserve">The fundamental theory for radiative transfer is known as the 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If there are several different particles, the attenuation is a summation of the number densities and cross sections. The Beer-Lambert Law 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BB4F16" w14:paraId="4A4E6697" w14:textId="77777777" w:rsidTr="000927B6">
        <w:tc>
          <w:tcPr>
            <w:tcW w:w="6804" w:type="dxa"/>
            <w:tcBorders>
              <w:top w:val="nil"/>
              <w:left w:val="nil"/>
              <w:bottom w:val="nil"/>
              <w:right w:val="nil"/>
            </w:tcBorders>
          </w:tcPr>
          <w:p w14:paraId="39A9C41B" w14:textId="77777777" w:rsidR="00BB4F16" w:rsidRPr="0076182D" w:rsidRDefault="00BB4F16"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40D519DF" w14:textId="77777777" w:rsidR="00BB4F16" w:rsidRDefault="00BB4F16" w:rsidP="000927B6">
            <w:pPr>
              <w:pStyle w:val="BodyText"/>
              <w:ind w:firstLine="0"/>
              <w:jc w:val="right"/>
            </w:pPr>
            <w:r>
              <w:t>(2.2)</w:t>
            </w:r>
          </w:p>
        </w:tc>
      </w:tr>
    </w:tbl>
    <w:p w14:paraId="3CC27BE2" w14:textId="77777777" w:rsidR="00BB4F16" w:rsidRDefault="00BB4F16"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BB4F16" w14:paraId="4F816467" w14:textId="77777777" w:rsidTr="000927B6">
        <w:tc>
          <w:tcPr>
            <w:tcW w:w="6804" w:type="dxa"/>
            <w:tcBorders>
              <w:top w:val="nil"/>
              <w:left w:val="nil"/>
              <w:bottom w:val="nil"/>
              <w:right w:val="nil"/>
            </w:tcBorders>
          </w:tcPr>
          <w:p w14:paraId="0C175C74" w14:textId="77777777" w:rsidR="00BB4F16" w:rsidRPr="0076182D" w:rsidRDefault="00BB4F16"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7428F53" w14:textId="77777777" w:rsidR="00BB4F16" w:rsidRDefault="00BB4F16" w:rsidP="000927B6">
            <w:pPr>
              <w:pStyle w:val="BodyText"/>
              <w:ind w:firstLine="0"/>
              <w:jc w:val="right"/>
            </w:pPr>
            <w:r>
              <w:t>(2.3)</w:t>
            </w:r>
          </w:p>
        </w:tc>
      </w:tr>
    </w:tbl>
    <w:p w14:paraId="31F5A9FF" w14:textId="77777777" w:rsidR="00BB4F16" w:rsidRDefault="00BB4F16"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BB4F16" w14:paraId="18E8205D" w14:textId="77777777" w:rsidTr="000927B6">
        <w:tc>
          <w:tcPr>
            <w:tcW w:w="6804" w:type="dxa"/>
            <w:tcBorders>
              <w:top w:val="nil"/>
              <w:left w:val="nil"/>
              <w:bottom w:val="nil"/>
              <w:right w:val="nil"/>
            </w:tcBorders>
          </w:tcPr>
          <w:p w14:paraId="388768AA" w14:textId="77777777" w:rsidR="00BB4F16" w:rsidRPr="0076182D" w:rsidRDefault="00BB4F1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3DC7111B" w14:textId="77777777" w:rsidR="00BB4F16" w:rsidRDefault="00BB4F16" w:rsidP="000927B6">
            <w:pPr>
              <w:pStyle w:val="BodyText"/>
              <w:ind w:firstLine="0"/>
              <w:jc w:val="right"/>
            </w:pPr>
            <w:r>
              <w:t>(2.4)</w:t>
            </w:r>
          </w:p>
        </w:tc>
      </w:tr>
    </w:tbl>
    <w:p w14:paraId="1C2E4450" w14:textId="77777777" w:rsidR="00BB4F16" w:rsidRDefault="00BB4F16"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BB4F16" w14:paraId="4A0646BF" w14:textId="77777777" w:rsidTr="000927B6">
        <w:tc>
          <w:tcPr>
            <w:tcW w:w="6804" w:type="dxa"/>
            <w:tcBorders>
              <w:top w:val="nil"/>
              <w:left w:val="nil"/>
              <w:bottom w:val="nil"/>
              <w:right w:val="nil"/>
            </w:tcBorders>
          </w:tcPr>
          <w:p w14:paraId="35FF7134" w14:textId="77777777" w:rsidR="00BB4F16" w:rsidRPr="0076182D" w:rsidRDefault="00BB4F1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23A69DF3" w14:textId="77777777" w:rsidR="00BB4F16" w:rsidRDefault="00BB4F16" w:rsidP="000927B6">
            <w:pPr>
              <w:pStyle w:val="BodyText"/>
              <w:ind w:firstLine="0"/>
              <w:jc w:val="right"/>
            </w:pPr>
            <w:r>
              <w:t>(2.5)</w:t>
            </w:r>
          </w:p>
        </w:tc>
      </w:tr>
    </w:tbl>
    <w:p w14:paraId="6DD4F48F" w14:textId="77777777" w:rsidR="00BB4F16" w:rsidRDefault="00BB4F16"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1DB716B9" w14:textId="77777777" w:rsidR="00BB4F16" w:rsidRDefault="00BB4F16" w:rsidP="00314761">
      <w:pPr>
        <w:pStyle w:val="BodyText"/>
        <w:jc w:val="both"/>
      </w:pPr>
      <w:r>
        <w:t xml:space="preserve">Although this form of the Beer-Lambert’s Law is useful for describing the loss of light through scattering or absorbing from an initial source though a medium, in the atmosphere we must also account for incoming light that is scattered into the line of sight from other directions or directly emitted from particles along the path.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BB4F16" w14:paraId="04432ABC" w14:textId="77777777" w:rsidTr="000927B6">
        <w:tc>
          <w:tcPr>
            <w:tcW w:w="6804" w:type="dxa"/>
            <w:tcBorders>
              <w:top w:val="nil"/>
              <w:left w:val="nil"/>
              <w:bottom w:val="nil"/>
              <w:right w:val="nil"/>
            </w:tcBorders>
          </w:tcPr>
          <w:p w14:paraId="13EF8BF4" w14:textId="77777777" w:rsidR="00BB4F16" w:rsidRPr="0076182D" w:rsidRDefault="00BB4F16"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67D8D3D3" w14:textId="77777777" w:rsidR="00BB4F16" w:rsidRDefault="00BB4F16" w:rsidP="000927B6">
            <w:pPr>
              <w:pStyle w:val="BodyText"/>
              <w:ind w:firstLine="0"/>
              <w:jc w:val="right"/>
            </w:pPr>
            <w:r>
              <w:t>(2.6)</w:t>
            </w:r>
          </w:p>
        </w:tc>
      </w:tr>
    </w:tbl>
    <w:p w14:paraId="1FCB230C" w14:textId="77777777" w:rsidR="00BB4F16" w:rsidRDefault="00BB4F16"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BB4F16" w14:paraId="7DCAE7E9" w14:textId="77777777" w:rsidTr="000927B6">
        <w:tc>
          <w:tcPr>
            <w:tcW w:w="6804" w:type="dxa"/>
            <w:tcBorders>
              <w:top w:val="nil"/>
              <w:left w:val="nil"/>
              <w:bottom w:val="nil"/>
              <w:right w:val="nil"/>
            </w:tcBorders>
          </w:tcPr>
          <w:p w14:paraId="4F0C5867" w14:textId="77777777" w:rsidR="00BB4F16" w:rsidRPr="0076182D" w:rsidRDefault="00BB4F16"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27A8477A" w14:textId="77777777" w:rsidR="00BB4F16" w:rsidRDefault="00BB4F16" w:rsidP="000927B6">
            <w:pPr>
              <w:pStyle w:val="BodyText"/>
              <w:ind w:firstLine="0"/>
              <w:jc w:val="right"/>
            </w:pPr>
            <w:r>
              <w:t>(2.7)</w:t>
            </w:r>
          </w:p>
        </w:tc>
      </w:tr>
    </w:tbl>
    <w:p w14:paraId="6C2FD89E" w14:textId="77777777" w:rsidR="00BB4F16" w:rsidRDefault="00BB4F16"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BB4F16" w14:paraId="3A136837" w14:textId="77777777" w:rsidTr="000927B6">
        <w:tc>
          <w:tcPr>
            <w:tcW w:w="6804" w:type="dxa"/>
            <w:tcBorders>
              <w:top w:val="nil"/>
              <w:left w:val="nil"/>
              <w:bottom w:val="nil"/>
              <w:right w:val="nil"/>
            </w:tcBorders>
          </w:tcPr>
          <w:p w14:paraId="029612B9" w14:textId="77777777" w:rsidR="00BB4F16" w:rsidRPr="0076182D" w:rsidRDefault="00BB4F16"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5258F748" w14:textId="77777777" w:rsidR="00BB4F16" w:rsidRDefault="00BB4F16" w:rsidP="000927B6">
            <w:pPr>
              <w:pStyle w:val="BodyText"/>
              <w:ind w:firstLine="0"/>
              <w:jc w:val="right"/>
            </w:pPr>
            <w:r>
              <w:t>(2.8)</w:t>
            </w:r>
          </w:p>
        </w:tc>
      </w:tr>
    </w:tbl>
    <w:p w14:paraId="1591D568" w14:textId="77777777" w:rsidR="00BB4F16" w:rsidRDefault="00BB4F16"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BB4F16" w14:paraId="40891E84" w14:textId="77777777" w:rsidTr="000927B6">
        <w:tc>
          <w:tcPr>
            <w:tcW w:w="6804" w:type="dxa"/>
            <w:tcBorders>
              <w:top w:val="nil"/>
              <w:left w:val="nil"/>
              <w:bottom w:val="nil"/>
              <w:right w:val="nil"/>
            </w:tcBorders>
          </w:tcPr>
          <w:p w14:paraId="16B4BEF1" w14:textId="77777777" w:rsidR="00BB4F16" w:rsidRPr="0076182D" w:rsidRDefault="00BB4F16"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2F0DD3F5" w14:textId="77777777" w:rsidR="00BB4F16" w:rsidRDefault="00BB4F16" w:rsidP="000927B6">
            <w:pPr>
              <w:pStyle w:val="BodyText"/>
              <w:ind w:firstLine="0"/>
              <w:jc w:val="right"/>
            </w:pPr>
            <w:r>
              <w:t>(2.9)</w:t>
            </w:r>
          </w:p>
        </w:tc>
      </w:tr>
    </w:tbl>
    <w:p w14:paraId="676496DA" w14:textId="77777777" w:rsidR="00BB4F16" w:rsidRDefault="00BB4F16"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BB4F16" w14:paraId="6C767352" w14:textId="77777777" w:rsidTr="000927B6">
        <w:tc>
          <w:tcPr>
            <w:tcW w:w="6804" w:type="dxa"/>
            <w:tcBorders>
              <w:top w:val="nil"/>
              <w:left w:val="nil"/>
              <w:bottom w:val="nil"/>
              <w:right w:val="nil"/>
            </w:tcBorders>
          </w:tcPr>
          <w:p w14:paraId="18FC0E6D" w14:textId="77777777" w:rsidR="00BB4F16" w:rsidRPr="0076182D" w:rsidRDefault="00BB4F16"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18C22E49" w14:textId="77777777" w:rsidR="00BB4F16" w:rsidRDefault="00BB4F16" w:rsidP="000927B6">
            <w:pPr>
              <w:pStyle w:val="BodyText"/>
              <w:ind w:firstLine="0"/>
              <w:jc w:val="right"/>
            </w:pPr>
            <w:r>
              <w:t>(2.10)</w:t>
            </w:r>
          </w:p>
        </w:tc>
      </w:tr>
    </w:tbl>
    <w:p w14:paraId="1732F199" w14:textId="77777777" w:rsidR="00BB4F16" w:rsidRDefault="00BB4F16"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BB4F16" w14:paraId="32E5BB9A" w14:textId="77777777" w:rsidTr="000927B6">
        <w:tc>
          <w:tcPr>
            <w:tcW w:w="6804" w:type="dxa"/>
            <w:tcBorders>
              <w:top w:val="nil"/>
              <w:left w:val="nil"/>
              <w:bottom w:val="nil"/>
              <w:right w:val="nil"/>
            </w:tcBorders>
          </w:tcPr>
          <w:p w14:paraId="186B4823" w14:textId="77777777" w:rsidR="00BB4F16" w:rsidRPr="0076182D" w:rsidRDefault="00BB4F16"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6BB1A1D" w14:textId="77777777" w:rsidR="00BB4F16" w:rsidRDefault="00BB4F16" w:rsidP="000927B6">
            <w:pPr>
              <w:pStyle w:val="BodyText"/>
              <w:ind w:firstLine="0"/>
              <w:jc w:val="right"/>
            </w:pPr>
            <w:r>
              <w:t>(2.11)</w:t>
            </w:r>
          </w:p>
        </w:tc>
      </w:tr>
    </w:tbl>
    <w:p w14:paraId="325AE075" w14:textId="77777777" w:rsidR="00BB4F16" w:rsidRDefault="00BB4F16"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BB4F16" w14:paraId="55B6ED76" w14:textId="77777777" w:rsidTr="000927B6">
        <w:tc>
          <w:tcPr>
            <w:tcW w:w="6804" w:type="dxa"/>
            <w:tcBorders>
              <w:top w:val="nil"/>
              <w:left w:val="nil"/>
              <w:bottom w:val="nil"/>
              <w:right w:val="nil"/>
            </w:tcBorders>
          </w:tcPr>
          <w:p w14:paraId="6361B65A" w14:textId="77777777" w:rsidR="00BB4F16" w:rsidRPr="0076182D" w:rsidRDefault="00BB4F1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369D9055" w14:textId="77777777" w:rsidR="00BB4F16" w:rsidRDefault="00BB4F16" w:rsidP="000927B6">
            <w:pPr>
              <w:pStyle w:val="BodyText"/>
              <w:ind w:firstLine="0"/>
              <w:jc w:val="right"/>
            </w:pPr>
            <w:r>
              <w:t>(2.12)</w:t>
            </w:r>
          </w:p>
        </w:tc>
      </w:tr>
    </w:tbl>
    <w:p w14:paraId="65C0A6E0" w14:textId="77777777" w:rsidR="00BB4F16" w:rsidRDefault="00BB4F16"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2ACEC581" w14:textId="77777777" w:rsidR="00BB4F16" w:rsidRDefault="00BB4F16" w:rsidP="003A4D25">
      <w:pPr>
        <w:pStyle w:val="BodyText"/>
        <w:jc w:val="both"/>
      </w:pPr>
      <w:r>
        <w:t>In the atmosphere there are three sources of additional radiation that contribute to the source term: thermal emissions, photochemical reactions, and scattered light. For wavelengths from the visible to the near infrared (</w:t>
      </w:r>
      <w:r w:rsidRPr="00FD1E67">
        <w:rPr>
          <w:i/>
        </w:rPr>
        <w:t>i.e</w:t>
      </w:r>
      <w:r w:rsidRPr="003A4D25">
        <w:rPr>
          <w:i/>
        </w:rPr>
        <w:t>.</w:t>
      </w:r>
      <w:r>
        <w:t xml:space="preserve"> wavelengths less than 2 µm) there is negligible contribution from thermal emissions. Furthermore, as long as distinct wavelengths where photochemical reactions emit are avoided this source term can also be ignored. This leaves scattering as the 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BB4F16" w14:paraId="062232EF" w14:textId="77777777" w:rsidTr="000927B6">
        <w:tc>
          <w:tcPr>
            <w:tcW w:w="6804" w:type="dxa"/>
            <w:tcBorders>
              <w:top w:val="nil"/>
              <w:left w:val="nil"/>
              <w:bottom w:val="nil"/>
              <w:right w:val="nil"/>
            </w:tcBorders>
          </w:tcPr>
          <w:p w14:paraId="597BAF71" w14:textId="77777777" w:rsidR="00BB4F16" w:rsidRPr="0076182D" w:rsidRDefault="00BB4F16"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79066A1F" w14:textId="77777777" w:rsidR="00BB4F16" w:rsidRDefault="00BB4F16" w:rsidP="000927B6">
            <w:pPr>
              <w:pStyle w:val="BodyText"/>
              <w:ind w:firstLine="0"/>
              <w:jc w:val="right"/>
            </w:pPr>
            <w:r>
              <w:t>(2.13)</w:t>
            </w:r>
          </w:p>
        </w:tc>
      </w:tr>
    </w:tbl>
    <w:p w14:paraId="69089E1D" w14:textId="77777777" w:rsidR="00BB4F16" w:rsidRDefault="00BB4F16"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BB4F16" w14:paraId="28981F4F" w14:textId="77777777" w:rsidTr="000927B6">
        <w:tc>
          <w:tcPr>
            <w:tcW w:w="6804" w:type="dxa"/>
            <w:tcBorders>
              <w:top w:val="nil"/>
              <w:left w:val="nil"/>
              <w:bottom w:val="nil"/>
              <w:right w:val="nil"/>
            </w:tcBorders>
          </w:tcPr>
          <w:p w14:paraId="0AA6AD95" w14:textId="77777777" w:rsidR="00BB4F16" w:rsidRPr="0076182D" w:rsidRDefault="00BB4F16"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375DE7F3" w14:textId="77777777" w:rsidR="00BB4F16" w:rsidRDefault="00BB4F16" w:rsidP="000927B6">
            <w:pPr>
              <w:pStyle w:val="BodyText"/>
              <w:ind w:firstLine="0"/>
              <w:jc w:val="right"/>
            </w:pPr>
            <w:r>
              <w:t>(2.14)</w:t>
            </w:r>
          </w:p>
        </w:tc>
      </w:tr>
    </w:tbl>
    <w:p w14:paraId="6EF5DEDB" w14:textId="77777777" w:rsidR="00BB4F16" w:rsidRDefault="00BB4F16"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69736A7F" w14:textId="77777777" w:rsidR="00BB4F16" w:rsidRDefault="00BB4F16"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BB4F16" w14:paraId="09814A4E" w14:textId="77777777" w:rsidTr="000927B6">
        <w:tc>
          <w:tcPr>
            <w:tcW w:w="6804" w:type="dxa"/>
            <w:tcBorders>
              <w:top w:val="nil"/>
              <w:left w:val="nil"/>
              <w:bottom w:val="nil"/>
              <w:right w:val="nil"/>
            </w:tcBorders>
          </w:tcPr>
          <w:p w14:paraId="0BC97C8E" w14:textId="77777777" w:rsidR="00BB4F16" w:rsidRPr="0076182D" w:rsidRDefault="00BB4F1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BBC1513" w14:textId="77777777" w:rsidR="00BB4F16" w:rsidRDefault="00BB4F16" w:rsidP="000927B6">
            <w:pPr>
              <w:pStyle w:val="BodyText"/>
              <w:ind w:firstLine="0"/>
              <w:jc w:val="right"/>
            </w:pPr>
            <w:r>
              <w:t>(2.15)</w:t>
            </w:r>
          </w:p>
        </w:tc>
      </w:tr>
    </w:tbl>
    <w:p w14:paraId="400C41FE" w14:textId="77777777" w:rsidR="00BB4F16" w:rsidRDefault="00BB4F16" w:rsidP="00851023">
      <w:pPr>
        <w:pStyle w:val="BodyText"/>
        <w:ind w:firstLine="0"/>
        <w:jc w:val="both"/>
      </w:pPr>
      <w:r>
        <w:t>The multiple scatter term is calculated for each successive order until the contribution is sufficiently small to be negligible.</w:t>
      </w:r>
    </w:p>
    <w:p w14:paraId="314C74D5" w14:textId="77777777" w:rsidR="00BB4F16" w:rsidRDefault="00BB4F16" w:rsidP="00FA7303">
      <w:pPr>
        <w:pStyle w:val="Heading2"/>
      </w:pPr>
      <w:bookmarkStart w:id="46" w:name="_Toc452973720"/>
      <w:bookmarkStart w:id="47" w:name="_Toc459300481"/>
      <w:r>
        <w:t>2.4.2 Vector Radiative Transfer</w:t>
      </w:r>
      <w:bookmarkEnd w:id="46"/>
      <w:bookmarkEnd w:id="47"/>
    </w:p>
    <w:p w14:paraId="5D2AD4C3" w14:textId="77777777" w:rsidR="00BB4F16" w:rsidRDefault="00BB4F16"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which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BB4F16" w14:paraId="02FE0258" w14:textId="77777777" w:rsidTr="000927B6">
        <w:tc>
          <w:tcPr>
            <w:tcW w:w="6804" w:type="dxa"/>
            <w:tcBorders>
              <w:top w:val="nil"/>
              <w:left w:val="nil"/>
              <w:bottom w:val="nil"/>
              <w:right w:val="nil"/>
            </w:tcBorders>
          </w:tcPr>
          <w:p w14:paraId="4F311E52" w14:textId="77777777" w:rsidR="00BB4F16" w:rsidRPr="0076182D" w:rsidRDefault="00BB4F16"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2A6515B1" w14:textId="77777777" w:rsidR="00BB4F16" w:rsidRDefault="00BB4F16" w:rsidP="009C3B73">
            <w:pPr>
              <w:pStyle w:val="BodyText"/>
              <w:ind w:firstLine="0"/>
              <w:jc w:val="right"/>
            </w:pPr>
            <w:r>
              <w:t>(2.16)</w:t>
            </w:r>
          </w:p>
        </w:tc>
      </w:tr>
    </w:tbl>
    <w:p w14:paraId="65AC91AE" w14:textId="77777777" w:rsidR="00BB4F16" w:rsidRDefault="00BB4F16"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BB4F16" w14:paraId="4828A74A" w14:textId="77777777" w:rsidTr="009C3B73">
        <w:tc>
          <w:tcPr>
            <w:tcW w:w="6804" w:type="dxa"/>
            <w:tcBorders>
              <w:top w:val="nil"/>
              <w:left w:val="nil"/>
              <w:bottom w:val="nil"/>
              <w:right w:val="nil"/>
            </w:tcBorders>
          </w:tcPr>
          <w:p w14:paraId="285DA465" w14:textId="77777777" w:rsidR="00BB4F16" w:rsidRPr="0076182D" w:rsidRDefault="00BB4F16"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2B787B8D" w14:textId="77777777" w:rsidR="00BB4F16" w:rsidRDefault="00BB4F16" w:rsidP="009C3B73">
            <w:pPr>
              <w:pStyle w:val="BodyText"/>
              <w:ind w:firstLine="0"/>
              <w:jc w:val="right"/>
            </w:pPr>
            <w:r>
              <w:t>(2.17)</w:t>
            </w:r>
          </w:p>
        </w:tc>
      </w:tr>
    </w:tbl>
    <w:p w14:paraId="5AA69E45" w14:textId="77777777" w:rsidR="00BB4F16" w:rsidRDefault="00BB4F16"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512957B" w14:textId="77777777" w:rsidR="00BB4F16" w:rsidRDefault="00BB4F16"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BB4F16" w14:paraId="37FD7A6E" w14:textId="77777777" w:rsidTr="000927B6">
        <w:tc>
          <w:tcPr>
            <w:tcW w:w="6804" w:type="dxa"/>
          </w:tcPr>
          <w:p w14:paraId="74FD7668" w14:textId="77777777" w:rsidR="00BB4F16" w:rsidRPr="0076182D" w:rsidRDefault="00BB4F16"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3AB4751C" w14:textId="77777777" w:rsidR="00BB4F16" w:rsidRDefault="00BB4F16" w:rsidP="009C3B73">
            <w:pPr>
              <w:pStyle w:val="BodyText"/>
              <w:ind w:firstLine="0"/>
              <w:jc w:val="right"/>
            </w:pPr>
            <w:r>
              <w:t>(2.18)</w:t>
            </w:r>
          </w:p>
        </w:tc>
      </w:tr>
      <w:tr w:rsidR="00BB4F16" w14:paraId="2FD6A260" w14:textId="77777777" w:rsidTr="000927B6">
        <w:tc>
          <w:tcPr>
            <w:tcW w:w="6804" w:type="dxa"/>
          </w:tcPr>
          <w:p w14:paraId="124E9DD6" w14:textId="77777777" w:rsidR="00BB4F16" w:rsidRPr="0076182D" w:rsidRDefault="00BB4F16"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6D09E658" w14:textId="77777777" w:rsidR="00BB4F16" w:rsidRDefault="00BB4F16" w:rsidP="009C3B73">
            <w:pPr>
              <w:pStyle w:val="BodyText"/>
              <w:ind w:firstLine="0"/>
              <w:jc w:val="right"/>
            </w:pPr>
            <w:r>
              <w:t>(2.19)</w:t>
            </w:r>
          </w:p>
        </w:tc>
      </w:tr>
    </w:tbl>
    <w:p w14:paraId="581FFFA3" w14:textId="77777777" w:rsidR="00BB4F16" w:rsidRDefault="00BB4F16"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rPr>
          <m:t>Θ</m:t>
        </m:r>
        <m:r>
          <w:rPr>
            <w:rFonts w:ascii="Cambria Math" w:hAnsi="Cambria Math"/>
          </w:rPr>
          <m:t>)</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BB4F16" w14:paraId="759126B8" w14:textId="77777777" w:rsidTr="00D75640">
        <w:tc>
          <w:tcPr>
            <w:tcW w:w="6804" w:type="dxa"/>
            <w:tcBorders>
              <w:top w:val="nil"/>
              <w:left w:val="nil"/>
              <w:bottom w:val="nil"/>
              <w:right w:val="nil"/>
            </w:tcBorders>
          </w:tcPr>
          <w:p w14:paraId="5E9EE3FC" w14:textId="77777777" w:rsidR="00BB4F16" w:rsidRPr="008E2476" w:rsidRDefault="00BB4F16"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109D173D" w14:textId="77777777" w:rsidR="00BB4F16" w:rsidRDefault="00BB4F16" w:rsidP="009C3B73">
            <w:pPr>
              <w:pStyle w:val="BodyText"/>
              <w:ind w:firstLine="0"/>
              <w:jc w:val="right"/>
            </w:pPr>
            <w:r>
              <w:t>(2.20)</w:t>
            </w:r>
          </w:p>
        </w:tc>
      </w:tr>
    </w:tbl>
    <w:p w14:paraId="5C875D73" w14:textId="77777777" w:rsidR="00BB4F16" w:rsidRDefault="00BB4F16"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 The radiance and the source terms are now Stokes vectors in 4 by 1 matrices and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hint="eastAsia"/>
          </w:rPr>
          <m:t>Θ</m:t>
        </m:r>
        <m:r>
          <w:rPr>
            <w:rFonts w:ascii="Cambria Math" w:hAnsi="Cambria Math"/>
          </w:rPr>
          <m:t>)</m:t>
        </m:r>
      </m:oMath>
      <w:r>
        <w:t xml:space="preserve">, is a 4 by 4 tensor that is related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essentially four times the size of a standard scalar radiance calculation. </w:t>
      </w:r>
    </w:p>
    <w:p w14:paraId="5018E150" w14:textId="77777777" w:rsidR="00BB4F16" w:rsidRDefault="00BB4F16" w:rsidP="00040164">
      <w:pPr>
        <w:pStyle w:val="BodyText"/>
        <w:jc w:val="both"/>
      </w:pPr>
      <w:r>
        <w:t xml:space="preserve">With the complete vector polarized radiative transfer expression the two scattering interactions that pertain to determining aerosol are described. The first interaction is Rayleigh scattering, which defines the scattering process from the molecular atmosphere, and Mie scattering, which determines how incoming light scatters from spherical particles, </w:t>
      </w:r>
      <w:r w:rsidRPr="00FD1E67">
        <w:rPr>
          <w:i/>
        </w:rPr>
        <w:t>i.e</w:t>
      </w:r>
      <w:r>
        <w:t>. a model for stratospheric aerosol scattering.</w:t>
      </w:r>
    </w:p>
    <w:p w14:paraId="6588A06A" w14:textId="77777777" w:rsidR="00BB4F16" w:rsidRDefault="00BB4F16" w:rsidP="00FA7303">
      <w:pPr>
        <w:pStyle w:val="Heading2"/>
      </w:pPr>
      <w:bookmarkStart w:id="48" w:name="_Toc452973721"/>
      <w:bookmarkStart w:id="49" w:name="_Toc459300482"/>
      <w:r>
        <w:t>2.4.3 Rayleigh Scattering</w:t>
      </w:r>
      <w:bookmarkEnd w:id="48"/>
      <w:bookmarkEnd w:id="49"/>
    </w:p>
    <w:p w14:paraId="457EE0FE" w14:textId="77777777" w:rsidR="00BB4F16" w:rsidRDefault="00BB4F16" w:rsidP="008E2476">
      <w:pPr>
        <w:pStyle w:val="BodyText"/>
        <w:jc w:val="both"/>
      </w:pPr>
      <w:r>
        <w:t xml:space="preserve">Rayleigh scatter is the scattering process by the molecular background atmosphere, </w:t>
      </w:r>
      <w:r w:rsidRPr="00A33039">
        <w:rPr>
          <w:i/>
        </w:rPr>
        <w:t>i.e</w:t>
      </w:r>
      <w:r>
        <w:t xml:space="preserve">. by molecules of the air.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BB4F16" w14:paraId="63A37DE8" w14:textId="77777777" w:rsidTr="000927B6">
        <w:tc>
          <w:tcPr>
            <w:tcW w:w="6804" w:type="dxa"/>
            <w:tcBorders>
              <w:top w:val="nil"/>
              <w:left w:val="nil"/>
              <w:bottom w:val="nil"/>
              <w:right w:val="nil"/>
            </w:tcBorders>
          </w:tcPr>
          <w:p w14:paraId="2F8A4BFD" w14:textId="77777777" w:rsidR="00BB4F16" w:rsidRPr="008E2476" w:rsidRDefault="00BB4F16"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6791E8F9" w14:textId="77777777" w:rsidR="00BB4F16" w:rsidRDefault="00BB4F16" w:rsidP="009C3B73">
            <w:pPr>
              <w:pStyle w:val="BodyText"/>
              <w:ind w:firstLine="0"/>
              <w:jc w:val="right"/>
            </w:pPr>
            <w:r>
              <w:t>(2.21)</w:t>
            </w:r>
          </w:p>
        </w:tc>
      </w:tr>
    </w:tbl>
    <w:p w14:paraId="12222B3D" w14:textId="77777777" w:rsidR="00BB4F16" w:rsidRDefault="00BB4F16"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given per unit volume, and the depolarization ratio, which is unitless (</w:t>
      </w:r>
      <w:r>
        <w:rPr>
          <w:i/>
        </w:rPr>
        <w:t>Sneep and Ubachs</w:t>
      </w:r>
      <w:r>
        <w:t xml:space="preserve">, 2005). </w:t>
      </w:r>
    </w:p>
    <w:p w14:paraId="43E18399" w14:textId="77777777" w:rsidR="00BB4F16" w:rsidRDefault="00BB4F16" w:rsidP="000E00D9">
      <w:pPr>
        <w:pStyle w:val="BodyText"/>
        <w:jc w:val="both"/>
      </w:pPr>
      <w:r>
        <w:t>The other important quantity for scattering is the scattering matrix, which is analogous to the scattering phase function in the scalar theory.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BB4F16" w14:paraId="752F17DC" w14:textId="77777777" w:rsidTr="000927B6">
        <w:tc>
          <w:tcPr>
            <w:tcW w:w="6804" w:type="dxa"/>
            <w:tcBorders>
              <w:top w:val="nil"/>
              <w:left w:val="nil"/>
              <w:bottom w:val="nil"/>
              <w:right w:val="nil"/>
            </w:tcBorders>
          </w:tcPr>
          <w:p w14:paraId="3D826684" w14:textId="77777777" w:rsidR="00BB4F16" w:rsidRPr="008E2476" w:rsidRDefault="00BB4F16"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EA398F0" w14:textId="77777777" w:rsidR="00BB4F16" w:rsidRDefault="00BB4F16" w:rsidP="009C3B73">
            <w:pPr>
              <w:pStyle w:val="BodyText"/>
              <w:ind w:firstLine="0"/>
              <w:jc w:val="right"/>
            </w:pPr>
            <w:r>
              <w:t>(2.22)</w:t>
            </w:r>
          </w:p>
        </w:tc>
      </w:tr>
    </w:tbl>
    <w:p w14:paraId="2AB3499C" w14:textId="77777777" w:rsidR="00BB4F16" w:rsidRDefault="00BB4F16" w:rsidP="002B54E1">
      <w:pPr>
        <w:pStyle w:val="BodyText"/>
        <w:ind w:firstLine="0"/>
        <w:jc w:val="both"/>
      </w:pPr>
      <w:r>
        <w:t xml:space="preserve">Each component of the scattering matrix itself is smoothly varying and analytically determined, which allows for easy and accurate calculation of Rayleigh scattering. </w:t>
      </w:r>
    </w:p>
    <w:p w14:paraId="3B1BB4B9" w14:textId="77777777" w:rsidR="00BB4F16" w:rsidRDefault="00BB4F16" w:rsidP="00FA7303">
      <w:pPr>
        <w:pStyle w:val="Heading2"/>
      </w:pPr>
      <w:bookmarkStart w:id="50" w:name="_Toc452973722"/>
      <w:bookmarkStart w:id="51" w:name="_Toc459300483"/>
      <w:r>
        <w:t>2.4.4 Mie Scattering</w:t>
      </w:r>
      <w:bookmarkEnd w:id="50"/>
      <w:bookmarkEnd w:id="51"/>
    </w:p>
    <w:p w14:paraId="30F0E8E3" w14:textId="77777777" w:rsidR="00BB4F16" w:rsidRDefault="00BB4F16"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solved Maxwell’s equations for scattering from a dielectric sphere in a general sense with a solution using a series of 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BB4F16" w14:paraId="4B703883" w14:textId="77777777" w:rsidTr="000927B6">
        <w:tc>
          <w:tcPr>
            <w:tcW w:w="6804" w:type="dxa"/>
            <w:tcBorders>
              <w:top w:val="nil"/>
              <w:left w:val="nil"/>
              <w:bottom w:val="nil"/>
              <w:right w:val="nil"/>
            </w:tcBorders>
          </w:tcPr>
          <w:p w14:paraId="2523117A" w14:textId="77777777" w:rsidR="00BB4F16" w:rsidRPr="008E2476" w:rsidRDefault="00BB4F16"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4D6233F6" w14:textId="77777777" w:rsidR="00BB4F16" w:rsidRDefault="00BB4F16" w:rsidP="009C3B73">
            <w:pPr>
              <w:pStyle w:val="BodyText"/>
              <w:ind w:firstLine="0"/>
              <w:jc w:val="right"/>
            </w:pPr>
            <w:r>
              <w:t>(2.23)</w:t>
            </w:r>
          </w:p>
        </w:tc>
      </w:tr>
    </w:tbl>
    <w:p w14:paraId="2B34D2C2" w14:textId="77777777" w:rsidR="00BB4F16" w:rsidRDefault="00BB4F16"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BB4F16" w14:paraId="415E7AED" w14:textId="77777777" w:rsidTr="005519E0">
        <w:tc>
          <w:tcPr>
            <w:tcW w:w="6804" w:type="dxa"/>
          </w:tcPr>
          <w:p w14:paraId="248615CC" w14:textId="77777777" w:rsidR="00BB4F16" w:rsidRPr="008E2476" w:rsidRDefault="00BB4F16"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6FF0B3A" w14:textId="77777777" w:rsidR="00BB4F16" w:rsidRDefault="00BB4F16" w:rsidP="009C3B73">
            <w:pPr>
              <w:pStyle w:val="BodyText"/>
              <w:ind w:firstLine="0"/>
              <w:jc w:val="right"/>
            </w:pPr>
            <w:r>
              <w:t>(2.24)</w:t>
            </w:r>
          </w:p>
        </w:tc>
      </w:tr>
      <w:tr w:rsidR="00BB4F16" w14:paraId="7C304C98" w14:textId="77777777" w:rsidTr="005519E0">
        <w:tc>
          <w:tcPr>
            <w:tcW w:w="6804" w:type="dxa"/>
          </w:tcPr>
          <w:p w14:paraId="609E9B2E" w14:textId="77777777" w:rsidR="00BB4F16" w:rsidRPr="008E2476" w:rsidRDefault="00BB4F16"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FB41FAF" w14:textId="77777777" w:rsidR="00BB4F16" w:rsidRDefault="00BB4F16" w:rsidP="009C3B73">
            <w:pPr>
              <w:pStyle w:val="BodyText"/>
              <w:ind w:firstLine="0"/>
              <w:jc w:val="right"/>
            </w:pPr>
            <w:r>
              <w:t>(2.25)</w:t>
            </w:r>
          </w:p>
        </w:tc>
      </w:tr>
    </w:tbl>
    <w:p w14:paraId="63F7631F" w14:textId="77777777" w:rsidR="00BB4F16" w:rsidRDefault="00BB4F16"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BB4F16" w14:paraId="72C7B5C9" w14:textId="77777777" w:rsidTr="009C3B73">
        <w:tc>
          <w:tcPr>
            <w:tcW w:w="8364" w:type="dxa"/>
            <w:tcBorders>
              <w:top w:val="nil"/>
              <w:left w:val="nil"/>
              <w:bottom w:val="nil"/>
              <w:right w:val="nil"/>
            </w:tcBorders>
          </w:tcPr>
          <w:p w14:paraId="24A27880" w14:textId="77777777" w:rsidR="00BB4F16" w:rsidRPr="008E2476" w:rsidRDefault="00BB4F16"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07F590FC" w14:textId="77777777" w:rsidR="00BB4F16" w:rsidRDefault="00BB4F16" w:rsidP="009C3B73">
            <w:pPr>
              <w:pStyle w:val="BodyText"/>
              <w:ind w:left="32" w:hanging="32"/>
              <w:jc w:val="right"/>
            </w:pPr>
            <w:r>
              <w:t>(2.26)</w:t>
            </w:r>
          </w:p>
        </w:tc>
      </w:tr>
    </w:tbl>
    <w:p w14:paraId="7295E098" w14:textId="77777777" w:rsidR="00BB4F16" w:rsidRDefault="00BB4F16"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BB4F16" w14:paraId="35C295AC" w14:textId="77777777" w:rsidTr="001E4300">
        <w:tc>
          <w:tcPr>
            <w:tcW w:w="6804" w:type="dxa"/>
          </w:tcPr>
          <w:p w14:paraId="7AD61BBB" w14:textId="77777777" w:rsidR="00BB4F16" w:rsidRPr="008E2476" w:rsidRDefault="00BB4F16"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02F2C029" w14:textId="77777777" w:rsidR="00BB4F16" w:rsidRDefault="00BB4F16" w:rsidP="009C3B73">
            <w:pPr>
              <w:pStyle w:val="BodyText"/>
              <w:ind w:firstLine="0"/>
              <w:jc w:val="right"/>
            </w:pPr>
            <w:r>
              <w:t>(2.27)</w:t>
            </w:r>
          </w:p>
        </w:tc>
      </w:tr>
      <w:tr w:rsidR="00BB4F16" w14:paraId="01089E75" w14:textId="77777777" w:rsidTr="001E4300">
        <w:tc>
          <w:tcPr>
            <w:tcW w:w="6804" w:type="dxa"/>
          </w:tcPr>
          <w:p w14:paraId="04F4CAD8" w14:textId="77777777" w:rsidR="00BB4F16" w:rsidRPr="008E2476" w:rsidRDefault="00BB4F16"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168567" w14:textId="77777777" w:rsidR="00BB4F16" w:rsidRDefault="00BB4F16" w:rsidP="009C3B73">
            <w:pPr>
              <w:pStyle w:val="BodyText"/>
              <w:ind w:firstLine="0"/>
              <w:jc w:val="right"/>
            </w:pPr>
            <w:r>
              <w:t>(2.28)</w:t>
            </w:r>
          </w:p>
        </w:tc>
      </w:tr>
    </w:tbl>
    <w:p w14:paraId="42B3A068" w14:textId="77777777" w:rsidR="00BB4F16" w:rsidRDefault="00BB4F16"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001D8E94" w14:textId="77777777" w:rsidR="00BB4F16" w:rsidRDefault="00BB4F16"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BB4F16" w14:paraId="7CEB3683" w14:textId="77777777" w:rsidTr="00C23298">
        <w:tc>
          <w:tcPr>
            <w:tcW w:w="6804" w:type="dxa"/>
            <w:tcBorders>
              <w:top w:val="nil"/>
              <w:left w:val="nil"/>
              <w:bottom w:val="nil"/>
              <w:right w:val="nil"/>
            </w:tcBorders>
          </w:tcPr>
          <w:p w14:paraId="08F365B6" w14:textId="77777777" w:rsidR="00BB4F16" w:rsidRPr="008E2476" w:rsidRDefault="00BB4F16"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7C91B575" w14:textId="77777777" w:rsidR="00BB4F16" w:rsidRDefault="00BB4F16" w:rsidP="009C3B73">
            <w:pPr>
              <w:pStyle w:val="BodyText"/>
              <w:ind w:firstLine="0"/>
              <w:jc w:val="right"/>
            </w:pPr>
            <w:r>
              <w:t>(2.29)</w:t>
            </w:r>
          </w:p>
        </w:tc>
      </w:tr>
    </w:tbl>
    <w:p w14:paraId="66973B98" w14:textId="77777777" w:rsidR="00BB4F16" w:rsidRDefault="00BB4F16" w:rsidP="00C452B7">
      <w:pPr>
        <w:pStyle w:val="BodyText"/>
        <w:ind w:firstLine="0"/>
        <w:jc w:val="both"/>
      </w:pPr>
      <w:r>
        <w:t>The weighted average is similarly performed to determine the effective phase matrix for a particle size distribution.</w:t>
      </w:r>
    </w:p>
    <w:p w14:paraId="52D627BC" w14:textId="77777777" w:rsidR="00BB4F16" w:rsidRDefault="00BB4F16"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as a function of wavelength are shown in </w:t>
      </w:r>
      <w:r w:rsidRPr="007B0BC9">
        <w:fldChar w:fldCharType="begin"/>
      </w:r>
      <w:r w:rsidRPr="007B0BC9">
        <w:instrText xml:space="preserve"> REF _Ref455578667 \h </w:instrText>
      </w:r>
      <w:r w:rsidRPr="007B0BC9">
        <w:instrText xml:space="preserve"> \* MERGEFORMAT </w:instrText>
      </w:r>
      <w:r w:rsidRPr="007B0BC9">
        <w:fldChar w:fldCharType="separate"/>
      </w:r>
      <w:r w:rsidRPr="00E93584">
        <w:t>Figure 2-6</w:t>
      </w:r>
      <w:r w:rsidRPr="007B0BC9">
        <w:fldChar w:fldCharType="end"/>
      </w:r>
      <w:r>
        <w:t>a. The “wavelength to the fourth” dependence is shown for Rayleigh scattering, in blue, (Equation 2.21) whereas Mie scattering, in red, has a flatter spectral dependence, which changes with particle size. Due to this difference, the contribution of Mie scattering becomes more predominant as wavelength increases. The terms of the scattering phase matrix are also radically different for the two scattering processes (</w:t>
      </w:r>
      <w:r w:rsidRPr="007B0BC9">
        <w:fldChar w:fldCharType="begin"/>
      </w:r>
      <w:r w:rsidRPr="007B0BC9">
        <w:instrText xml:space="preserve"> REF _Ref455578667 \h </w:instrText>
      </w:r>
      <w:r w:rsidRPr="007B0BC9">
        <w:instrText xml:space="preserve"> \* MERGEFORMAT </w:instrText>
      </w:r>
      <w:r w:rsidRPr="007B0BC9">
        <w:fldChar w:fldCharType="separate"/>
      </w:r>
      <w:r w:rsidRPr="00E93584">
        <w:t>Figure 2-6</w:t>
      </w:r>
      <w:r w:rsidRPr="007B0BC9">
        <w:fldChar w:fldCharType="end"/>
      </w:r>
      <w:r>
        <w:t xml:space="preserve">b). For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t>, the Rayleigh term is smooth with even forward and back scattering and decreases at 90</w:t>
      </w:r>
      <w:r>
        <w:rPr>
          <w:vertAlign w:val="superscript"/>
        </w:rPr>
        <w:t xml:space="preserve">◦ </w:t>
      </w:r>
      <w:r w:rsidRPr="00344919">
        <w:t xml:space="preserve">scattering </w:t>
      </w:r>
      <w:r w:rsidRPr="00C94AB1">
        <w:t>angle</w:t>
      </w:r>
      <w:r w:rsidRPr="00344919">
        <w:t xml:space="preserve">. </w:t>
      </w:r>
      <w:r>
        <w:t>The scattering term for Mie on the other hand has a strong tendency for forward scattering compared with much lower values for scattering angles past 90</w:t>
      </w:r>
      <w:r>
        <w:rPr>
          <w:vertAlign w:val="superscript"/>
        </w:rPr>
        <w:t>◦</w:t>
      </w:r>
      <w:r>
        <w:t xml:space="preserve">. Further, for certain wavelengths and size parameters the Mie phase matrix can have oscillations super-imposed onto the curve making the phase matrix even more complex than Rayleigh scattering. </w:t>
      </w:r>
    </w:p>
    <w:p w14:paraId="7CBF3840" w14:textId="77777777" w:rsidR="00BB4F16" w:rsidRDefault="00BB4F16"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(1980) has allowed for accurate and efficient computation of the Mie scattering coefficients, and these are used within the modelling work presented here.</w:t>
      </w:r>
    </w:p>
    <w:p w14:paraId="4EDDF11A" w14:textId="77777777" w:rsidR="00BB4F16" w:rsidRDefault="00BB4F16" w:rsidP="00832BF3">
      <w:pPr>
        <w:pStyle w:val="BodyText"/>
        <w:keepNext/>
        <w:ind w:firstLine="0"/>
        <w:jc w:val="both"/>
      </w:pPr>
      <w:r>
        <w:rPr>
          <w:noProof/>
          <w:lang w:val="en-US"/>
        </w:rPr>
        <w:drawing>
          <wp:inline distT="0" distB="0" distL="0" distR="0" wp14:anchorId="2AC37A5E" wp14:editId="283A4044">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3377440B" w14:textId="77777777" w:rsidR="00BB4F16" w:rsidRDefault="00BB4F16" w:rsidP="003C6943">
      <w:pPr>
        <w:pStyle w:val="Caption"/>
        <w:spacing w:before="0" w:after="0"/>
        <w:jc w:val="both"/>
        <w:rPr>
          <w:b w:val="0"/>
        </w:rPr>
      </w:pPr>
      <w:bookmarkStart w:id="52" w:name="_Ref455578667"/>
      <w:bookmarkStart w:id="53" w:name="_Toc459300605"/>
      <w:r w:rsidRPr="00E678B3">
        <w:rPr>
          <w:b w:val="0"/>
        </w:rPr>
        <w:t>Figure 2-</w:t>
      </w:r>
      <w:r w:rsidRPr="00E678B3">
        <w:rPr>
          <w:b w:val="0"/>
        </w:rPr>
        <w:fldChar w:fldCharType="begin"/>
      </w:r>
      <w:r w:rsidRPr="00E678B3">
        <w:rPr>
          <w:b w:val="0"/>
        </w:rPr>
        <w:instrText xml:space="preserve"> SEQ Figure \* ARABIC </w:instrText>
      </w:r>
      <w:r w:rsidRPr="00E678B3">
        <w:rPr>
          <w:b w:val="0"/>
        </w:rPr>
        <w:fldChar w:fldCharType="separate"/>
      </w:r>
      <w:r>
        <w:rPr>
          <w:b w:val="0"/>
          <w:noProof/>
        </w:rPr>
        <w:t>6</w:t>
      </w:r>
      <w:r w:rsidRPr="00E678B3">
        <w:rPr>
          <w:b w:val="0"/>
          <w:noProof/>
        </w:rPr>
        <w:fldChar w:fldCharType="end"/>
      </w:r>
      <w:bookmarkEnd w:id="52"/>
      <w:r>
        <w:t>:</w:t>
      </w:r>
      <w:r>
        <w:rPr>
          <w:b w:val="0"/>
        </w:rPr>
        <w:t xml:space="preserve"> (a) Change in scattering cross section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11</m:t>
            </m:r>
          </m:sub>
        </m:sSub>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Pr>
          <w:b w:val="0"/>
        </w:rPr>
        <w:t>, for Rayleigh and Mie scattering across scattering angle.</w:t>
      </w:r>
      <w:bookmarkEnd w:id="53"/>
    </w:p>
    <w:p w14:paraId="017A2C6C" w14:textId="77777777" w:rsidR="00BB4F16" w:rsidRPr="003C6943" w:rsidRDefault="00BB4F16" w:rsidP="003C6943"/>
    <w:p w14:paraId="4706D738" w14:textId="77777777" w:rsidR="00BB4F16" w:rsidRDefault="00BB4F16" w:rsidP="00BA54C2">
      <w:pPr>
        <w:pStyle w:val="Heading2"/>
      </w:pPr>
      <w:bookmarkStart w:id="54" w:name="_Toc452973723"/>
      <w:bookmarkStart w:id="55" w:name="_Toc459300484"/>
      <w:r>
        <w:t>2.4.5 SASKTRAN Radiative Transfer Model</w:t>
      </w:r>
      <w:bookmarkEnd w:id="54"/>
      <w:bookmarkEnd w:id="55"/>
    </w:p>
    <w:p w14:paraId="6C7B4AB8" w14:textId="77777777" w:rsidR="00BB4F16" w:rsidRDefault="00BB4F16" w:rsidP="00AB70C3">
      <w:pPr>
        <w:pStyle w:val="BodyText"/>
        <w:jc w:val="both"/>
      </w:pPr>
      <w:r>
        <w:t xml:space="preserve">The SASKTRAN radiative transfer was first developed to solve the scalar radiative transfer equation in a fully spherical atmosphere for both single and multiple scattering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is the light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50EE762B" w14:textId="77777777" w:rsidR="00BB4F16" w:rsidRDefault="00BB4F16" w:rsidP="00AB70C3">
      <w:pPr>
        <w:pStyle w:val="BodyText"/>
        <w:jc w:val="both"/>
      </w:pPr>
      <w:r>
        <w:t>Recent upgrades have been performed on SASKTRAN and have led to a new solver, or “engine” known as SASKTRAN High Resolution or SASKTRAN-HR (</w:t>
      </w:r>
      <w:r w:rsidRPr="005C4C73">
        <w:rPr>
          <w:i/>
        </w:rPr>
        <w:t>Zawada et al.</w:t>
      </w:r>
      <w:r>
        <w:t>, 2015) which has expanded the model capabilities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more accurate modelling of the variation of atmospheric parameters along the instrument line of sight and the potential for tomographic inversions. </w:t>
      </w:r>
    </w:p>
    <w:p w14:paraId="67383D3D" w14:textId="77777777" w:rsidR="00BB4F16" w:rsidRDefault="00BB4F16" w:rsidP="00AB70C3">
      <w:pPr>
        <w:pStyle w:val="BodyText"/>
        <w:jc w:val="both"/>
      </w:pPr>
      <w:r>
        <w:t>The most important update to the SASKTRAN-HR model for this thesis work is the capability to calculate the vector or polarized radiances (</w:t>
      </w:r>
      <w:r w:rsidRPr="005C4C73">
        <w:rPr>
          <w:i/>
        </w:rPr>
        <w:t>Dueck et al.</w:t>
      </w:r>
      <w:r>
        <w:t xml:space="preserve">, 2016). Solving the vector radiative transfer equation allows for SASKTRAN to compute the Stokes vectors in the reference frame of the model, which can then be rotated into any desired instrument frame of reference. The polarization algorithm implemented in SASKTRAN-HR provides polarized calculations up to a user-specified number of orders of scattering, with all successive orders approximated as randomly polarized. </w:t>
      </w:r>
    </w:p>
    <w:p w14:paraId="73924365" w14:textId="77777777" w:rsidR="00BB4F16" w:rsidRDefault="00BB4F16" w:rsidP="00C36322">
      <w:pPr>
        <w:pStyle w:val="Heading1"/>
      </w:pPr>
      <w:bookmarkStart w:id="56" w:name="_Toc459300485"/>
      <w:r>
        <w:t>2.5 Inversion Techniques</w:t>
      </w:r>
      <w:bookmarkEnd w:id="56"/>
    </w:p>
    <w:p w14:paraId="4D306BA8" w14:textId="77777777" w:rsidR="00BB4F16" w:rsidRDefault="00BB4F16" w:rsidP="005E5B67">
      <w:pPr>
        <w:pStyle w:val="BodyText"/>
        <w:jc w:val="both"/>
      </w:pPr>
      <w:r>
        <w:t xml:space="preserve">Remote sensing methods indirectly measure the desired atmosphere state and require a method to be able to transform the measurement into the desired physical atmospheric quantity. This process is known as a measurement “inversion”, “retrieval”, or more generally as the inverse problem. A measurement vector, </w:t>
      </w:r>
      <m:oMath>
        <m:r>
          <m:rPr>
            <m:sty m:val="bi"/>
          </m:rPr>
          <w:rPr>
            <w:rFonts w:ascii="Cambria Math" w:hAnsi="Cambria Math"/>
          </w:rPr>
          <m:t>y</m:t>
        </m:r>
      </m:oMath>
      <w:r>
        <w:t xml:space="preserve">, is constructed from the spectral radiance that has sensitivity to the desired physical parameter while reducing sensitivity to other physical parameters as much as possible. A forward model (for example in this case SASKTRAN-HR), </w:t>
      </w:r>
      <m:oMath>
        <m:r>
          <m:rPr>
            <m:sty m:val="bi"/>
          </m:rPr>
          <w:rPr>
            <w:rFonts w:ascii="Cambria Math" w:hAnsi="Cambria Math"/>
          </w:rPr>
          <m:t>F(x,b)</m:t>
        </m:r>
      </m:oMath>
      <w:r>
        <w:t xml:space="preserve"> is used to compute the measurement vector using an input atmospheric state, </w:t>
      </w:r>
      <m:oMath>
        <m:r>
          <m:rPr>
            <m:sty m:val="bi"/>
          </m:rPr>
          <w:rPr>
            <w:rFonts w:ascii="Cambria Math" w:hAnsi="Cambria Math"/>
          </w:rPr>
          <m:t>b</m:t>
        </m:r>
      </m:oMath>
      <w:r>
        <w:t xml:space="preserve">, and desired physical 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BB4F16" w14:paraId="66BC6870" w14:textId="77777777" w:rsidTr="000214D1">
        <w:tc>
          <w:tcPr>
            <w:tcW w:w="6804" w:type="dxa"/>
            <w:tcBorders>
              <w:top w:val="nil"/>
              <w:left w:val="nil"/>
              <w:bottom w:val="nil"/>
              <w:right w:val="nil"/>
            </w:tcBorders>
          </w:tcPr>
          <w:p w14:paraId="559EF082" w14:textId="77777777" w:rsidR="00BB4F16" w:rsidRPr="008E2476" w:rsidRDefault="00BB4F16"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4D7D9B52" w14:textId="77777777" w:rsidR="00BB4F16" w:rsidRDefault="00BB4F16" w:rsidP="00224869">
            <w:pPr>
              <w:pStyle w:val="BodyText"/>
              <w:ind w:firstLine="0"/>
              <w:jc w:val="right"/>
            </w:pPr>
            <w:r>
              <w:t>(2.30)</w:t>
            </w:r>
          </w:p>
        </w:tc>
      </w:tr>
    </w:tbl>
    <w:p w14:paraId="64FF6DBF" w14:textId="77777777" w:rsidR="00BB4F16" w:rsidRDefault="00BB4F16" w:rsidP="00C36322">
      <w:pPr>
        <w:pStyle w:val="BodyText"/>
        <w:ind w:firstLine="0"/>
        <w:jc w:val="both"/>
      </w:pPr>
      <w:r>
        <w:t xml:space="preserve">where </w:t>
      </w:r>
      <m:oMath>
        <m:r>
          <m:rPr>
            <m:sty m:val="bi"/>
          </m:rPr>
          <w:rPr>
            <w:rFonts w:ascii="Cambria Math" w:hAnsi="Cambria Math"/>
          </w:rPr>
          <m:t>ϵ</m:t>
        </m:r>
      </m:oMath>
      <w:r>
        <w:t>, is the measurement noise. This is the equation that needs to be inverted to yield the desired atmospheric state.</w:t>
      </w:r>
    </w:p>
    <w:p w14:paraId="36222928" w14:textId="77777777" w:rsidR="00BB4F16" w:rsidRDefault="00BB4F16"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BB4F16" w14:paraId="321AC4C8" w14:textId="77777777" w:rsidTr="00C36322">
        <w:tc>
          <w:tcPr>
            <w:tcW w:w="6804" w:type="dxa"/>
          </w:tcPr>
          <w:p w14:paraId="5791A52B" w14:textId="77777777" w:rsidR="00BB4F16" w:rsidRPr="008E2476" w:rsidRDefault="00BB4F16"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097A40F6" w14:textId="77777777" w:rsidR="00BB4F16" w:rsidRDefault="00BB4F16" w:rsidP="003664F3">
            <w:pPr>
              <w:pStyle w:val="BodyText"/>
              <w:ind w:firstLine="0"/>
              <w:jc w:val="right"/>
            </w:pPr>
            <w:r>
              <w:t>(2.31)</w:t>
            </w:r>
          </w:p>
        </w:tc>
      </w:tr>
      <w:tr w:rsidR="00BB4F16" w14:paraId="72E59F2C" w14:textId="77777777" w:rsidTr="00C36322">
        <w:tc>
          <w:tcPr>
            <w:tcW w:w="6804" w:type="dxa"/>
          </w:tcPr>
          <w:p w14:paraId="47FBF4F6" w14:textId="77777777" w:rsidR="00BB4F16" w:rsidRPr="008E2476" w:rsidRDefault="00BB4F16"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27F16613" w14:textId="77777777" w:rsidR="00BB4F16" w:rsidRDefault="00BB4F16" w:rsidP="003664F3">
            <w:pPr>
              <w:pStyle w:val="BodyText"/>
              <w:ind w:firstLine="0"/>
              <w:jc w:val="right"/>
            </w:pPr>
            <w:r>
              <w:t>(2.32)</w:t>
            </w:r>
          </w:p>
        </w:tc>
      </w:tr>
    </w:tbl>
    <w:p w14:paraId="6E1844A1" w14:textId="77777777" w:rsidR="00BB4F16" w:rsidRPr="00C36322" w:rsidRDefault="00BB4F16"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contain measurement noise; additionally numerical approximations are usually used to calculate the forward model and Jacobian in realistic time frames. These issues make the direct method generally ineffective and iterative methods are used. This section will briefly cover common methods used for atmospheric inversions.</w:t>
      </w:r>
    </w:p>
    <w:p w14:paraId="340DD930" w14:textId="77777777" w:rsidR="00BB4F16" w:rsidRDefault="00BB4F16" w:rsidP="00C36322">
      <w:pPr>
        <w:pStyle w:val="Heading2"/>
      </w:pPr>
      <w:bookmarkStart w:id="57" w:name="_Toc459300486"/>
      <w:r>
        <w:t>2.5.1 Optimal Estimation</w:t>
      </w:r>
      <w:bookmarkEnd w:id="57"/>
    </w:p>
    <w:p w14:paraId="1251D44B" w14:textId="77777777" w:rsidR="00BB4F16" w:rsidRDefault="00BB4F16" w:rsidP="00224869">
      <w:pPr>
        <w:pStyle w:val="BodyText"/>
        <w:jc w:val="both"/>
      </w:pPr>
      <w:r>
        <w:t>Very commonly in atmospheric remote sensing, a Bayesian approach is used to update the atmospheric state, and this is known as optimal estimation (</w:t>
      </w:r>
      <w:r>
        <w:rPr>
          <w:i/>
        </w:rPr>
        <w:t>Rodgers,</w:t>
      </w:r>
      <w:r>
        <w:t xml:space="preserve"> 2000). This method uses statistical knowledge of the </w:t>
      </w:r>
      <w:r w:rsidRPr="007762A7">
        <w:rPr>
          <w:i/>
        </w:rPr>
        <w:t>a priori</w:t>
      </w:r>
      <w:r>
        <w:t xml:space="preserve"> and state parameter with measurement noise to determine the probability that the state parameter is </w:t>
      </w:r>
      <m:oMath>
        <m:r>
          <m:rPr>
            <m:sty m:val="bi"/>
          </m:rPr>
          <w:rPr>
            <w:rFonts w:ascii="Cambria Math" w:hAnsi="Cambria Math"/>
          </w:rPr>
          <m:t>x</m:t>
        </m:r>
      </m:oMath>
      <w:r>
        <w:t xml:space="preserve"> given a measurement of </w:t>
      </w:r>
      <m:oMath>
        <m:r>
          <m:rPr>
            <m:sty m:val="bi"/>
          </m:rPr>
          <w:rPr>
            <w:rFonts w:ascii="Cambria Math" w:hAnsi="Cambria Math"/>
          </w:rPr>
          <m:t>y</m:t>
        </m:r>
      </m:oMath>
      <w:r>
        <w:rPr>
          <w:b/>
        </w:rPr>
        <w:t>,</w:t>
      </w:r>
      <w:r>
        <w:t xml:space="preserve"> </w:t>
      </w:r>
      <w:r w:rsidRPr="00525375">
        <w:t>and i</w:t>
      </w:r>
      <w:r>
        <w:t>s given by</w:t>
      </w:r>
    </w:p>
    <w:tbl>
      <w:tblPr>
        <w:tblStyle w:val="TableGrid"/>
        <w:tblW w:w="8050" w:type="dxa"/>
        <w:tblInd w:w="1418" w:type="dxa"/>
        <w:tblLook w:val="04A0" w:firstRow="1" w:lastRow="0" w:firstColumn="1" w:lastColumn="0" w:noHBand="0" w:noVBand="1"/>
      </w:tblPr>
      <w:tblGrid>
        <w:gridCol w:w="6804"/>
        <w:gridCol w:w="1246"/>
      </w:tblGrid>
      <w:tr w:rsidR="00BB4F16" w14:paraId="47D0F48B" w14:textId="77777777" w:rsidTr="000214D1">
        <w:tc>
          <w:tcPr>
            <w:tcW w:w="6804" w:type="dxa"/>
            <w:tcBorders>
              <w:top w:val="nil"/>
              <w:left w:val="nil"/>
              <w:bottom w:val="nil"/>
              <w:right w:val="nil"/>
            </w:tcBorders>
          </w:tcPr>
          <w:p w14:paraId="6849EA28" w14:textId="77777777" w:rsidR="00BB4F16" w:rsidRPr="008E2476" w:rsidRDefault="00BB4F16">
            <w:pPr>
              <w:pStyle w:val="BodyText"/>
              <w:ind w:firstLine="289"/>
              <w:jc w:val="right"/>
              <w:rPr>
                <w:i/>
              </w:rPr>
            </w:pPr>
            <m:oMathPara>
              <m:oMath>
                <m:r>
                  <w:rPr>
                    <w:rFonts w:ascii="Cambria Math" w:hAnsi="Cambria Math"/>
                  </w:rPr>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76A8E11C" w14:textId="77777777" w:rsidR="00BB4F16" w:rsidRDefault="00BB4F16">
            <w:pPr>
              <w:pStyle w:val="BodyText"/>
              <w:ind w:firstLine="0"/>
              <w:jc w:val="right"/>
            </w:pPr>
            <w:r>
              <w:t>(2.33)</w:t>
            </w:r>
          </w:p>
        </w:tc>
      </w:tr>
    </w:tbl>
    <w:p w14:paraId="36425EA0" w14:textId="77777777" w:rsidR="00BB4F16" w:rsidRDefault="00BB4F16"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covariance of the measurement vector and </w:t>
      </w:r>
      <w:r w:rsidRPr="007762A7">
        <w:rPr>
          <w:i/>
        </w:rPr>
        <w:t>a priori</w:t>
      </w:r>
      <w:r>
        <w:t xml:space="preserve"> have a Gaussian distribution, the above can be solved to yield</w:t>
      </w:r>
    </w:p>
    <w:tbl>
      <w:tblPr>
        <w:tblStyle w:val="TableGrid"/>
        <w:tblW w:w="8050" w:type="dxa"/>
        <w:tblInd w:w="1418" w:type="dxa"/>
        <w:tblLook w:val="04A0" w:firstRow="1" w:lastRow="0" w:firstColumn="1" w:lastColumn="0" w:noHBand="0" w:noVBand="1"/>
      </w:tblPr>
      <w:tblGrid>
        <w:gridCol w:w="6804"/>
        <w:gridCol w:w="1246"/>
      </w:tblGrid>
      <w:tr w:rsidR="00BB4F16" w14:paraId="37916889" w14:textId="77777777" w:rsidTr="000214D1">
        <w:tc>
          <w:tcPr>
            <w:tcW w:w="6804" w:type="dxa"/>
            <w:tcBorders>
              <w:top w:val="nil"/>
              <w:left w:val="nil"/>
              <w:bottom w:val="nil"/>
              <w:right w:val="nil"/>
            </w:tcBorders>
          </w:tcPr>
          <w:p w14:paraId="2B34E9B5" w14:textId="77777777" w:rsidR="00BB4F16" w:rsidRPr="008E2476" w:rsidRDefault="00BB4F16">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27F68678" w14:textId="77777777" w:rsidR="00BB4F16" w:rsidRDefault="00BB4F16" w:rsidP="000214D1">
            <w:pPr>
              <w:pStyle w:val="BodyText"/>
              <w:ind w:firstLine="0"/>
              <w:jc w:val="right"/>
            </w:pPr>
            <w:r>
              <w:t>(2.34)</w:t>
            </w:r>
          </w:p>
        </w:tc>
      </w:tr>
    </w:tbl>
    <w:p w14:paraId="6064196C" w14:textId="77777777" w:rsidR="00BB4F16" w:rsidRPr="000475BE" w:rsidRDefault="00BB4F16"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For non-linear problems, this equation is iterated until a converged solution is found. It should be noted that if the covariance of the </w:t>
      </w:r>
      <w:r w:rsidRPr="007762A7">
        <w:rPr>
          <w:i/>
        </w:rPr>
        <w:t xml:space="preserve">a priori </w:t>
      </w:r>
      <w:r>
        <w:t>is unknown or is not well modeled by a Gaussian distribution this method can provide less “optimal” results.</w:t>
      </w:r>
    </w:p>
    <w:p w14:paraId="7B303346" w14:textId="77777777" w:rsidR="00BB4F16" w:rsidRDefault="00BB4F16" w:rsidP="00C36322">
      <w:pPr>
        <w:pStyle w:val="Heading2"/>
      </w:pPr>
      <w:bookmarkStart w:id="58" w:name="_Toc459300487"/>
      <w:r>
        <w:t>2.5.2 Levenberg-Marquardt</w:t>
      </w:r>
      <w:bookmarkEnd w:id="58"/>
      <w:r>
        <w:t xml:space="preserve"> </w:t>
      </w:r>
    </w:p>
    <w:p w14:paraId="032C0BFB" w14:textId="77777777" w:rsidR="00BB4F16" w:rsidRDefault="00BB4F16" w:rsidP="008F7035">
      <w:pPr>
        <w:pStyle w:val="BodyText"/>
        <w:jc w:val="both"/>
      </w:pPr>
      <w:r>
        <w:t xml:space="preserve">The Gauss-Newton iterative method has been classically used to solve for non-linear inversion problems. However, if the initial guess is far from the solution and if the solution space is not well described by a quadric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BB4F16" w14:paraId="64AB1787" w14:textId="77777777" w:rsidTr="000214D1">
        <w:tc>
          <w:tcPr>
            <w:tcW w:w="6804" w:type="dxa"/>
            <w:tcBorders>
              <w:top w:val="nil"/>
              <w:left w:val="nil"/>
              <w:bottom w:val="nil"/>
              <w:right w:val="nil"/>
            </w:tcBorders>
          </w:tcPr>
          <w:p w14:paraId="4BD43FED" w14:textId="77777777" w:rsidR="00BB4F16" w:rsidRPr="008E2476" w:rsidRDefault="00BB4F16">
            <w:pPr>
              <w:pStyle w:val="BodyText"/>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r>
                  <w:rPr>
                    <w:rFonts w:ascii="Cambria Math" w:hAnsi="Cambria Math"/>
                  </w:rPr>
                  <m:t>,</m:t>
                </m:r>
              </m:oMath>
            </m:oMathPara>
          </w:p>
        </w:tc>
        <w:tc>
          <w:tcPr>
            <w:tcW w:w="1246" w:type="dxa"/>
            <w:tcBorders>
              <w:top w:val="nil"/>
              <w:left w:val="nil"/>
              <w:bottom w:val="nil"/>
              <w:right w:val="nil"/>
            </w:tcBorders>
            <w:vAlign w:val="center"/>
          </w:tcPr>
          <w:p w14:paraId="28A5333B" w14:textId="77777777" w:rsidR="00BB4F16" w:rsidRDefault="00BB4F16">
            <w:pPr>
              <w:pStyle w:val="BodyText"/>
              <w:ind w:firstLine="0"/>
              <w:jc w:val="right"/>
            </w:pPr>
            <w:r>
              <w:t>(2.35)</w:t>
            </w:r>
          </w:p>
        </w:tc>
      </w:tr>
    </w:tbl>
    <w:p w14:paraId="12B27F9F" w14:textId="77777777" w:rsidR="00BB4F16" w:rsidRDefault="00BB4F16" w:rsidP="008F7035">
      <w:pPr>
        <w:pStyle w:val="BodyText"/>
        <w:ind w:firstLine="0"/>
        <w:jc w:val="both"/>
      </w:pPr>
      <w:r>
        <w:t xml:space="preserve">and is known as the Lebenberg-Marquardt algorithm. The damping factor, </w:t>
      </w:r>
      <m:oMath>
        <m:r>
          <w:rPr>
            <w:rFonts w:ascii="Cambria Math" w:hAnsi="Cambria Math"/>
          </w:rPr>
          <m:t>γ</m:t>
        </m:r>
      </m:oMath>
      <w:r>
        <w:t xml:space="preserve">, reduces the step size in iteration to keep the problem in a linear region. If this damping factor is small the method approaches the Gauss-Newton method whereas if </w:t>
      </w:r>
      <m:oMath>
        <m:r>
          <w:rPr>
            <w:rFonts w:ascii="Cambria Math" w:hAnsi="Cambria Math"/>
          </w:rPr>
          <m:t>γ</m:t>
        </m:r>
      </m:oMath>
      <w:r>
        <w:t xml:space="preserve"> is large the method steps down the direction of the gradient descent. The diagonal matrix, </w:t>
      </w:r>
      <m:oMath>
        <m:r>
          <m:rPr>
            <m:sty m:val="bi"/>
          </m:rPr>
          <w:rPr>
            <w:rFonts w:ascii="Cambria Math" w:hAnsi="Cambria Math"/>
          </w:rPr>
          <m:t>D</m:t>
        </m:r>
      </m:oMath>
      <w:r>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64D6A79D" w14:textId="77777777" w:rsidR="00BB4F16" w:rsidRPr="00D475DC" w:rsidRDefault="00BB4F16" w:rsidP="00C36322">
      <w:pPr>
        <w:pStyle w:val="Heading2"/>
      </w:pPr>
      <w:bookmarkStart w:id="59" w:name="_Toc459300488"/>
      <w:r>
        <w:t>2.5.3 Multiplicative Algebraic Reconstruction Technique</w:t>
      </w:r>
      <w:bookmarkEnd w:id="59"/>
    </w:p>
    <w:p w14:paraId="19E91C5C" w14:textId="77777777" w:rsidR="00BB4F16" w:rsidRDefault="00BB4F16" w:rsidP="00224869">
      <w:pPr>
        <w:pStyle w:val="BodyText"/>
        <w:jc w:val="both"/>
      </w:pPr>
      <w:r>
        <w:t>The Multiplicative Algebraic Reconstruction Technique (MART), which is used for the operational processing of the OSIRIS data products, is a form of relaxation techniques similar to the well-known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BB4F16" w14:paraId="08366396" w14:textId="77777777" w:rsidTr="000214D1">
        <w:tc>
          <w:tcPr>
            <w:tcW w:w="6804" w:type="dxa"/>
            <w:tcBorders>
              <w:top w:val="nil"/>
              <w:left w:val="nil"/>
              <w:bottom w:val="nil"/>
              <w:right w:val="nil"/>
            </w:tcBorders>
          </w:tcPr>
          <w:p w14:paraId="1EF1C599" w14:textId="77777777" w:rsidR="00BB4F16" w:rsidRPr="00577D37" w:rsidRDefault="00BB4F16"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3C363FB2" w14:textId="77777777" w:rsidR="00BB4F16" w:rsidRDefault="00BB4F16">
            <w:pPr>
              <w:pStyle w:val="BodyText"/>
              <w:ind w:firstLine="0"/>
              <w:jc w:val="right"/>
            </w:pPr>
            <w:r>
              <w:t>(2.36)</w:t>
            </w:r>
          </w:p>
        </w:tc>
      </w:tr>
    </w:tbl>
    <w:p w14:paraId="299735C1" w14:textId="77777777" w:rsidR="00BB4F16" w:rsidRPr="00D42B4C" w:rsidRDefault="00BB4F16" w:rsidP="008F7035">
      <w:pPr>
        <w:pStyle w:val="BodyText"/>
        <w:ind w:firstLine="0"/>
        <w:jc w:val="both"/>
      </w:pPr>
      <w:r>
        <w:t>Unlike the previous methods, this method allows for computation of the state vector without the computation of the Jacobian or any matrix inversions allowing for a fast and efficient algorithm. In the OSIRIS aerosol algorithm, only one spectral measurement vector is used (</w:t>
      </w:r>
      <w:r>
        <w:rPr>
          <w:i/>
        </w:rPr>
        <w:t>Bourassa et al.</w:t>
      </w:r>
      <w:r>
        <w:t xml:space="preserve">, 2007; 2012b) and the measurement vector summation over </w:t>
      </w:r>
      <w:r>
        <w:rPr>
          <w:i/>
        </w:rPr>
        <w:t>k</w:t>
      </w:r>
      <w:r>
        <w:t xml:space="preserve"> from Equation 2.36 can be dropped.</w:t>
      </w:r>
    </w:p>
    <w:p w14:paraId="28F5F2CC" w14:textId="77777777" w:rsidR="00BB4F16" w:rsidRDefault="00BB4F16" w:rsidP="003D416A">
      <w:pPr>
        <w:pStyle w:val="Heading1"/>
      </w:pPr>
      <w:bookmarkStart w:id="60" w:name="_Toc452973724"/>
      <w:bookmarkStart w:id="61" w:name="_Toc459300489"/>
      <w:r>
        <w:t>2.6 ALI Prototype Instrument and Stratospheric Balloon Flight</w:t>
      </w:r>
      <w:bookmarkEnd w:id="60"/>
      <w:bookmarkEnd w:id="61"/>
    </w:p>
    <w:bookmarkEnd w:id="19"/>
    <w:bookmarkEnd w:id="20"/>
    <w:bookmarkEnd w:id="21"/>
    <w:p w14:paraId="7E705319" w14:textId="77777777" w:rsidR="00BB4F16" w:rsidRDefault="00BB4F16" w:rsidP="00F21E9F">
      <w:pPr>
        <w:pStyle w:val="BodyText"/>
        <w:jc w:val="both"/>
      </w:pPr>
      <w:r>
        <w:t>The work presented in this thesis is focused on the development of the Aerosol Limb Imager (ALI).  The core concept of ALI is to use the limb scatter technique together with a rapid hyperspectral imaging design approach to ultimately provide global coverage of highly spatially resolved and accurate observations of stratospheric aerosol. The central design feature of ALI is the use of the novel AOTF technology, which provides the ability to rapidly select a filtered wavelength with no moving parts, an ideal feature for space application. AOTFs have recently been developed with large apertures and high quality crystals allowing for imaging capabilities. The AOTF technology operates efficiently in the red and near infrared region of the spectrum, which is well-matched for limb scatter sensitivity to aerosol and clouds (</w:t>
      </w:r>
      <w:r>
        <w:rPr>
          <w:i/>
        </w:rPr>
        <w:t>Rieger et al.</w:t>
      </w:r>
      <w:r>
        <w:t>, 2014) and has a typical spectral bandpass of 3</w:t>
      </w:r>
      <w:r>
        <w:noBreakHyphen/>
        <w:t xml:space="preserve">6 nm, which is ideal for the broadband scattering characteristics of aerosol. </w:t>
      </w:r>
    </w:p>
    <w:p w14:paraId="3630E1DD" w14:textId="77777777" w:rsidR="00BB4F16" w:rsidRDefault="00BB4F16" w:rsidP="008B011C">
      <w:pPr>
        <w:pStyle w:val="Heading2"/>
      </w:pPr>
      <w:bookmarkStart w:id="62" w:name="_Toc459300490"/>
      <w:r>
        <w:t>2.6.1 ALI Specifications</w:t>
      </w:r>
      <w:bookmarkEnd w:id="62"/>
    </w:p>
    <w:p w14:paraId="0C55B7D3" w14:textId="77777777" w:rsidR="00BB4F16" w:rsidRDefault="00BB4F16" w:rsidP="00F21E9F">
      <w:pPr>
        <w:pStyle w:val="BodyText"/>
        <w:jc w:val="both"/>
      </w:pPr>
      <w:r>
        <w:t xml:space="preserve">As mentioned previously, the ultimate goal of this work is the eventual realization of ALI on a future satellite mission.  However, for the prototype design and test work presented here, the available flight opportunity was on stratospheric balloon. This choice of test platform has resulted in some specific design decisions for the prototype that would ultimately require revision for a satellite-based implementation. </w:t>
      </w:r>
    </w:p>
    <w:p w14:paraId="4F79D9A4" w14:textId="77777777" w:rsidR="00BB4F16" w:rsidRDefault="00BB4F16" w:rsidP="00F21E9F">
      <w:pPr>
        <w:pStyle w:val="BodyText"/>
        <w:jc w:val="both"/>
      </w:pPr>
      <w:r>
        <w:t>Stratospheric balloon flights provide stable float altitude of 35 km. This results in a minimum vertical field of view for ALI of 6</w:t>
      </w:r>
      <w:r>
        <w:rPr>
          <w:vertAlign w:val="superscript"/>
        </w:rPr>
        <w:t>◦</w:t>
      </w:r>
      <w:r>
        <w:t xml:space="preserve"> in order to image the limb from the ground to the float altitude. For a satellite platform the required field of view would be substantially reduced to approximately 1</w:t>
      </w:r>
      <w:r>
        <w:rPr>
          <w:vertAlign w:val="superscript"/>
        </w:rPr>
        <w:t xml:space="preserve">◦ </w:t>
      </w:r>
      <w:r>
        <w:t>in order to cover the same range. The structural features in the aerosol distribution discussed in section 2.2 are generally less than one kilometer vertically and to resolve these features a minimum spatial resolution of 250 m is required. For this design, similar specifications are used for the horizontal (cross-track) direction.</w:t>
      </w:r>
    </w:p>
    <w:p w14:paraId="109F4711" w14:textId="77777777" w:rsidR="00BB4F16" w:rsidRDefault="00BB4F16" w:rsidP="00B611F6">
      <w:pPr>
        <w:pStyle w:val="BodyText"/>
        <w:jc w:val="both"/>
      </w:pPr>
      <w:r>
        <w:t>Spectrally, aerosol scattering is a broadband phenomenon with spectrally smooth scattering cross sections such that high spectral resolution is not required; however, a large spectral range is desirable. Particle size sensitivity in limb scattering increases from the visible to the near infrared (</w:t>
      </w:r>
      <w:r w:rsidRPr="00585571">
        <w:rPr>
          <w:i/>
        </w:rPr>
        <w:t>Rieger et al</w:t>
      </w:r>
      <w:r>
        <w:t xml:space="preserve">., 2014). When combined with the single octave range capability of the AOTF, ALI is designed to measure the 600-1200 nm spectral range.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49760C86" w14:textId="77777777" w:rsidR="00BB4F16" w:rsidRDefault="00BB4F16" w:rsidP="00B611F6">
      <w:pPr>
        <w:pStyle w:val="BodyText"/>
        <w:jc w:val="both"/>
      </w:pPr>
      <w:r>
        <w:t>The nature of imaging limb scattering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5 to be able to use these high altitude measurements to determine aerosol extinction. Additionally, the system should be able to take a single image with an exposure time on the order of a second or less to achieve a high measurements density.</w:t>
      </w:r>
    </w:p>
    <w:p w14:paraId="50CB571B" w14:textId="77777777" w:rsidR="00BB4F16" w:rsidRPr="00B611F6" w:rsidRDefault="00BB4F16" w:rsidP="00B611F6">
      <w:pPr>
        <w:pStyle w:val="BodyText"/>
        <w:jc w:val="both"/>
      </w:pPr>
      <w:r>
        <w:t xml:space="preserve">Finally, due to the limitations of the stratospheric balloon platform both mass, power consumption, and thermal rages are a concern. The balloon platform can only sustain so much mass and has a limited amount of power. As such, the total mass of ALI must remain below 50 kg and power consumption below 80 W is required. Furthermore, the thermal environment of the balloon at stratospheric altitudes is challenging with ambient temperatures that are colder than </w:t>
      </w:r>
      <w:r>
        <w:noBreakHyphen/>
        <w:t>40</w:t>
      </w:r>
      <w:r>
        <w:rPr>
          <w:vertAlign w:val="superscript"/>
        </w:rPr>
        <w:t>◦</w:t>
      </w:r>
      <w:r>
        <w:t xml:space="preserve">C. Additionally, heating from direct sunlight cause large thermal gradients in the instrument resulting in concerns of overheating. In order to mitigate these concerns ALI must be thermally stable within all equipment’s standard operating ranges. </w:t>
      </w:r>
    </w:p>
    <w:p w14:paraId="23D98C43" w14:textId="77777777" w:rsidR="00BB4F16" w:rsidRDefault="00BB4F16" w:rsidP="00D80315">
      <w:pPr>
        <w:pStyle w:val="BodyText"/>
        <w:jc w:val="both"/>
      </w:pPr>
    </w:p>
    <w:p w14:paraId="6BE6BDEE" w14:textId="77777777" w:rsidR="00BB4F16" w:rsidRDefault="00BB4F16" w:rsidP="00E46AB9">
      <w:pPr>
        <w:pStyle w:val="BodyText"/>
        <w:jc w:val="both"/>
      </w:pPr>
    </w:p>
    <w:p w14:paraId="0E113A44" w14:textId="77777777" w:rsidR="00BB4F16" w:rsidRPr="00BA54C2" w:rsidRDefault="00BB4F16" w:rsidP="00E46AB9">
      <w:pPr>
        <w:pStyle w:val="BodyText"/>
        <w:jc w:val="both"/>
        <w:sectPr w:rsidR="00BB4F16"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180C7" w14:textId="77777777" w:rsidR="002A335E" w:rsidRDefault="002A335E">
      <w:r>
        <w:separator/>
      </w:r>
    </w:p>
  </w:endnote>
  <w:endnote w:type="continuationSeparator" w:id="0">
    <w:p w14:paraId="670AB116" w14:textId="77777777" w:rsidR="002A335E" w:rsidRDefault="002A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9F8E1" w14:textId="77777777" w:rsidR="00BB4F16" w:rsidRDefault="00BB4F1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7901FF" w:rsidRDefault="007901F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FF45B" w14:textId="77777777" w:rsidR="002A335E" w:rsidRDefault="002A335E">
      <w:r>
        <w:separator/>
      </w:r>
    </w:p>
  </w:footnote>
  <w:footnote w:type="continuationSeparator" w:id="0">
    <w:p w14:paraId="1055DFFA" w14:textId="77777777" w:rsidR="002A335E" w:rsidRDefault="002A3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3B8E" w14:textId="77777777" w:rsidR="00BB4F16" w:rsidRDefault="00BB4F1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7901FF" w:rsidRDefault="007901FF">
    <w:pPr>
      <w:pStyle w:val="Header"/>
    </w:pPr>
    <w:r>
      <w:rPr>
        <w:rStyle w:val="PageNumber"/>
      </w:rPr>
      <w:fldChar w:fldCharType="begin"/>
    </w:r>
    <w:r>
      <w:rPr>
        <w:rStyle w:val="PageNumber"/>
      </w:rPr>
      <w:instrText xml:space="preserve"> PAGE </w:instrText>
    </w:r>
    <w:r>
      <w:rPr>
        <w:rStyle w:val="PageNumber"/>
      </w:rPr>
      <w:fldChar w:fldCharType="separate"/>
    </w:r>
    <w:r w:rsidR="00286697">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36BEC"/>
    <w:multiLevelType w:val="hybridMultilevel"/>
    <w:tmpl w:val="1294F96E"/>
    <w:lvl w:ilvl="0" w:tplc="10090001">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1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3" w15:restartNumberingAfterBreak="0">
    <w:nsid w:val="42E47244"/>
    <w:multiLevelType w:val="hybridMultilevel"/>
    <w:tmpl w:val="F5C2C754"/>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4"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5"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6"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8"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9"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6"/>
  </w:num>
  <w:num w:numId="2">
    <w:abstractNumId w:val="14"/>
  </w:num>
  <w:num w:numId="3">
    <w:abstractNumId w:val="20"/>
  </w:num>
  <w:num w:numId="4">
    <w:abstractNumId w:val="10"/>
  </w:num>
  <w:num w:numId="5">
    <w:abstractNumId w:val="19"/>
  </w:num>
  <w:num w:numId="6">
    <w:abstractNumId w:val="21"/>
  </w:num>
  <w:num w:numId="7">
    <w:abstractNumId w:val="5"/>
  </w:num>
  <w:num w:numId="8">
    <w:abstractNumId w:val="11"/>
  </w:num>
  <w:num w:numId="9">
    <w:abstractNumId w:val="1"/>
  </w:num>
  <w:num w:numId="10">
    <w:abstractNumId w:val="12"/>
  </w:num>
  <w:num w:numId="11">
    <w:abstractNumId w:val="2"/>
  </w:num>
  <w:num w:numId="12">
    <w:abstractNumId w:val="3"/>
  </w:num>
  <w:num w:numId="13">
    <w:abstractNumId w:val="12"/>
    <w:lvlOverride w:ilvl="0">
      <w:startOverride w:val="1"/>
    </w:lvlOverride>
  </w:num>
  <w:num w:numId="14">
    <w:abstractNumId w:val="12"/>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5"/>
  </w:num>
  <w:num w:numId="22">
    <w:abstractNumId w:val="15"/>
    <w:lvlOverride w:ilvl="0">
      <w:lvl w:ilvl="0">
        <w:start w:val="1"/>
        <w:numFmt w:val="decimal"/>
        <w:lvlText w:val="%1."/>
        <w:legacy w:legacy="1" w:legacySpace="0" w:legacyIndent="360"/>
        <w:lvlJc w:val="left"/>
        <w:pPr>
          <w:ind w:left="1080" w:hanging="360"/>
        </w:pPr>
      </w:lvl>
    </w:lvlOverride>
  </w:num>
  <w:num w:numId="23">
    <w:abstractNumId w:val="15"/>
    <w:lvlOverride w:ilvl="0">
      <w:lvl w:ilvl="0">
        <w:start w:val="1"/>
        <w:numFmt w:val="decimal"/>
        <w:lvlText w:val="%1."/>
        <w:legacy w:legacy="1" w:legacySpace="0" w:legacyIndent="360"/>
        <w:lvlJc w:val="left"/>
        <w:pPr>
          <w:ind w:left="1080" w:hanging="360"/>
        </w:pPr>
      </w:lvl>
    </w:lvlOverride>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080" w:hanging="360"/>
        </w:pPr>
      </w:lvl>
    </w:lvlOverride>
  </w:num>
  <w:num w:numId="26">
    <w:abstractNumId w:val="15"/>
    <w:lvlOverride w:ilvl="0">
      <w:lvl w:ilvl="0">
        <w:start w:val="1"/>
        <w:numFmt w:val="decimal"/>
        <w:lvlText w:val="%1."/>
        <w:legacy w:legacy="1" w:legacySpace="0" w:legacyIndent="360"/>
        <w:lvlJc w:val="left"/>
        <w:pPr>
          <w:ind w:left="1080" w:hanging="360"/>
        </w:pPr>
      </w:lvl>
    </w:lvlOverride>
  </w:num>
  <w:num w:numId="27">
    <w:abstractNumId w:val="15"/>
    <w:lvlOverride w:ilvl="0">
      <w:lvl w:ilvl="0">
        <w:start w:val="1"/>
        <w:numFmt w:val="decimal"/>
        <w:lvlText w:val="%1."/>
        <w:legacy w:legacy="1" w:legacySpace="0" w:legacyIndent="360"/>
        <w:lvlJc w:val="left"/>
        <w:pPr>
          <w:ind w:left="1080" w:hanging="360"/>
        </w:pPr>
      </w:lvl>
    </w:lvlOverride>
  </w:num>
  <w:num w:numId="28">
    <w:abstractNumId w:val="15"/>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5"/>
    <w:lvlOverride w:ilvl="0">
      <w:lvl w:ilvl="0">
        <w:start w:val="1"/>
        <w:numFmt w:val="decimal"/>
        <w:lvlText w:val="%1."/>
        <w:legacy w:legacy="1" w:legacySpace="0" w:legacyIndent="360"/>
        <w:lvlJc w:val="left"/>
        <w:pPr>
          <w:ind w:left="1080" w:hanging="360"/>
        </w:pPr>
      </w:lvl>
    </w:lvlOverride>
  </w:num>
  <w:num w:numId="33">
    <w:abstractNumId w:val="15"/>
    <w:lvlOverride w:ilvl="0">
      <w:lvl w:ilvl="0">
        <w:start w:val="1"/>
        <w:numFmt w:val="decimal"/>
        <w:lvlText w:val="%1."/>
        <w:legacy w:legacy="1" w:legacySpace="0" w:legacyIndent="360"/>
        <w:lvlJc w:val="left"/>
        <w:pPr>
          <w:ind w:left="1080" w:hanging="360"/>
        </w:pPr>
      </w:lvl>
    </w:lvlOverride>
  </w:num>
  <w:num w:numId="34">
    <w:abstractNumId w:val="15"/>
    <w:lvlOverride w:ilvl="0">
      <w:lvl w:ilvl="0">
        <w:start w:val="1"/>
        <w:numFmt w:val="decimal"/>
        <w:lvlText w:val="%1."/>
        <w:legacy w:legacy="1" w:legacySpace="0" w:legacyIndent="360"/>
        <w:lvlJc w:val="left"/>
        <w:pPr>
          <w:ind w:left="1080" w:hanging="360"/>
        </w:pPr>
      </w:lvl>
    </w:lvlOverride>
  </w:num>
  <w:num w:numId="35">
    <w:abstractNumId w:val="15"/>
    <w:lvlOverride w:ilvl="0">
      <w:lvl w:ilvl="0">
        <w:start w:val="1"/>
        <w:numFmt w:val="decimal"/>
        <w:lvlText w:val="%1."/>
        <w:legacy w:legacy="1" w:legacySpace="0" w:legacyIndent="360"/>
        <w:lvlJc w:val="left"/>
        <w:pPr>
          <w:ind w:left="1080" w:hanging="360"/>
        </w:pPr>
      </w:lvl>
    </w:lvlOverride>
  </w:num>
  <w:num w:numId="36">
    <w:abstractNumId w:val="15"/>
    <w:lvlOverride w:ilvl="0">
      <w:lvl w:ilvl="0">
        <w:start w:val="1"/>
        <w:numFmt w:val="decimal"/>
        <w:lvlText w:val="%1."/>
        <w:legacy w:legacy="1" w:legacySpace="0" w:legacyIndent="360"/>
        <w:lvlJc w:val="left"/>
        <w:pPr>
          <w:ind w:left="1080" w:hanging="360"/>
        </w:pPr>
      </w:lvl>
    </w:lvlOverride>
  </w:num>
  <w:num w:numId="37">
    <w:abstractNumId w:val="15"/>
    <w:lvlOverride w:ilvl="0">
      <w:lvl w:ilvl="0">
        <w:start w:val="1"/>
        <w:numFmt w:val="decimal"/>
        <w:lvlText w:val="%1."/>
        <w:legacy w:legacy="1" w:legacySpace="0" w:legacyIndent="360"/>
        <w:lvlJc w:val="left"/>
        <w:pPr>
          <w:ind w:left="1080" w:hanging="360"/>
        </w:pPr>
      </w:lvl>
    </w:lvlOverride>
  </w:num>
  <w:num w:numId="38">
    <w:abstractNumId w:val="15"/>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5"/>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5"/>
    <w:lvlOverride w:ilvl="0">
      <w:lvl w:ilvl="0">
        <w:start w:val="1"/>
        <w:numFmt w:val="decimal"/>
        <w:lvlText w:val="%1."/>
        <w:legacy w:legacy="1" w:legacySpace="0" w:legacyIndent="360"/>
        <w:lvlJc w:val="left"/>
        <w:pPr>
          <w:ind w:left="1080" w:hanging="360"/>
        </w:pPr>
      </w:lvl>
    </w:lvlOverride>
  </w:num>
  <w:num w:numId="43">
    <w:abstractNumId w:val="17"/>
    <w:lvlOverride w:ilvl="0">
      <w:lvl w:ilvl="0">
        <w:start w:val="1"/>
        <w:numFmt w:val="decimal"/>
        <w:lvlText w:val="%1."/>
        <w:legacy w:legacy="1" w:legacySpace="0" w:legacyIndent="360"/>
        <w:lvlJc w:val="left"/>
        <w:pPr>
          <w:ind w:left="1080" w:hanging="360"/>
        </w:pPr>
      </w:lvl>
    </w:lvlOverride>
  </w:num>
  <w:num w:numId="44">
    <w:abstractNumId w:val="18"/>
  </w:num>
  <w:num w:numId="45">
    <w:abstractNumId w:val="6"/>
  </w:num>
  <w:num w:numId="46">
    <w:abstractNumId w:val="4"/>
  </w:num>
  <w:num w:numId="47">
    <w:abstractNumId w:val="9"/>
  </w:num>
  <w:num w:numId="4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214D1"/>
    <w:rsid w:val="00027935"/>
    <w:rsid w:val="00036320"/>
    <w:rsid w:val="0004009B"/>
    <w:rsid w:val="00040164"/>
    <w:rsid w:val="00041D8F"/>
    <w:rsid w:val="00043A8D"/>
    <w:rsid w:val="00046089"/>
    <w:rsid w:val="00046371"/>
    <w:rsid w:val="000475BE"/>
    <w:rsid w:val="0005342F"/>
    <w:rsid w:val="00053524"/>
    <w:rsid w:val="00060EA7"/>
    <w:rsid w:val="00065197"/>
    <w:rsid w:val="00067D98"/>
    <w:rsid w:val="00071EB0"/>
    <w:rsid w:val="000733D8"/>
    <w:rsid w:val="00074E92"/>
    <w:rsid w:val="000815C8"/>
    <w:rsid w:val="00084A81"/>
    <w:rsid w:val="00091C09"/>
    <w:rsid w:val="000927B6"/>
    <w:rsid w:val="00095F11"/>
    <w:rsid w:val="00097F5B"/>
    <w:rsid w:val="000A3AA4"/>
    <w:rsid w:val="000B7578"/>
    <w:rsid w:val="000C4288"/>
    <w:rsid w:val="000C438C"/>
    <w:rsid w:val="000C77C9"/>
    <w:rsid w:val="000C7985"/>
    <w:rsid w:val="000D5FAB"/>
    <w:rsid w:val="000E00D9"/>
    <w:rsid w:val="000E5426"/>
    <w:rsid w:val="000E7F58"/>
    <w:rsid w:val="000F1B17"/>
    <w:rsid w:val="000F42DF"/>
    <w:rsid w:val="0011228B"/>
    <w:rsid w:val="00112AA3"/>
    <w:rsid w:val="001203C4"/>
    <w:rsid w:val="001218F6"/>
    <w:rsid w:val="00126FBA"/>
    <w:rsid w:val="00127BD9"/>
    <w:rsid w:val="00131AE2"/>
    <w:rsid w:val="00132E7F"/>
    <w:rsid w:val="0013370E"/>
    <w:rsid w:val="001345CF"/>
    <w:rsid w:val="00136819"/>
    <w:rsid w:val="00137DE4"/>
    <w:rsid w:val="001412EB"/>
    <w:rsid w:val="00141A0C"/>
    <w:rsid w:val="00145EE4"/>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4869"/>
    <w:rsid w:val="002269E5"/>
    <w:rsid w:val="002277ED"/>
    <w:rsid w:val="00232E5E"/>
    <w:rsid w:val="002347DA"/>
    <w:rsid w:val="002362EA"/>
    <w:rsid w:val="00250BEC"/>
    <w:rsid w:val="002557C6"/>
    <w:rsid w:val="00256D95"/>
    <w:rsid w:val="00267F43"/>
    <w:rsid w:val="0028014F"/>
    <w:rsid w:val="00286697"/>
    <w:rsid w:val="002874EA"/>
    <w:rsid w:val="00297320"/>
    <w:rsid w:val="002A0B9C"/>
    <w:rsid w:val="002A335E"/>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2B0"/>
    <w:rsid w:val="00372AC4"/>
    <w:rsid w:val="003774F7"/>
    <w:rsid w:val="00391DFA"/>
    <w:rsid w:val="00394B95"/>
    <w:rsid w:val="00396EA0"/>
    <w:rsid w:val="003A1A1B"/>
    <w:rsid w:val="003A4D25"/>
    <w:rsid w:val="003A7905"/>
    <w:rsid w:val="003B032F"/>
    <w:rsid w:val="003B628F"/>
    <w:rsid w:val="003B6ADF"/>
    <w:rsid w:val="003C0F44"/>
    <w:rsid w:val="003C1FFA"/>
    <w:rsid w:val="003C26E2"/>
    <w:rsid w:val="003C2D58"/>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307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D5551"/>
    <w:rsid w:val="004E0A29"/>
    <w:rsid w:val="004E5B2E"/>
    <w:rsid w:val="0050336A"/>
    <w:rsid w:val="0050714D"/>
    <w:rsid w:val="00511A29"/>
    <w:rsid w:val="005210D8"/>
    <w:rsid w:val="0052268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7D37"/>
    <w:rsid w:val="00585571"/>
    <w:rsid w:val="00586FF7"/>
    <w:rsid w:val="00591F92"/>
    <w:rsid w:val="00594F11"/>
    <w:rsid w:val="005B3B3A"/>
    <w:rsid w:val="005B3C39"/>
    <w:rsid w:val="005C2A3E"/>
    <w:rsid w:val="005C4C73"/>
    <w:rsid w:val="005D4EBA"/>
    <w:rsid w:val="005D7098"/>
    <w:rsid w:val="005D7BB0"/>
    <w:rsid w:val="005E1011"/>
    <w:rsid w:val="005E1523"/>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4A40"/>
    <w:rsid w:val="00696300"/>
    <w:rsid w:val="006A11E3"/>
    <w:rsid w:val="006A6BAE"/>
    <w:rsid w:val="006B1F6F"/>
    <w:rsid w:val="006B3917"/>
    <w:rsid w:val="006B504D"/>
    <w:rsid w:val="006C311F"/>
    <w:rsid w:val="006C3DDF"/>
    <w:rsid w:val="006C6C70"/>
    <w:rsid w:val="006D1BE5"/>
    <w:rsid w:val="006D305D"/>
    <w:rsid w:val="006D701F"/>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81466"/>
    <w:rsid w:val="00781FF2"/>
    <w:rsid w:val="00782F75"/>
    <w:rsid w:val="00786F60"/>
    <w:rsid w:val="007901FF"/>
    <w:rsid w:val="0079593C"/>
    <w:rsid w:val="007971E4"/>
    <w:rsid w:val="007A011B"/>
    <w:rsid w:val="007A37B4"/>
    <w:rsid w:val="007A702A"/>
    <w:rsid w:val="007A74EB"/>
    <w:rsid w:val="007C0365"/>
    <w:rsid w:val="007C05BD"/>
    <w:rsid w:val="007C1768"/>
    <w:rsid w:val="007D0D67"/>
    <w:rsid w:val="007D66C9"/>
    <w:rsid w:val="007D7052"/>
    <w:rsid w:val="007D7A33"/>
    <w:rsid w:val="007E0F8E"/>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2889"/>
    <w:rsid w:val="00854A15"/>
    <w:rsid w:val="0085709F"/>
    <w:rsid w:val="00870629"/>
    <w:rsid w:val="00873FCE"/>
    <w:rsid w:val="00874917"/>
    <w:rsid w:val="00875DD6"/>
    <w:rsid w:val="00880845"/>
    <w:rsid w:val="00883C1D"/>
    <w:rsid w:val="00890CF7"/>
    <w:rsid w:val="008923B0"/>
    <w:rsid w:val="00892B43"/>
    <w:rsid w:val="00896C1D"/>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15663"/>
    <w:rsid w:val="00A24B7F"/>
    <w:rsid w:val="00A27C38"/>
    <w:rsid w:val="00A32036"/>
    <w:rsid w:val="00A325A1"/>
    <w:rsid w:val="00A32789"/>
    <w:rsid w:val="00A33039"/>
    <w:rsid w:val="00A35C53"/>
    <w:rsid w:val="00A37415"/>
    <w:rsid w:val="00A4291E"/>
    <w:rsid w:val="00A44BDC"/>
    <w:rsid w:val="00A50433"/>
    <w:rsid w:val="00A52F0C"/>
    <w:rsid w:val="00A552AA"/>
    <w:rsid w:val="00A61021"/>
    <w:rsid w:val="00A7651A"/>
    <w:rsid w:val="00A765D7"/>
    <w:rsid w:val="00A8371D"/>
    <w:rsid w:val="00A9281F"/>
    <w:rsid w:val="00A95A63"/>
    <w:rsid w:val="00A9748A"/>
    <w:rsid w:val="00AA08F6"/>
    <w:rsid w:val="00AA52AA"/>
    <w:rsid w:val="00AA71F2"/>
    <w:rsid w:val="00AA73D0"/>
    <w:rsid w:val="00AB39E6"/>
    <w:rsid w:val="00AB70C3"/>
    <w:rsid w:val="00AC1BC3"/>
    <w:rsid w:val="00AC2ED8"/>
    <w:rsid w:val="00AC318C"/>
    <w:rsid w:val="00AC5A39"/>
    <w:rsid w:val="00AC6B25"/>
    <w:rsid w:val="00AC70A5"/>
    <w:rsid w:val="00AD10A6"/>
    <w:rsid w:val="00AE787B"/>
    <w:rsid w:val="00AF10ED"/>
    <w:rsid w:val="00AF1C14"/>
    <w:rsid w:val="00AF1E5B"/>
    <w:rsid w:val="00B01AD2"/>
    <w:rsid w:val="00B03693"/>
    <w:rsid w:val="00B03810"/>
    <w:rsid w:val="00B07B0C"/>
    <w:rsid w:val="00B07DF7"/>
    <w:rsid w:val="00B23BA9"/>
    <w:rsid w:val="00B26FFC"/>
    <w:rsid w:val="00B27CF1"/>
    <w:rsid w:val="00B30D38"/>
    <w:rsid w:val="00B439C6"/>
    <w:rsid w:val="00B4668D"/>
    <w:rsid w:val="00B52E93"/>
    <w:rsid w:val="00B54433"/>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4F16"/>
    <w:rsid w:val="00BB5BF9"/>
    <w:rsid w:val="00BD1ABC"/>
    <w:rsid w:val="00BD3148"/>
    <w:rsid w:val="00BD7C59"/>
    <w:rsid w:val="00BE2863"/>
    <w:rsid w:val="00BE4686"/>
    <w:rsid w:val="00BF438C"/>
    <w:rsid w:val="00C002F4"/>
    <w:rsid w:val="00C125EE"/>
    <w:rsid w:val="00C23298"/>
    <w:rsid w:val="00C31F3D"/>
    <w:rsid w:val="00C36322"/>
    <w:rsid w:val="00C36B31"/>
    <w:rsid w:val="00C40C84"/>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192A"/>
    <w:rsid w:val="00CB3CBE"/>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21D4"/>
    <w:rsid w:val="00D72942"/>
    <w:rsid w:val="00D75640"/>
    <w:rsid w:val="00D80315"/>
    <w:rsid w:val="00D838FE"/>
    <w:rsid w:val="00D85420"/>
    <w:rsid w:val="00DA0F9D"/>
    <w:rsid w:val="00DA1E49"/>
    <w:rsid w:val="00DA4460"/>
    <w:rsid w:val="00DA557C"/>
    <w:rsid w:val="00DA6786"/>
    <w:rsid w:val="00DB0E43"/>
    <w:rsid w:val="00DB2FD3"/>
    <w:rsid w:val="00DB32F1"/>
    <w:rsid w:val="00DB3618"/>
    <w:rsid w:val="00DB4562"/>
    <w:rsid w:val="00DB570A"/>
    <w:rsid w:val="00DB7405"/>
    <w:rsid w:val="00DC5BC6"/>
    <w:rsid w:val="00DD22CA"/>
    <w:rsid w:val="00DD3820"/>
    <w:rsid w:val="00DD60A8"/>
    <w:rsid w:val="00DE0162"/>
    <w:rsid w:val="00DE77F4"/>
    <w:rsid w:val="00DF1095"/>
    <w:rsid w:val="00DF2A8D"/>
    <w:rsid w:val="00DF2E6A"/>
    <w:rsid w:val="00DF5010"/>
    <w:rsid w:val="00DF5AC3"/>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0F50"/>
    <w:rsid w:val="00EE2E6D"/>
    <w:rsid w:val="00EE383C"/>
    <w:rsid w:val="00EE44B5"/>
    <w:rsid w:val="00EF637A"/>
    <w:rsid w:val="00F02A7F"/>
    <w:rsid w:val="00F066F9"/>
    <w:rsid w:val="00F077F1"/>
    <w:rsid w:val="00F104B7"/>
    <w:rsid w:val="00F11867"/>
    <w:rsid w:val="00F2134D"/>
    <w:rsid w:val="00F21E9F"/>
    <w:rsid w:val="00F233AC"/>
    <w:rsid w:val="00F2482B"/>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96A"/>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A634-56DA-4B18-AA95-F8409CC0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24090</TotalTime>
  <Pages>1</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118</cp:revision>
  <dcterms:created xsi:type="dcterms:W3CDTF">2015-08-27T21:13:00Z</dcterms:created>
  <dcterms:modified xsi:type="dcterms:W3CDTF">2016-08-18T22:54:00Z</dcterms:modified>
</cp:coreProperties>
</file>