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420" w:rsidRPr="007E1609" w:rsidRDefault="00D85420" w:rsidP="005B3B3A">
      <w:pPr>
        <w:pStyle w:val="ONEINCHSPACER"/>
        <w:spacing w:before="0"/>
        <w:jc w:val="center"/>
        <w:rPr>
          <w:sz w:val="36"/>
          <w:szCs w:val="36"/>
        </w:rPr>
      </w:pPr>
      <w:r w:rsidRPr="007E1609">
        <w:rPr>
          <w:sz w:val="36"/>
          <w:szCs w:val="36"/>
        </w:rPr>
        <w:t>CHAPTER 2</w:t>
      </w:r>
    </w:p>
    <w:p w:rsidR="00D85420" w:rsidRPr="007E1609" w:rsidRDefault="00D85420">
      <w:pPr>
        <w:pStyle w:val="CHAPTERTITLE"/>
        <w:rPr>
          <w:sz w:val="36"/>
          <w:szCs w:val="36"/>
        </w:rPr>
      </w:pPr>
      <w:bookmarkStart w:id="0" w:name="_Toc440031420"/>
      <w:r w:rsidRPr="007E1609">
        <w:rPr>
          <w:sz w:val="36"/>
          <w:szCs w:val="36"/>
        </w:rPr>
        <w:t>BACKGROUND</w:t>
      </w:r>
      <w:bookmarkEnd w:id="0"/>
    </w:p>
    <w:p w:rsidR="00D85420" w:rsidRDefault="00D85420" w:rsidP="007E1609">
      <w:pPr>
        <w:pStyle w:val="Heading1"/>
      </w:pPr>
      <w:bookmarkStart w:id="1" w:name="_Toc440031421"/>
      <w:r>
        <w:t>2.1 Introduction</w:t>
      </w:r>
      <w:bookmarkEnd w:id="1"/>
    </w:p>
    <w:p w:rsidR="00D85420" w:rsidRDefault="00D85420"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rsidR="00D85420" w:rsidRDefault="00D85420"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1961), stratospheric aerosol has been measured with various techniques, although due to the variability of physical composition and particle size, the observations are always limited to some degree</w:t>
      </w:r>
      <w:r w:rsidR="00D75640">
        <w:t xml:space="preserve"> and no single measurement technique can fully determine the full range of aerosol properties unambiguously</w:t>
      </w:r>
      <w:r>
        <w:t>.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proofErr w:type="spellStart"/>
      <w:r w:rsidRPr="001A647C">
        <w:rPr>
          <w:i/>
        </w:rPr>
        <w:t>Kovilakam</w:t>
      </w:r>
      <w:proofErr w:type="spellEnd"/>
      <w:r w:rsidRPr="001A647C">
        <w:rPr>
          <w:i/>
        </w:rPr>
        <w:t xml:space="preserve"> et al.</w:t>
      </w:r>
      <w:r>
        <w:t>, 2015).  Aircraft-borne nephelometers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t>, 1969)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w:t>
      </w:r>
      <w:proofErr w:type="spellStart"/>
      <w:r>
        <w:t>lidar</w:t>
      </w:r>
      <w:proofErr w:type="spellEnd"/>
      <w:r>
        <w:t xml:space="preserve"> observations were used by </w:t>
      </w:r>
      <w:r w:rsidRPr="001A647C">
        <w:rPr>
          <w:i/>
        </w:rPr>
        <w:t>Hofmann et al.</w:t>
      </w:r>
      <w:r>
        <w:t xml:space="preserve"> (2009) to first report the observed increase in </w:t>
      </w:r>
      <w:r>
        <w:lastRenderedPageBreak/>
        <w:t xml:space="preserve">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D85420" w:rsidRDefault="00D85420"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rsidR="00D75640">
        <w:t xml:space="preserve">, 2015).  </w:t>
      </w:r>
      <w:r>
        <w:t xml:space="preserve">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w:t>
      </w:r>
      <w:r w:rsidR="00D75640">
        <w:t xml:space="preserve">the conclusions are </w:t>
      </w:r>
      <w:r>
        <w:t>somewhat controversially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proofErr w:type="spellStart"/>
      <w:r w:rsidRPr="00542D3D">
        <w:rPr>
          <w:i/>
        </w:rPr>
        <w:t>Fairlie</w:t>
      </w:r>
      <w:proofErr w:type="spellEnd"/>
      <w:r w:rsidRPr="00542D3D">
        <w:rPr>
          <w:i/>
        </w:rPr>
        <w:t xml:space="preserv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rsidR="00D85420" w:rsidRDefault="00D85420"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w:t>
      </w:r>
      <w:r>
        <w:lastRenderedPageBreak/>
        <w:t xml:space="preserve">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rsidR="00D85420" w:rsidRDefault="00D85420"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D85420" w:rsidRPr="008C65D4" w:rsidRDefault="00D85420" w:rsidP="00145EE4">
      <w:pPr>
        <w:pStyle w:val="BodyText"/>
        <w:jc w:val="both"/>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xml:space="preserve">, 2012), which is a Belgian instrument concept from the Belgian Institute for Space </w:t>
      </w:r>
      <w:proofErr w:type="spellStart"/>
      <w:r>
        <w:t>Aeronomy</w:t>
      </w:r>
      <w:proofErr w:type="spellEnd"/>
      <w:r>
        <w:t xml:space="preserve"> (BIRA).  ALTIUS is designed to measure limb scattered sunlight; however, it also has solar, stellar, and planetary occultation modes and is scientifically focused on trace gas measurements, particularly for ozone, whereas ALI is optimized for aerosol observation.  </w:t>
      </w:r>
    </w:p>
    <w:p w:rsidR="00D85420" w:rsidRDefault="00D85420" w:rsidP="007E1609">
      <w:pPr>
        <w:pStyle w:val="Heading1"/>
      </w:pPr>
      <w:bookmarkStart w:id="2" w:name="_Toc440031422"/>
      <w:r>
        <w:lastRenderedPageBreak/>
        <w:t>2.2 Stratospheric Aerosol</w:t>
      </w:r>
      <w:bookmarkEnd w:id="2"/>
    </w:p>
    <w:p w:rsidR="00D85420" w:rsidRDefault="00D85420" w:rsidP="006363C6">
      <w:pPr>
        <w:pStyle w:val="ListNumber"/>
        <w:spacing w:after="0" w:line="480" w:lineRule="auto"/>
        <w:ind w:left="0" w:firstLine="709"/>
        <w:jc w:val="both"/>
      </w:pPr>
      <w:r>
        <w:t>The atmosphere of earth is a complex and complicated system and is effected by human activities. In the late 18</w:t>
      </w:r>
      <w:r>
        <w:rPr>
          <w:vertAlign w:val="superscript"/>
        </w:rPr>
        <w:t>th</w:t>
      </w:r>
      <w:r>
        <w:t xml:space="preserve"> century, it was known that atmospheric temperature decreased with altitude and a theory had been raised that at specific altitude the temperature must eventually go to absolute zero. This lead to a series of balloon campaigns</w:t>
      </w:r>
      <w:r w:rsidR="00D75640">
        <w:t>, which were noisy and unreliable due to the technology available,</w:t>
      </w:r>
      <w:r>
        <w:t xml:space="preserve"> to discover this mysterious altitude in the atmosphere</w:t>
      </w:r>
      <w:proofErr w:type="gramStart"/>
      <w:r>
        <w:t>,.</w:t>
      </w:r>
      <w:proofErr w:type="gramEnd"/>
      <w:r>
        <w:t xml:space="preserve">  However, in the late 19</w:t>
      </w:r>
      <w:r>
        <w:rPr>
          <w:vertAlign w:val="superscript"/>
        </w:rPr>
        <w:t xml:space="preserve">th  </w:t>
      </w:r>
      <w:r>
        <w:t>century the technology used in these sounding balloons had improved to a point where the atmospheric temperature could be accurately measured and it was</w:t>
      </w:r>
      <w:r w:rsidR="00D75640">
        <w:t xml:space="preserve"> found that at approximately 12 </w:t>
      </w:r>
      <w:r>
        <w:t>km an inversion point was discovered where the temperature started to increase and thus the tropopause, which separates troposphere and the stratosphere, was discovered (</w:t>
      </w:r>
      <w:proofErr w:type="spellStart"/>
      <w:r w:rsidRPr="00342CD1">
        <w:rPr>
          <w:i/>
        </w:rPr>
        <w:t>Hoinka</w:t>
      </w:r>
      <w:proofErr w:type="spellEnd"/>
      <w:r>
        <w:t>, 1997). The stratosphere is the region of the atmosphere above the temperature inversion of the troposphere, where atmospheric temperature increases and the lower bound of the stratosphere is in-between 10 and 16 km from the high latitude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t xml:space="preserve"> 1997; </w:t>
      </w:r>
      <w:r>
        <w:rPr>
          <w:i/>
        </w:rPr>
        <w:t>Brasseur and Solomon</w:t>
      </w:r>
      <w:r>
        <w:t>, 2005)</w:t>
      </w:r>
    </w:p>
    <w:p w:rsidR="00D85420" w:rsidRDefault="00D85420" w:rsidP="006363C6">
      <w:pPr>
        <w:pStyle w:val="ListNumber"/>
        <w:spacing w:after="0" w:line="480" w:lineRule="auto"/>
        <w:ind w:left="0" w:firstLine="709"/>
        <w:jc w:val="both"/>
      </w:pPr>
      <w:r>
        <w:t>The stratosphere undergoes exchange of air with the troposphere though a series of dynamical processes including tropical convection, polar vortex, and tropopause folding (</w:t>
      </w:r>
      <w:r>
        <w:rPr>
          <w:i/>
        </w:rPr>
        <w:t>Holton et al.,</w:t>
      </w:r>
      <w:r>
        <w:t xml:space="preserve"> 1995) and circulation within the stratosphere is dominated by the slow Brewer-Dobson circulation (</w:t>
      </w:r>
      <w:r>
        <w:rPr>
          <w:i/>
        </w:rPr>
        <w:t xml:space="preserve">Plumb and </w:t>
      </w:r>
      <w:proofErr w:type="spellStart"/>
      <w:r>
        <w:rPr>
          <w:i/>
        </w:rPr>
        <w:t>Eluszkiewicz</w:t>
      </w:r>
      <w:proofErr w:type="spellEnd"/>
      <w:r>
        <w:t xml:space="preserve">, 1999). Some chemicals can cross the tropopause thermal barrier into the stratosphere which allows for chemicals reactions to occur. One such reaction forms stratospheric sulfate aerosol, discovered by </w:t>
      </w:r>
      <w:proofErr w:type="spellStart"/>
      <w:r>
        <w:rPr>
          <w:i/>
        </w:rPr>
        <w:t>Junge</w:t>
      </w:r>
      <w:proofErr w:type="spellEnd"/>
      <w:r>
        <w:rPr>
          <w:i/>
        </w:rPr>
        <w:t xml:space="preserve"> et al </w:t>
      </w:r>
      <w:r>
        <w:t>(1961) though stratosp</w:t>
      </w:r>
      <w:r w:rsidR="008A0BC4">
        <w:t xml:space="preserve">heric balloon </w:t>
      </w:r>
      <w:proofErr w:type="spellStart"/>
      <w:r w:rsidR="008A0BC4">
        <w:t>sondes</w:t>
      </w:r>
      <w:proofErr w:type="spellEnd"/>
      <w:r w:rsidR="008A0BC4">
        <w:t>.</w:t>
      </w:r>
      <w:r>
        <w:t xml:space="preserve"> </w:t>
      </w:r>
      <w:r w:rsidR="008A0BC4">
        <w:t>Sulfate aerosols</w:t>
      </w:r>
      <w:r>
        <w:t xml:space="preserve"> are droplets of hydrated sulfuric acid (H</w:t>
      </w:r>
      <w:r>
        <w:rPr>
          <w:vertAlign w:val="subscript"/>
        </w:rPr>
        <w:softHyphen/>
        <w:t>2</w:t>
      </w:r>
      <w:r>
        <w:rPr>
          <w:vertAlign w:val="subscript"/>
        </w:rPr>
        <w:softHyphen/>
      </w:r>
      <w:r>
        <w:t>SO</w:t>
      </w:r>
      <w:r>
        <w:softHyphen/>
      </w:r>
      <w:r>
        <w:rPr>
          <w:vertAlign w:val="subscript"/>
        </w:rPr>
        <w:t>4</w:t>
      </w:r>
      <w:r>
        <w:t xml:space="preserve">) formed from the oxidation </w:t>
      </w:r>
      <w:r>
        <w:lastRenderedPageBreak/>
        <w:t>of sulfate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rsidR="00D85420" w:rsidRDefault="00D85420" w:rsidP="002347DA">
      <w:pPr>
        <w:pStyle w:val="Heading2"/>
      </w:pPr>
      <w:bookmarkStart w:id="3" w:name="_Toc440031423"/>
      <w:r>
        <w:t>2.2.1 Aerosol Sources and Microphysics</w:t>
      </w:r>
      <w:bookmarkEnd w:id="3"/>
    </w:p>
    <w:p w:rsidR="00D85420" w:rsidRDefault="00D85420"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proofErr w:type="spellStart"/>
      <w:r>
        <w:rPr>
          <w:i/>
        </w:rPr>
        <w:t>Notholt</w:t>
      </w:r>
      <w:proofErr w:type="spellEnd"/>
      <w:r>
        <w:rPr>
          <w:i/>
        </w:rPr>
        <w:t xml:space="preserve"> et al.</w:t>
      </w:r>
      <w:r>
        <w:t>, 2003). OCS has a long lifetime in the troposphere and low solubility allowing for a significant portion to reach the stratosphere and some of it oxidizes and hydrates to form sulfate aerosol (H</w:t>
      </w:r>
      <w:r>
        <w:rPr>
          <w:vertAlign w:val="subscript"/>
        </w:rPr>
        <w:t>2</w:t>
      </w:r>
      <w:r>
        <w:t>SO</w:t>
      </w:r>
      <w:r>
        <w:rPr>
          <w:vertAlign w:val="subscript"/>
        </w:rPr>
        <w:t>4</w:t>
      </w:r>
      <w:r>
        <w:t>) and adds to the background aerosol layer (</w:t>
      </w:r>
      <w:proofErr w:type="spellStart"/>
      <w:r>
        <w:rPr>
          <w:i/>
        </w:rPr>
        <w:t>Crutzen</w:t>
      </w:r>
      <w:proofErr w:type="spellEnd"/>
      <w:r>
        <w:t xml:space="preserve">, 1976). </w:t>
      </w:r>
    </w:p>
    <w:p w:rsidR="00D85420" w:rsidRDefault="00D85420" w:rsidP="00DD3820">
      <w:pPr>
        <w:pStyle w:val="ListNumber"/>
        <w:spacing w:after="0" w:line="480" w:lineRule="auto"/>
        <w:ind w:left="0" w:firstLine="709"/>
        <w:jc w:val="both"/>
      </w:pPr>
      <w:r>
        <w:t>Another source of sulfur is SO</w:t>
      </w:r>
      <w:r>
        <w:rPr>
          <w:vertAlign w:val="subscript"/>
        </w:rPr>
        <w:t>2</w:t>
      </w:r>
      <w:r>
        <w:t>, which originates in the troposphere through industry from the burning of fossil fuels. Sulfur dioxide (SO</w:t>
      </w:r>
      <w:r>
        <w:rPr>
          <w:vertAlign w:val="subscript"/>
        </w:rPr>
        <w:t>2</w:t>
      </w:r>
      <w:r>
        <w:t>) has a short lifet</w:t>
      </w:r>
      <w:r w:rsidR="008A0BC4">
        <w:t>ime in the troposphere,</w:t>
      </w:r>
      <w:r>
        <w:t xml:space="preserve"> its concentration varies regionally</w:t>
      </w:r>
      <w:r w:rsidR="008A0BC4">
        <w:t>,</w:t>
      </w:r>
      <w:r>
        <w:t xml:space="preserve"> and also hydrates into sulfate aerosol (</w:t>
      </w:r>
      <w:r>
        <w:rPr>
          <w:i/>
        </w:rPr>
        <w:t>Thomason and Peter</w:t>
      </w:r>
      <w:r>
        <w:t>, 2006). A second source of SO</w:t>
      </w:r>
      <w:r>
        <w:rPr>
          <w:vertAlign w:val="subscript"/>
        </w:rPr>
        <w:t>2</w:t>
      </w:r>
      <w:r>
        <w:t xml:space="preserve"> is from volcanic eruptions which are highly variable in location and time and can inject a large amount of sulfur directly into the </w:t>
      </w:r>
      <w:r w:rsidR="008A0BC4">
        <w:t>stratosphere. V</w:t>
      </w:r>
      <w:r>
        <w:t xml:space="preserve">olcanos can </w:t>
      </w:r>
      <w:r w:rsidR="008A0BC4">
        <w:t>inject such large amounts of sulfur that</w:t>
      </w:r>
      <w:r>
        <w:t xml:space="preserve"> they in fact dominate the stratospheric aerosol layer perturbing the background levels. Examples of this perturbation of the aerosol layer were noted during the volcanic eruptions of El </w:t>
      </w:r>
      <w:proofErr w:type="spellStart"/>
      <w:r>
        <w:t>Chichon</w:t>
      </w:r>
      <w:proofErr w:type="spellEnd"/>
      <w:r>
        <w:t xml:space="preserve"> in 1982 (12-20 </w:t>
      </w:r>
      <w:proofErr w:type="spellStart"/>
      <w:proofErr w:type="gramStart"/>
      <w:r>
        <w:t>Tg</w:t>
      </w:r>
      <w:proofErr w:type="spellEnd"/>
      <w:proofErr w:type="gramEnd"/>
      <w:r>
        <w:t xml:space="preserve"> of sulfur) (</w:t>
      </w:r>
      <w:r>
        <w:rPr>
          <w:i/>
        </w:rPr>
        <w:t xml:space="preserve">McCormick and </w:t>
      </w:r>
      <w:proofErr w:type="spellStart"/>
      <w:r>
        <w:rPr>
          <w:i/>
        </w:rPr>
        <w:t>Swissler</w:t>
      </w:r>
      <w:proofErr w:type="spellEnd"/>
      <w:r>
        <w:t xml:space="preserve">, 1983; </w:t>
      </w:r>
      <w:r>
        <w:rPr>
          <w:i/>
        </w:rPr>
        <w:t>Hofmann and Rosen</w:t>
      </w:r>
      <w:r>
        <w:t>, 1983) and Mount Pinatubo in 1991 (20-30 </w:t>
      </w:r>
      <w:proofErr w:type="spellStart"/>
      <w:r>
        <w:t>Tg</w:t>
      </w:r>
      <w:proofErr w:type="spellEnd"/>
      <w:r>
        <w:t xml:space="preserve"> of sulfur) (</w:t>
      </w:r>
      <w:r>
        <w:rPr>
          <w:i/>
        </w:rPr>
        <w:t xml:space="preserve">McCormick and </w:t>
      </w:r>
      <w:proofErr w:type="spellStart"/>
      <w:r>
        <w:rPr>
          <w:i/>
        </w:rPr>
        <w:t>Veiga</w:t>
      </w:r>
      <w:proofErr w:type="spellEnd"/>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xml:space="preserve">, 2011). </w:t>
      </w:r>
    </w:p>
    <w:p w:rsidR="00D85420" w:rsidRDefault="00D85420"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and have been found to form droplets of aerosol that consists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r>
        <w:rPr>
          <w:lang w:val="en-CA"/>
        </w:rPr>
        <w:lastRenderedPageBreak/>
        <w:t>(</w:t>
      </w:r>
      <w:proofErr w:type="spellStart"/>
      <w:r w:rsidRPr="00DA1E49">
        <w:rPr>
          <w:i/>
          <w:lang w:val="en-CA"/>
        </w:rPr>
        <w:t>Rossen</w:t>
      </w:r>
      <w:proofErr w:type="spellEnd"/>
      <w:r>
        <w:rPr>
          <w:lang w:val="en-CA"/>
        </w:rPr>
        <w:t xml:space="preserve">, 1971; </w:t>
      </w:r>
      <w:r w:rsidRPr="00DA1E49">
        <w:rPr>
          <w:lang w:val="en-CA"/>
        </w:rPr>
        <w:t>Wang</w:t>
      </w:r>
      <w:r>
        <w:rPr>
          <w:i/>
          <w:lang w:val="en-CA"/>
        </w:rPr>
        <w:t xml:space="preserve"> et al.</w:t>
      </w:r>
      <w:r>
        <w:rPr>
          <w:lang w:val="en-CA"/>
        </w:rPr>
        <w:t>, 1989). These aerosol particles form droplets of various si</w:t>
      </w:r>
      <w:r w:rsidR="008A0BC4">
        <w:rPr>
          <w:lang w:val="en-CA"/>
        </w:rPr>
        <w:t>zes on the order of 0.05 to 1.0 </w:t>
      </w:r>
      <w:r>
        <w:rPr>
          <w:lang w:val="en-CA"/>
        </w:rPr>
        <w:t>µm depending on the processes of nucleation, evaporation and condensation that is underwent (</w:t>
      </w:r>
      <w:proofErr w:type="spellStart"/>
      <w:r>
        <w:rPr>
          <w:i/>
          <w:lang w:val="en-CA"/>
        </w:rPr>
        <w:t>Junge</w:t>
      </w:r>
      <w:proofErr w:type="spellEnd"/>
      <w:r>
        <w:rPr>
          <w:i/>
          <w:lang w:val="en-CA"/>
        </w:rPr>
        <w:t xml:space="preserve"> et al.</w:t>
      </w:r>
      <w:r>
        <w:rPr>
          <w:lang w:val="en-CA"/>
        </w:rPr>
        <w:t xml:space="preserve"> 1961; </w:t>
      </w:r>
      <w:r>
        <w:rPr>
          <w:i/>
          <w:lang w:val="en-CA"/>
        </w:rPr>
        <w:t>Brock et al.</w:t>
      </w:r>
      <w:r>
        <w:rPr>
          <w:lang w:val="en-CA"/>
        </w:rPr>
        <w:t xml:space="preserve">, 1995; </w:t>
      </w:r>
      <w:proofErr w:type="spellStart"/>
      <w:r>
        <w:rPr>
          <w:i/>
          <w:lang w:val="en-CA"/>
        </w:rPr>
        <w:t>Bingen</w:t>
      </w:r>
      <w:proofErr w:type="spellEnd"/>
      <w:r>
        <w:rPr>
          <w:i/>
          <w:lang w:val="en-CA"/>
        </w:rPr>
        <w:t xml:space="preserve"> et al.</w:t>
      </w:r>
      <w:r>
        <w:rPr>
          <w:lang w:val="en-CA"/>
        </w:rPr>
        <w:t xml:space="preserve">, 2004). A log-normal distribution </w:t>
      </w:r>
      <w:r w:rsidR="008A0BC4">
        <w:rPr>
          <w:lang w:val="en-CA"/>
        </w:rPr>
        <w:t xml:space="preserve">has been used to approximate </w:t>
      </w:r>
      <w:r>
        <w:rPr>
          <w:lang w:val="en-CA"/>
        </w:rPr>
        <w:t xml:space="preserve">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75640"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(2.1)</w:t>
            </w:r>
          </w:p>
        </w:tc>
      </w:tr>
    </w:tbl>
    <w:p w:rsidR="00D85420" w:rsidRDefault="00D85420"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proofErr w:type="spellStart"/>
      <w:r w:rsidRPr="003C7A0A">
        <w:rPr>
          <w:i/>
        </w:rPr>
        <w:t>J</w:t>
      </w:r>
      <w:r>
        <w:rPr>
          <w:i/>
        </w:rPr>
        <w:t>ä</w:t>
      </w:r>
      <w:r w:rsidRPr="003C7A0A">
        <w:rPr>
          <w:i/>
        </w:rPr>
        <w:t>ger</w:t>
      </w:r>
      <w:proofErr w:type="spellEnd"/>
      <w:r>
        <w:rPr>
          <w:i/>
        </w:rPr>
        <w:t xml:space="preserve"> and Hofmann, </w:t>
      </w:r>
      <w:r>
        <w:t xml:space="preserve">1991; </w:t>
      </w:r>
      <w:r>
        <w:rPr>
          <w:i/>
        </w:rPr>
        <w:t>Hamill et al.</w:t>
      </w:r>
      <w:r>
        <w:t xml:space="preserve"> 1997). The particles are distributed normally over the logarithm of the radius. To fully describe aerosol for a single log-normal distribution the number density, mode radius and mode width is required and for a non-volcanic background aerosol layer an approximate mode radius and mode width of 0.08 µm and 1.6 respectively have been determined (</w:t>
      </w:r>
      <w:r w:rsidRPr="00DE0162">
        <w:rPr>
          <w:i/>
        </w:rPr>
        <w:t>Thomason</w:t>
      </w:r>
      <w:r>
        <w:t>, 1991) shown in</w:t>
      </w:r>
      <w:r w:rsidR="00ED192E">
        <w:t xml:space="preserve"> </w:t>
      </w:r>
      <w:r w:rsidR="00ED192E">
        <w:fldChar w:fldCharType="begin"/>
      </w:r>
      <w:r w:rsidR="00ED192E">
        <w:instrText xml:space="preserve"> REF _Ref442116398 \h </w:instrText>
      </w:r>
      <w:r w:rsidR="00ED192E">
        <w:fldChar w:fldCharType="separate"/>
      </w:r>
      <w:r w:rsidR="00ED192E">
        <w:t>Figure 2-</w:t>
      </w:r>
      <w:r w:rsidR="00ED192E">
        <w:rPr>
          <w:noProof/>
        </w:rPr>
        <w:t>1</w:t>
      </w:r>
      <w:r w:rsidR="00ED192E">
        <w:fldChar w:fldCharType="end"/>
      </w:r>
      <w:r>
        <w:t>.</w:t>
      </w:r>
    </w:p>
    <w:p w:rsidR="008A0BC4" w:rsidRDefault="00D85420" w:rsidP="008A0BC4">
      <w:pPr>
        <w:pStyle w:val="ListNumber"/>
        <w:keepNext/>
        <w:spacing w:after="0" w:line="480" w:lineRule="auto"/>
        <w:ind w:left="0" w:firstLine="0"/>
        <w:jc w:val="both"/>
      </w:pPr>
      <w:r>
        <w:rPr>
          <w:noProof/>
        </w:rPr>
        <w:drawing>
          <wp:inline distT="0" distB="0" distL="0" distR="0" wp14:anchorId="5C5924FF" wp14:editId="62ED285F">
            <wp:extent cx="5943600"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D85420" w:rsidRPr="00ED192E" w:rsidRDefault="008A0BC4" w:rsidP="00ED192E">
      <w:pPr>
        <w:pStyle w:val="Caption"/>
        <w:jc w:val="center"/>
        <w:rPr>
          <w:b w:val="0"/>
        </w:rPr>
      </w:pPr>
      <w:bookmarkStart w:id="4" w:name="_Ref442116398"/>
      <w:r>
        <w:t xml:space="preserve">Figure </w:t>
      </w:r>
      <w:r w:rsidR="00ED192E">
        <w:t>2-</w:t>
      </w:r>
      <w:r w:rsidR="00ED192E">
        <w:fldChar w:fldCharType="begin"/>
      </w:r>
      <w:r w:rsidR="00ED192E">
        <w:instrText xml:space="preserve"> SEQ Figure \* ARABIC \r 1 </w:instrText>
      </w:r>
      <w:r w:rsidR="00ED192E">
        <w:fldChar w:fldCharType="separate"/>
      </w:r>
      <w:r w:rsidR="00ED192E">
        <w:rPr>
          <w:noProof/>
        </w:rPr>
        <w:t>1</w:t>
      </w:r>
      <w:r w:rsidR="00ED192E">
        <w:fldChar w:fldCharType="end"/>
      </w:r>
      <w:bookmarkEnd w:id="4"/>
      <w:r w:rsidR="00ED192E">
        <w:t>:</w:t>
      </w:r>
      <w:r w:rsidR="00ED192E">
        <w:rPr>
          <w:b w:val="0"/>
        </w:rPr>
        <w:t xml:space="preserve"> </w:t>
      </w:r>
      <w:r w:rsidR="00ED192E" w:rsidRPr="00ED192E">
        <w:rPr>
          <w:b w:val="0"/>
          <w:szCs w:val="24"/>
        </w:rPr>
        <w:t>Log-normal distribution for non-volcanic background</w:t>
      </w:r>
      <w:r w:rsidR="00ED192E" w:rsidRPr="00ED192E">
        <w:rPr>
          <w:b w:val="0"/>
          <w:szCs w:val="24"/>
        </w:rPr>
        <w:t xml:space="preserve"> </w:t>
      </w:r>
      <w:r w:rsidR="00ED192E" w:rsidRPr="00ED192E">
        <w:rPr>
          <w:b w:val="0"/>
          <w:szCs w:val="24"/>
        </w:rPr>
        <w:t>aerosol layer.</w:t>
      </w:r>
    </w:p>
    <w:p w:rsidR="00D85420" w:rsidRDefault="00D85420" w:rsidP="009C3CFE">
      <w:pPr>
        <w:pStyle w:val="ListNumber"/>
        <w:keepNext/>
        <w:spacing w:after="0" w:line="480" w:lineRule="auto"/>
        <w:ind w:left="0" w:firstLine="0"/>
        <w:jc w:val="both"/>
      </w:pPr>
      <w:r>
        <w:rPr>
          <w:noProof/>
        </w:rPr>
        <w:lastRenderedPageBreak/>
        <w:drawing>
          <wp:inline distT="0" distB="0" distL="0" distR="0" wp14:anchorId="1816A167" wp14:editId="373A9F4C">
            <wp:extent cx="5620523" cy="4287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0523" cy="4287021"/>
                    </a:xfrm>
                    <a:prstGeom prst="rect">
                      <a:avLst/>
                    </a:prstGeom>
                  </pic:spPr>
                </pic:pic>
              </a:graphicData>
            </a:graphic>
          </wp:inline>
        </w:drawing>
      </w:r>
    </w:p>
    <w:p w:rsidR="00D85420" w:rsidRPr="00DF5010" w:rsidRDefault="00D85420" w:rsidP="009C3CFE">
      <w:pPr>
        <w:jc w:val="center"/>
        <w:rPr>
          <w:sz w:val="24"/>
          <w:szCs w:val="24"/>
        </w:rPr>
      </w:pPr>
      <w:bookmarkStart w:id="5" w:name="_Ref432512315"/>
      <w:bookmarkStart w:id="6" w:name="_Toc435878542"/>
      <w:bookmarkStart w:id="7" w:name="_Toc439680413"/>
      <w:r w:rsidRPr="00DF501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sidR="003A1A1B">
        <w:rPr>
          <w:b/>
          <w:noProof/>
          <w:sz w:val="24"/>
          <w:szCs w:val="24"/>
        </w:rPr>
        <w:t>2</w:t>
      </w:r>
      <w:r w:rsidRPr="00D15330">
        <w:rPr>
          <w:b/>
          <w:sz w:val="24"/>
          <w:szCs w:val="24"/>
        </w:rPr>
        <w:fldChar w:fldCharType="end"/>
      </w:r>
      <w:bookmarkEnd w:id="5"/>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w:t>
      </w:r>
      <w:r w:rsidR="003A1A1B">
        <w:rPr>
          <w:sz w:val="24"/>
          <w:szCs w:val="24"/>
        </w:rPr>
        <w:t>mode. Figure is recreated from F</w:t>
      </w:r>
      <w:r>
        <w:rPr>
          <w:sz w:val="24"/>
          <w:szCs w:val="24"/>
        </w:rPr>
        <w:t xml:space="preserve">igure 5 of </w:t>
      </w:r>
      <w:r>
        <w:rPr>
          <w:i/>
          <w:sz w:val="24"/>
          <w:szCs w:val="24"/>
        </w:rPr>
        <w:t xml:space="preserve">Deshler et al. </w:t>
      </w:r>
      <w:r>
        <w:rPr>
          <w:sz w:val="24"/>
          <w:szCs w:val="24"/>
        </w:rPr>
        <w:t>(2003).</w:t>
      </w:r>
      <w:bookmarkEnd w:id="6"/>
      <w:bookmarkEnd w:id="7"/>
    </w:p>
    <w:p w:rsidR="00D85420" w:rsidRPr="009C3CFE" w:rsidRDefault="00D85420" w:rsidP="009C3CFE">
      <w:pPr>
        <w:jc w:val="center"/>
        <w:rPr>
          <w:sz w:val="24"/>
          <w:szCs w:val="24"/>
        </w:rPr>
      </w:pPr>
    </w:p>
    <w:p w:rsidR="00D85420" w:rsidRDefault="00D85420" w:rsidP="00691E8F">
      <w:pPr>
        <w:pStyle w:val="ListNumber"/>
        <w:spacing w:after="0" w:line="480" w:lineRule="auto"/>
        <w:ind w:left="0" w:firstLine="0"/>
        <w:jc w:val="both"/>
      </w:pPr>
      <w:r>
        <w:tab/>
        <w:t xml:space="preserve">OPC have been used on board </w:t>
      </w:r>
      <w:proofErr w:type="spellStart"/>
      <w:r>
        <w:t>sondes</w:t>
      </w:r>
      <w:proofErr w:type="spellEnd"/>
      <w:r>
        <w:t xml:space="preserve"> from Laramie, Wyoming over the past 40 years to measure particle sizes in bins between 0.15 to 2.0 µm. The composition of the particle size distributions have been primarily unimodal, known as a fine mode, over non-volcanic periods and can be used as an acceptable distribution to approximate background periods. But during volcanic episodes, a bimodal log-normal distribution of aerosol particles is more representati</w:t>
      </w:r>
      <w:r w:rsidR="00CB6418">
        <w:t>ve of the stratospheric aerosol</w:t>
      </w:r>
      <w:r>
        <w:t xml:space="preserve"> with the addition of a coarse mode (</w:t>
      </w:r>
      <w:r>
        <w:rPr>
          <w:i/>
        </w:rPr>
        <w:t>Deshler et al.</w:t>
      </w:r>
      <w:r>
        <w:t xml:space="preserve">, 2003; 2008; </w:t>
      </w:r>
      <w:proofErr w:type="spellStart"/>
      <w:r w:rsidRPr="00B07B0C">
        <w:rPr>
          <w:i/>
        </w:rPr>
        <w:t>Kovilakam</w:t>
      </w:r>
      <w:proofErr w:type="spellEnd"/>
      <w:r w:rsidRPr="00B07B0C">
        <w:rPr>
          <w:i/>
        </w:rPr>
        <w:t xml:space="preserve"> et al.</w:t>
      </w:r>
      <w:r>
        <w:t xml:space="preserve">, 2015). The coarse mode has larger particles than the fine mode and complicates determining full aerosol microphysical parameters since the number of required parameters has increased to </w:t>
      </w:r>
      <w:r>
        <w:lastRenderedPageBreak/>
        <w:t xml:space="preserve">six: a number density for both the fine and coarse mode, two mode radii, and two mode widths. Figure 5 from </w:t>
      </w:r>
      <w:r>
        <w:rPr>
          <w:i/>
        </w:rPr>
        <w:t>Deshler et al.</w:t>
      </w:r>
      <w:r>
        <w:t xml:space="preserve"> (2003), recreated </w:t>
      </w:r>
      <w:r w:rsidRPr="00CB6418">
        <w:t xml:space="preserve">in </w:t>
      </w:r>
      <w:r w:rsidRPr="00CB6418">
        <w:fldChar w:fldCharType="begin"/>
      </w:r>
      <w:r w:rsidRPr="00CB6418">
        <w:instrText xml:space="preserve"> REF _Ref432512315 \h </w:instrText>
      </w:r>
      <w:r w:rsidR="00CB6418" w:rsidRPr="00CB6418">
        <w:instrText xml:space="preserve"> \* MERGEFORMAT </w:instrText>
      </w:r>
      <w:r w:rsidRPr="00CB6418">
        <w:fldChar w:fldCharType="separate"/>
      </w:r>
      <w:r w:rsidR="00CB6418" w:rsidRPr="00CB6418">
        <w:rPr>
          <w:szCs w:val="24"/>
        </w:rPr>
        <w:t>Figure 2-</w:t>
      </w:r>
      <w:r w:rsidR="00CB6418" w:rsidRPr="00CB6418">
        <w:rPr>
          <w:noProof/>
          <w:szCs w:val="24"/>
        </w:rPr>
        <w:t>2</w:t>
      </w:r>
      <w:r w:rsidRPr="00CB6418">
        <w:fldChar w:fldCharType="end"/>
      </w:r>
      <w:r w:rsidRPr="00CB6418">
        <w:t>, demonstrated</w:t>
      </w:r>
      <w:r>
        <w:t xml:space="preserve"> two bimodal particle size distributions from balloon OPC. The first distribution is from a volcanic period in 1993 after the Mount Pinatubo eruption and another from a background period in 1999.</w:t>
      </w:r>
    </w:p>
    <w:p w:rsidR="00D85420" w:rsidRDefault="00D85420" w:rsidP="002347DA">
      <w:pPr>
        <w:pStyle w:val="Heading2"/>
      </w:pPr>
      <w:bookmarkStart w:id="8" w:name="_Toc440031424"/>
      <w:r>
        <w:t>2.2.2 Climate Effects</w:t>
      </w:r>
      <w:bookmarkEnd w:id="8"/>
    </w:p>
    <w:p w:rsidR="00D85420" w:rsidRDefault="00D85420" w:rsidP="00B03693">
      <w:pPr>
        <w:pStyle w:val="ListNumber"/>
        <w:spacing w:after="0" w:line="480" w:lineRule="auto"/>
        <w:ind w:left="0" w:firstLine="709"/>
        <w:jc w:val="both"/>
      </w:pPr>
      <w:r>
        <w:t>Aerosol have several effects on the climate of the planet with a large amount of uncertainty to the overall effect (</w:t>
      </w:r>
      <w:r>
        <w:rPr>
          <w:i/>
        </w:rPr>
        <w:t>Solomon et al.</w:t>
      </w:r>
      <w:r>
        <w:t>, 2007). Through a direct effect, aerosol particles scatter incoming visible solar radiation away from earth increasing the albedo causing a cooling effect on the surface of the planet (</w:t>
      </w:r>
      <w:proofErr w:type="spellStart"/>
      <w:r>
        <w:rPr>
          <w:i/>
        </w:rPr>
        <w:t>Lacis</w:t>
      </w:r>
      <w:proofErr w:type="spellEnd"/>
      <w:r>
        <w:rPr>
          <w:i/>
        </w:rPr>
        <w:t xml:space="preserve"> et al.</w:t>
      </w:r>
      <w:r>
        <w:t xml:space="preserve">, 1992). </w:t>
      </w:r>
      <w:r w:rsidR="00CB6418">
        <w:t xml:space="preserve">The albedo is the amount of incoming irradiance that is reflected by the earth. </w:t>
      </w:r>
      <w:r>
        <w:t>A secondary effect from aerosols, that is dependent on aerosol particle size distributions, is a greenhouse effect that is caused by infrared radiation from the planet being scattered by aerosols (</w:t>
      </w:r>
      <w:proofErr w:type="spellStart"/>
      <w:r w:rsidRPr="00774BC7">
        <w:rPr>
          <w:i/>
        </w:rPr>
        <w:t>Kiehl</w:t>
      </w:r>
      <w:proofErr w:type="spellEnd"/>
      <w:r w:rsidRPr="00774BC7">
        <w:rPr>
          <w:i/>
        </w:rPr>
        <w:t xml:space="preserve"> and </w:t>
      </w:r>
      <w:proofErr w:type="spellStart"/>
      <w:r w:rsidRPr="00774BC7">
        <w:rPr>
          <w:i/>
        </w:rPr>
        <w:t>Briegleb</w:t>
      </w:r>
      <w:proofErr w:type="spellEnd"/>
      <w:r>
        <w:t>, 1993).  Aerosol also introduces an indirect effect to a radiative balance known as the cloud albedo effect. This is caused by condensation on existing aerosol particles forming cloud condensation nuclei which leads to an increase of the albedo for short wavelengths which also contributes to cooling the planet's surface. These types of cloud forming particles tend to increase the overall lifetime of the cloud increasing the cloud coverage of the planet</w:t>
      </w:r>
      <w:r w:rsidR="00CB6418">
        <w:t xml:space="preserve"> and</w:t>
      </w:r>
      <w:r>
        <w:t xml:space="preserve"> thus increasing the albedo (</w:t>
      </w:r>
      <w:proofErr w:type="spellStart"/>
      <w:r w:rsidRPr="007066DF">
        <w:rPr>
          <w:i/>
        </w:rPr>
        <w:t>Charlson</w:t>
      </w:r>
      <w:proofErr w:type="spellEnd"/>
      <w:r w:rsidRPr="007066DF">
        <w:rPr>
          <w:i/>
        </w:rPr>
        <w:t xml:space="preserve"> et al.</w:t>
      </w:r>
      <w:r>
        <w:t>, 1992). Overall, the cooling effect of the aerosol particles dominates the warming effect and cools the surface of the planet (</w:t>
      </w:r>
      <w:r>
        <w:rPr>
          <w:i/>
        </w:rPr>
        <w:t>Solomon et al.</w:t>
      </w:r>
      <w:r>
        <w:t xml:space="preserve">, 2011). </w:t>
      </w:r>
    </w:p>
    <w:p w:rsidR="00D85420" w:rsidRPr="00F876B4" w:rsidRDefault="00D85420" w:rsidP="00BB1654">
      <w:pPr>
        <w:pStyle w:val="ListNumber"/>
        <w:spacing w:after="0" w:line="480" w:lineRule="auto"/>
        <w:ind w:left="0" w:firstLine="709"/>
        <w:jc w:val="both"/>
      </w:pPr>
      <w:r>
        <w:t>Background aerosol periods result in nominal cooling from stratospheric aerosols but this can greatly change during periods of volcanic activity where the layer can be greatly perturbed. After the eruption of Mount Pinatubo in 1991 the sulfate aerosol load was increased by large quantities causing cooling of the lower atmosphere by 0.5</w:t>
      </w:r>
      <w:r>
        <w:rPr>
          <w:vertAlign w:val="superscript"/>
        </w:rPr>
        <w:t>o</w:t>
      </w:r>
      <w:r>
        <w:t>C (</w:t>
      </w:r>
      <w:r>
        <w:rPr>
          <w:i/>
        </w:rPr>
        <w:t>McCormick et al.</w:t>
      </w:r>
      <w:r>
        <w:t xml:space="preserve"> 1995; </w:t>
      </w:r>
      <w:proofErr w:type="spellStart"/>
      <w:r>
        <w:rPr>
          <w:i/>
        </w:rPr>
        <w:t>Soden</w:t>
      </w:r>
      <w:proofErr w:type="spellEnd"/>
      <w:r>
        <w:rPr>
          <w:i/>
        </w:rPr>
        <w:t xml:space="preserve"> et al.</w:t>
      </w:r>
      <w:r>
        <w:t>, 2002) and 0.1 to 0.3</w:t>
      </w:r>
      <w:r>
        <w:rPr>
          <w:vertAlign w:val="superscript"/>
        </w:rPr>
        <w:t>o</w:t>
      </w:r>
      <w:r>
        <w:t>C on the surface (</w:t>
      </w:r>
      <w:r>
        <w:rPr>
          <w:i/>
        </w:rPr>
        <w:t>Thompson et al.</w:t>
      </w:r>
      <w:r>
        <w:t xml:space="preserve">, 2009; </w:t>
      </w:r>
      <w:proofErr w:type="spellStart"/>
      <w:r>
        <w:rPr>
          <w:i/>
        </w:rPr>
        <w:t>Canty</w:t>
      </w:r>
      <w:proofErr w:type="spellEnd"/>
      <w:r>
        <w:rPr>
          <w:i/>
        </w:rPr>
        <w:t xml:space="preserve"> et al.</w:t>
      </w:r>
      <w:r>
        <w:t xml:space="preserve">, 2013). And the surface </w:t>
      </w:r>
      <w:r>
        <w:lastRenderedPageBreak/>
        <w:t>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xml:space="preserve">, 2011b). The additional volcanic aerosol load </w:t>
      </w:r>
      <w:r w:rsidR="00F816E7">
        <w:t xml:space="preserve">has been proposed to be </w:t>
      </w:r>
      <w:r>
        <w:t>linked to a larger cooling effect, known as the global warming hiatus, when compared to background levels (</w:t>
      </w:r>
      <w:r w:rsidRPr="00774BC7">
        <w:rPr>
          <w:i/>
        </w:rPr>
        <w:t>Solomon et al.</w:t>
      </w:r>
      <w:r>
        <w:t xml:space="preserve">, 2011; </w:t>
      </w:r>
      <w:r w:rsidRPr="00774BC7">
        <w:rPr>
          <w:i/>
        </w:rPr>
        <w:t>Haywood et al.</w:t>
      </w:r>
      <w:r>
        <w:t xml:space="preserve">, 2014; </w:t>
      </w:r>
      <w:r w:rsidRPr="00774BC7">
        <w:rPr>
          <w:i/>
        </w:rPr>
        <w:t>Fyfe et al.</w:t>
      </w:r>
      <w:r>
        <w:t>, 2013). In order to fully quantify this effect, long term time series with microphysics information are required to fully understand the aerosol forcing effect on climate modeling and change.</w:t>
      </w:r>
    </w:p>
    <w:p w:rsidR="00D85420" w:rsidRDefault="00D85420">
      <w:pPr>
        <w:pStyle w:val="Heading1"/>
      </w:pPr>
      <w:bookmarkStart w:id="9" w:name="_Toc440031425"/>
      <w:r>
        <w:t>2.3 Aerosol Measurements</w:t>
      </w:r>
      <w:bookmarkEnd w:id="9"/>
    </w:p>
    <w:p w:rsidR="00D85420" w:rsidRDefault="00D85420" w:rsidP="007E1609">
      <w:pPr>
        <w:pStyle w:val="BodyText"/>
        <w:jc w:val="both"/>
      </w:pPr>
      <w:bookmarkStart w:id="10" w:name="_Ref463275989"/>
      <w:bookmarkStart w:id="11" w:name="_Toc463235095"/>
      <w:bookmarkStart w:id="12" w:name="_Ref463275880"/>
      <w:r w:rsidRPr="002163A1">
        <w:t>Two fundamental meth</w:t>
      </w:r>
      <w:r>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 however each of these methods have inherent advantages and disadvantages. A</w:t>
      </w:r>
      <w:r>
        <w:t>n overview will be given on</w:t>
      </w:r>
      <w:r w:rsidRPr="002163A1">
        <w:t xml:space="preserve"> some of the common methods to determine aerosol concentration and why using different methods helps to increase the overall accuracy and precision of data sets.</w:t>
      </w:r>
    </w:p>
    <w:p w:rsidR="00D85420" w:rsidRDefault="00D85420" w:rsidP="003D416A">
      <w:pPr>
        <w:pStyle w:val="Heading2"/>
      </w:pPr>
      <w:bookmarkStart w:id="13" w:name="_Toc440031426"/>
      <w:r>
        <w:t>2.3.1 In-Situ Measurements</w:t>
      </w:r>
      <w:bookmarkEnd w:id="13"/>
    </w:p>
    <w:p w:rsidR="00D85420" w:rsidRDefault="00D85420" w:rsidP="002163A1">
      <w:pPr>
        <w:pStyle w:val="BodyText"/>
        <w:jc w:val="both"/>
      </w:pPr>
      <w:r w:rsidRPr="002163A1">
        <w:t>In-situ measurement have occur</w:t>
      </w:r>
      <w:r>
        <w:t>red</w:t>
      </w:r>
      <w:r w:rsidRPr="002163A1">
        <w:t xml:space="preserve"> on balloon based platform</w:t>
      </w:r>
      <w:r>
        <w:t>s and aircrafts</w:t>
      </w:r>
      <w:r w:rsidRPr="002163A1">
        <w:t>. Balloon instruments that use particle counters during the assent direct</w:t>
      </w:r>
      <w:r>
        <w:t>ly</w:t>
      </w:r>
      <w:r w:rsidRPr="002163A1">
        <w:t xml:space="preserve"> count the aerosol particle</w:t>
      </w:r>
      <w:r>
        <w:t>s</w:t>
      </w:r>
      <w:r w:rsidRPr="002163A1">
        <w:t xml:space="preserve"> </w:t>
      </w:r>
      <w:r>
        <w:t>and</w:t>
      </w:r>
      <w:r w:rsidRPr="002163A1">
        <w:t xml:space="preserve"> can determine the p</w:t>
      </w:r>
      <w:r>
        <w:t>article size distributions. T</w:t>
      </w:r>
      <w:r w:rsidRPr="002163A1">
        <w:t xml:space="preserve">he </w:t>
      </w:r>
      <w:r>
        <w:t>OPC</w:t>
      </w:r>
      <w:r w:rsidRPr="002163A1">
        <w:t xml:space="preserve"> is an active instrument that </w:t>
      </w:r>
      <w:r>
        <w:t xml:space="preserve">uses </w:t>
      </w:r>
      <w:r w:rsidRPr="002163A1">
        <w:t>a</w:t>
      </w:r>
      <w:r>
        <w:t>n</w:t>
      </w:r>
      <w:r w:rsidRPr="002163A1">
        <w:t xml:space="preserve"> incandescent light source internal to the device</w:t>
      </w:r>
      <w:r>
        <w:t xml:space="preserve"> to optically count aerosol particles. This</w:t>
      </w:r>
      <w:r w:rsidRPr="002163A1">
        <w:t xml:space="preserve"> instrument has been launched fr</w:t>
      </w:r>
      <w:r>
        <w:t xml:space="preserve">om Laramie, Wyoming since 1971 </w:t>
      </w:r>
      <w:r w:rsidRPr="002163A1">
        <w:t xml:space="preserve">to determine aerosol extinction and particle size </w:t>
      </w:r>
      <w:r>
        <w:t>(</w:t>
      </w:r>
      <w:r w:rsidRPr="001A647C">
        <w:rPr>
          <w:i/>
        </w:rPr>
        <w:t>Deshler et al.</w:t>
      </w:r>
      <w:r>
        <w:t xml:space="preserve">, 2003; 2008; </w:t>
      </w:r>
      <w:proofErr w:type="spellStart"/>
      <w:r w:rsidRPr="001A647C">
        <w:rPr>
          <w:i/>
        </w:rPr>
        <w:t>Kovilakam</w:t>
      </w:r>
      <w:proofErr w:type="spellEnd"/>
      <w:r w:rsidRPr="001A647C">
        <w:rPr>
          <w:i/>
        </w:rPr>
        <w:t xml:space="preserve"> et al.</w:t>
      </w:r>
      <w:r>
        <w:t>, 2015). Another</w:t>
      </w:r>
      <w:r w:rsidRPr="002163A1">
        <w:t xml:space="preserve"> type of balloon instrument uses a </w:t>
      </w:r>
      <w:r w:rsidRPr="002163A1">
        <w:lastRenderedPageBreak/>
        <w:t xml:space="preserve">passive light source, including the sun, moon, or stars, to determine aerosol extinctions. Instruments that use this type of technology are the Absorption par les </w:t>
      </w:r>
      <w:proofErr w:type="spellStart"/>
      <w:r w:rsidRPr="002163A1">
        <w:t>Minoritaires</w:t>
      </w:r>
      <w:proofErr w:type="spellEnd"/>
      <w:r w:rsidRPr="002163A1">
        <w:t xml:space="preserve"> Ozone et NO</w:t>
      </w:r>
      <w:r>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t>’</w:t>
      </w:r>
      <w:r w:rsidRPr="002163A1">
        <w:t>Observation</w:t>
      </w:r>
      <w:proofErr w:type="spellEnd"/>
      <w:r w:rsidRPr="002163A1">
        <w:t xml:space="preserve"> des </w:t>
      </w:r>
      <w:proofErr w:type="spellStart"/>
      <w:r w:rsidRPr="002163A1">
        <w:t>Minoritaires</w:t>
      </w:r>
      <w:proofErr w:type="spellEnd"/>
      <w:r w:rsidRPr="002163A1">
        <w:t xml:space="preserve"> Ozone et NO</w:t>
      </w:r>
      <w:r>
        <w:rPr>
          <w:vertAlign w:val="subscript"/>
        </w:rPr>
        <w:t>x</w:t>
      </w:r>
      <w:r w:rsidRPr="002163A1">
        <w:t xml:space="preserve"> - Nacelle 2 (SALOMON-N2) from 2007 onwards which use starli</w:t>
      </w:r>
      <w:r>
        <w:t>ght and moon light respectively (</w:t>
      </w:r>
      <w:proofErr w:type="spellStart"/>
      <w:r w:rsidRPr="00AA52AA">
        <w:rPr>
          <w:i/>
        </w:rPr>
        <w:t>Berthet</w:t>
      </w:r>
      <w:proofErr w:type="spellEnd"/>
      <w:r w:rsidRPr="00AA52AA">
        <w:rPr>
          <w:i/>
        </w:rPr>
        <w:t xml:space="preserve"> et al.</w:t>
      </w:r>
      <w:r>
        <w:t>, 2002)</w:t>
      </w:r>
      <w:r w:rsidRPr="002163A1">
        <w:t xml:space="preserve">. </w:t>
      </w:r>
      <w:r>
        <w:t>Furthermore, aircrafts have been used to carry n</w:t>
      </w:r>
      <w:r w:rsidRPr="00136038">
        <w:t xml:space="preserve">ephelometers </w:t>
      </w:r>
      <w:r>
        <w:t>to acquire in-situ measurements (</w:t>
      </w:r>
      <w:proofErr w:type="spellStart"/>
      <w:r w:rsidRPr="00AA52AA">
        <w:rPr>
          <w:i/>
        </w:rPr>
        <w:t>Beuttell</w:t>
      </w:r>
      <w:proofErr w:type="spellEnd"/>
      <w:r w:rsidRPr="00AA52AA">
        <w:rPr>
          <w:i/>
        </w:rPr>
        <w:t xml:space="preserve"> and Brewer</w:t>
      </w:r>
      <w:r>
        <w:t>,</w:t>
      </w:r>
      <w:r w:rsidRPr="00471DF1">
        <w:t xml:space="preserve"> 1949</w:t>
      </w:r>
      <w:r>
        <w:t xml:space="preserve">; </w:t>
      </w:r>
      <w:proofErr w:type="spellStart"/>
      <w:r w:rsidRPr="00AA52AA">
        <w:rPr>
          <w:i/>
        </w:rPr>
        <w:t>Charlson</w:t>
      </w:r>
      <w:proofErr w:type="spellEnd"/>
      <w:r w:rsidRPr="00AA52AA">
        <w:rPr>
          <w:i/>
        </w:rPr>
        <w:t xml:space="preserve"> et al.</w:t>
      </w:r>
      <w:r w:rsidRPr="000F4543">
        <w:t xml:space="preserve">, </w:t>
      </w:r>
      <w:r w:rsidRPr="008828D0">
        <w:t>1969)</w:t>
      </w:r>
      <w:r>
        <w:t xml:space="preserve">. </w:t>
      </w:r>
    </w:p>
    <w:p w:rsidR="00D85420" w:rsidRDefault="00D85420" w:rsidP="002163A1">
      <w:pPr>
        <w:pStyle w:val="BodyText"/>
        <w:jc w:val="both"/>
      </w:pPr>
      <w:r w:rsidRPr="002163A1">
        <w:t xml:space="preserve">In-situ measurements of aerosol extinction give direct measurement of scattered light from the altitude that the </w:t>
      </w:r>
      <w:r>
        <w:t>instrument</w:t>
      </w:r>
      <w:r w:rsidRPr="002163A1">
        <w:t xml:space="preserve"> is currently situated</w:t>
      </w:r>
      <w:r>
        <w:t xml:space="preserve"> and allows for</w:t>
      </w:r>
      <w:r w:rsidRPr="002163A1">
        <w:t xml:space="preserve"> direct measurement</w:t>
      </w:r>
      <w:r>
        <w:t>s</w:t>
      </w:r>
      <w:r w:rsidRPr="002163A1">
        <w:t xml:space="preserve"> </w:t>
      </w:r>
      <w:r>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t>the Laramie, Wyoming OPC</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rsidR="00D85420" w:rsidRDefault="00D85420" w:rsidP="003D416A">
      <w:pPr>
        <w:pStyle w:val="Heading2"/>
      </w:pPr>
      <w:bookmarkStart w:id="14" w:name="_Toc440031427"/>
      <w:r>
        <w:t>2.3.2 Occultation</w:t>
      </w:r>
      <w:bookmarkEnd w:id="14"/>
    </w:p>
    <w:p w:rsidR="00D85420" w:rsidRDefault="00D85420" w:rsidP="00E46E53">
      <w:pPr>
        <w:pStyle w:val="BodyText"/>
        <w:jc w:val="both"/>
      </w:pPr>
      <w:r w:rsidRPr="00E46E53">
        <w:t>Satellite instrumentation capable of remote sensing stratospheric aerosol has been in use since the 1970’s, beginning with limb sounding solar occultation measurements</w:t>
      </w:r>
      <w:r>
        <w:t xml:space="preserve">, and its operational geometry can be seen in </w:t>
      </w:r>
      <w:r>
        <w:fldChar w:fldCharType="begin"/>
      </w:r>
      <w:r>
        <w:instrText xml:space="preserve"> REF _Ref433365111 \h </w:instrText>
      </w:r>
      <w:r>
        <w:fldChar w:fldCharType="separate"/>
      </w:r>
      <w:r w:rsidRPr="00D15330">
        <w:rPr>
          <w:b/>
          <w:szCs w:val="24"/>
        </w:rPr>
        <w:t>Figure 2-</w:t>
      </w:r>
      <w:r>
        <w:rPr>
          <w:b/>
          <w:noProof/>
          <w:szCs w:val="24"/>
        </w:rPr>
        <w:t>3</w:t>
      </w:r>
      <w:r>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w:t>
      </w:r>
      <w:r>
        <w:t>l resolution of approximately 1 </w:t>
      </w:r>
      <w:r w:rsidRPr="00E46E53">
        <w:t>km, have gene</w:t>
      </w:r>
      <w:r>
        <w:t>rally compared well with ground-</w:t>
      </w:r>
      <w:r w:rsidRPr="00E46E53">
        <w:t xml:space="preserve">based and in-situ measurements, although there are challenges associated with comparing the retrieved extinction profiles to other microphysical </w:t>
      </w:r>
      <w:r w:rsidRPr="00E46E53">
        <w:lastRenderedPageBreak/>
        <w:t>parameters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generally a robust and stable technique as it directly measures atmospheric optical depth, along with the </w:t>
      </w:r>
      <w:proofErr w:type="spellStart"/>
      <w:r w:rsidRPr="00E46E53">
        <w:t>exo</w:t>
      </w:r>
      <w:proofErr w:type="spellEnd"/>
      <w:r w:rsidRPr="00E46E53">
        <w:t>-atmospheric solar spectrum with each scan, allowing for straight forward retrieval of aerosol extinction coefficient</w:t>
      </w:r>
      <w:r>
        <w:t>s</w:t>
      </w:r>
      <w:r w:rsidRPr="00E46E53">
        <w:t xml:space="preserve"> (</w:t>
      </w:r>
      <w:proofErr w:type="spellStart"/>
      <w:r w:rsidRPr="00E46E53">
        <w:rPr>
          <w:i/>
        </w:rPr>
        <w:t>Damadeo</w:t>
      </w:r>
      <w:proofErr w:type="spellEnd"/>
      <w:r w:rsidRPr="00E46E53">
        <w:rPr>
          <w:i/>
        </w:rPr>
        <w:t xml:space="preserve"> et al</w:t>
      </w:r>
      <w:r w:rsidRPr="00E46E53">
        <w:t xml:space="preserve">, 2013). </w:t>
      </w:r>
      <w:r>
        <w:t>The major drawback to occultation satellites is the number of measurements it can record in a single day since the instrument needs to be viewing a sunrise or sunset event which limits the geometry to only 16-48 measurements per day depending on the orbit.</w:t>
      </w:r>
      <w:r w:rsidRPr="00E46E53">
        <w:t xml:space="preserve"> Although the 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2007) 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 the era of solar occultation measurements essentially came to an end with SAGE III in 2006.  However, a 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rsidR="00D85420" w:rsidRDefault="00D85420" w:rsidP="002A3A79">
      <w:pPr>
        <w:pStyle w:val="BodyText"/>
        <w:keepNext/>
        <w:ind w:firstLine="0"/>
        <w:jc w:val="center"/>
      </w:pPr>
      <w:r>
        <w:rPr>
          <w:noProof/>
        </w:rPr>
        <w:drawing>
          <wp:inline distT="0" distB="0" distL="0" distR="0" wp14:anchorId="5EFDE6E5" wp14:editId="4D8FD98C">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0">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rsidR="00D85420" w:rsidRDefault="00D85420" w:rsidP="00371DAA">
      <w:pPr>
        <w:jc w:val="center"/>
        <w:rPr>
          <w:sz w:val="24"/>
          <w:szCs w:val="24"/>
        </w:rPr>
      </w:pPr>
      <w:bookmarkStart w:id="15" w:name="_Ref433365111"/>
      <w:bookmarkStart w:id="16" w:name="_Toc435878543"/>
      <w:bookmarkStart w:id="17" w:name="_Toc439680414"/>
      <w:r w:rsidRPr="00D1533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sidR="008A0BC4">
        <w:rPr>
          <w:b/>
          <w:noProof/>
          <w:sz w:val="24"/>
          <w:szCs w:val="24"/>
        </w:rPr>
        <w:t>3</w:t>
      </w:r>
      <w:r w:rsidRPr="00D15330">
        <w:rPr>
          <w:b/>
          <w:sz w:val="24"/>
          <w:szCs w:val="24"/>
        </w:rPr>
        <w:fldChar w:fldCharType="end"/>
      </w:r>
      <w:bookmarkEnd w:id="15"/>
      <w:r w:rsidRPr="00D15330">
        <w:rPr>
          <w:sz w:val="24"/>
          <w:szCs w:val="24"/>
        </w:rPr>
        <w:t>: An</w:t>
      </w:r>
      <w:r w:rsidRPr="009A0793">
        <w:rPr>
          <w:sz w:val="24"/>
          <w:szCs w:val="24"/>
        </w:rPr>
        <w:t xml:space="preserve"> occultation instrument monitoring the atmosphere by scanning the atmosphere by looking directly at the sun.</w:t>
      </w:r>
      <w:bookmarkEnd w:id="16"/>
      <w:bookmarkEnd w:id="17"/>
    </w:p>
    <w:p w:rsidR="00D85420" w:rsidRDefault="00D85420" w:rsidP="009A0793">
      <w:pPr>
        <w:rPr>
          <w:sz w:val="24"/>
          <w:szCs w:val="24"/>
        </w:rPr>
      </w:pPr>
    </w:p>
    <w:p w:rsidR="00D85420" w:rsidRDefault="00D85420" w:rsidP="003D416A">
      <w:pPr>
        <w:pStyle w:val="Heading2"/>
      </w:pPr>
      <w:bookmarkStart w:id="18" w:name="_Toc440031428"/>
      <w:r>
        <w:lastRenderedPageBreak/>
        <w:t>2.3.3 Lidar</w:t>
      </w:r>
      <w:bookmarkEnd w:id="18"/>
    </w:p>
    <w:p w:rsidR="00D85420" w:rsidRDefault="00D85420" w:rsidP="00A24B7F">
      <w:pPr>
        <w:pStyle w:val="BodyText"/>
        <w:jc w:val="both"/>
      </w:pPr>
      <w:r>
        <w:t xml:space="preserve">A method known as </w:t>
      </w:r>
      <w:proofErr w:type="spellStart"/>
      <w:r>
        <w:t>lidar</w:t>
      </w:r>
      <w:proofErr w:type="spellEnd"/>
      <w:r>
        <w:t xml:space="preserve"> can determine atmospheric parameters through the pulsing of a laser and measuring of the intensity of the backscattered laser light at different wavelengths and polarizations. Lidar was been used at ground based facilities to measure aerosol layers dating back to the 1960s (</w:t>
      </w:r>
      <w:proofErr w:type="spellStart"/>
      <w:r w:rsidRPr="009D4D5E">
        <w:rPr>
          <w:i/>
        </w:rPr>
        <w:t>Fiocco</w:t>
      </w:r>
      <w:proofErr w:type="spellEnd"/>
      <w:r w:rsidRPr="009D4D5E">
        <w:rPr>
          <w:i/>
        </w:rPr>
        <w:t xml:space="preserve"> and Grams</w:t>
      </w:r>
      <w:r>
        <w:t>, 1964) and are still used today.  More recently LIDAR instruments have been used on satellite missions including the Ice, Cloud, and land Elevation Satellite (</w:t>
      </w:r>
      <w:proofErr w:type="spellStart"/>
      <w:r>
        <w:t>ICESat</w:t>
      </w:r>
      <w:proofErr w:type="spellEnd"/>
      <w:r>
        <w:t>) from 2002 to 2010 (</w:t>
      </w:r>
      <w:r w:rsidRPr="009D4D5E">
        <w:rPr>
          <w:i/>
        </w:rPr>
        <w:t>Schutz et al.</w:t>
      </w:r>
      <w:r>
        <w:t>, 2005) and Cloud-Aerosol Lidar and Infrared Pathfinder Satellite Observations (CALIPSO) which launched in 2006 (</w:t>
      </w:r>
      <w:r w:rsidRPr="009D4D5E">
        <w:rPr>
          <w:i/>
        </w:rPr>
        <w:t>Winker et al.</w:t>
      </w:r>
      <w:r>
        <w:t xml:space="preserve">, 2007). Traditional </w:t>
      </w:r>
      <w:proofErr w:type="spellStart"/>
      <w:r>
        <w:t>lidar</w:t>
      </w:r>
      <w:proofErr w:type="spellEnd"/>
      <w:r>
        <w:t xml:space="preserve"> instruments have looked in the nadir direction (either straight down or up) however some instruments have looked slightly off-nadir, both can be seen in </w:t>
      </w:r>
      <w:r>
        <w:fldChar w:fldCharType="begin"/>
      </w:r>
      <w:r>
        <w:instrText xml:space="preserve"> REF _Ref433639889 \h </w:instrText>
      </w:r>
      <w:r>
        <w:fldChar w:fldCharType="separate"/>
      </w:r>
      <w:r w:rsidRPr="00074E92">
        <w:rPr>
          <w:szCs w:val="24"/>
        </w:rPr>
        <w:t>Figure 2-</w:t>
      </w:r>
      <w:r>
        <w:rPr>
          <w:noProof/>
          <w:szCs w:val="24"/>
        </w:rPr>
        <w:t>4</w:t>
      </w:r>
      <w:r>
        <w:fldChar w:fldCharType="end"/>
      </w:r>
      <w:r>
        <w:t>. Lidar measurements have been used to determine aerosol plumbs from volcanos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2012) and long term trends (</w:t>
      </w:r>
      <w:r w:rsidRPr="001A647C">
        <w:rPr>
          <w:i/>
        </w:rPr>
        <w:t>Hofmann et al.</w:t>
      </w:r>
      <w:r>
        <w:t xml:space="preserve">, 2009). </w:t>
      </w:r>
    </w:p>
    <w:p w:rsidR="00D85420" w:rsidRDefault="00D85420" w:rsidP="009D4D5E">
      <w:pPr>
        <w:pStyle w:val="BodyText"/>
        <w:keepNext/>
        <w:ind w:firstLine="0"/>
        <w:jc w:val="both"/>
      </w:pPr>
      <w:r>
        <w:rPr>
          <w:noProof/>
        </w:rPr>
        <w:drawing>
          <wp:inline distT="0" distB="0" distL="0" distR="0" wp14:anchorId="2299C174" wp14:editId="7F9F40B3">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D85420" w:rsidRDefault="00D85420" w:rsidP="00D505EA">
      <w:pPr>
        <w:pStyle w:val="Caption"/>
        <w:spacing w:before="0" w:after="0"/>
        <w:jc w:val="center"/>
        <w:rPr>
          <w:b w:val="0"/>
          <w:szCs w:val="24"/>
        </w:rPr>
      </w:pPr>
      <w:bookmarkStart w:id="19" w:name="_Ref433639889"/>
      <w:bookmarkStart w:id="20" w:name="_Toc435878544"/>
      <w:bookmarkStart w:id="21" w:name="_Toc439680415"/>
      <w:r w:rsidRPr="00074E92">
        <w:rPr>
          <w:szCs w:val="24"/>
        </w:rPr>
        <w:t>Figure 2-</w:t>
      </w:r>
      <w:r w:rsidRPr="00074E92">
        <w:rPr>
          <w:szCs w:val="24"/>
        </w:rPr>
        <w:fldChar w:fldCharType="begin"/>
      </w:r>
      <w:r w:rsidRPr="00074E92">
        <w:rPr>
          <w:szCs w:val="24"/>
        </w:rPr>
        <w:instrText xml:space="preserve"> SEQ Figure \* ARABIC </w:instrText>
      </w:r>
      <w:r w:rsidRPr="00074E92">
        <w:rPr>
          <w:szCs w:val="24"/>
        </w:rPr>
        <w:fldChar w:fldCharType="separate"/>
      </w:r>
      <w:r w:rsidR="008A0BC4">
        <w:rPr>
          <w:noProof/>
          <w:szCs w:val="24"/>
        </w:rPr>
        <w:t>4</w:t>
      </w:r>
      <w:r w:rsidRPr="00074E92">
        <w:rPr>
          <w:szCs w:val="24"/>
        </w:rPr>
        <w:fldChar w:fldCharType="end"/>
      </w:r>
      <w:bookmarkEnd w:id="19"/>
      <w:r w:rsidRPr="00074E92">
        <w:rPr>
          <w:szCs w:val="24"/>
        </w:rPr>
        <w:t>:</w:t>
      </w:r>
      <w:r w:rsidRPr="004A68D5">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20"/>
      <w:bookmarkEnd w:id="21"/>
    </w:p>
    <w:p w:rsidR="00D85420" w:rsidRPr="00935A8D" w:rsidRDefault="00D85420" w:rsidP="00935A8D"/>
    <w:p w:rsidR="00D85420" w:rsidRDefault="00D85420" w:rsidP="00935A8D">
      <w:pPr>
        <w:pStyle w:val="BodyText"/>
        <w:jc w:val="both"/>
      </w:pPr>
      <w:r>
        <w:lastRenderedPageBreak/>
        <w:t xml:space="preserve">CALIPSO is a joint mission developed between the National Aeronautics and Space Administration (NASA) and the Centre National </w:t>
      </w:r>
      <w:proofErr w:type="spellStart"/>
      <w:r>
        <w:t>d'Etudes</w:t>
      </w:r>
      <w:proofErr w:type="spellEnd"/>
      <w:r>
        <w:t xml:space="preserve"> </w:t>
      </w:r>
      <w:proofErr w:type="spellStart"/>
      <w:r>
        <w:t>Spatiales</w:t>
      </w:r>
      <w:proofErr w:type="spellEnd"/>
      <w:r>
        <w:t xml:space="preserve"> (CNES) of the United States and France respectively. It uses a two wavelength polarized </w:t>
      </w:r>
      <w:proofErr w:type="spellStart"/>
      <w:r>
        <w:t>lidar</w:t>
      </w:r>
      <w:proofErr w:type="spellEnd"/>
      <w:r>
        <w:t xml:space="preserve">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rsidR="00D85420" w:rsidRDefault="00D85420" w:rsidP="003D416A">
      <w:pPr>
        <w:pStyle w:val="Heading2"/>
      </w:pPr>
      <w:bookmarkStart w:id="22" w:name="_Toc440031429"/>
      <w:r>
        <w:t>2.3.4 Limb Scatter</w:t>
      </w:r>
      <w:bookmarkEnd w:id="22"/>
    </w:p>
    <w:p w:rsidR="00D85420" w:rsidRDefault="00D85420" w:rsidP="00954FF1">
      <w:pPr>
        <w:pStyle w:val="BodyText"/>
        <w:jc w:val="both"/>
      </w:pPr>
      <w:r>
        <w:t xml:space="preserve">The limb scatter technique measures the light that is scattered into the line of sight of the instrument from atmospheric interactions. These scattering interactions can undergo either single scatter or multiple scatter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into a scattering event into the line of sight. These events can occur any number of times before entering the instrument. The geometry for the limb scatter technique can be seen in </w:t>
      </w:r>
      <w:r>
        <w:fldChar w:fldCharType="begin"/>
      </w:r>
      <w:r>
        <w:instrText xml:space="preserve"> REF _Ref434222559 \h </w:instrText>
      </w:r>
      <w:r>
        <w:fldChar w:fldCharType="separate"/>
      </w:r>
      <w:r w:rsidRPr="004663A6">
        <w:rPr>
          <w:szCs w:val="24"/>
        </w:rPr>
        <w:t>Figure 2-</w:t>
      </w:r>
      <w:r>
        <w:rPr>
          <w:noProof/>
          <w:szCs w:val="24"/>
        </w:rPr>
        <w:t>5</w:t>
      </w:r>
      <w:r>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w:t>
      </w:r>
      <w:r>
        <w:lastRenderedPageBreak/>
        <w:t xml:space="preserve">local vertical and the direction of the sun; the Solar Scatter Angle (SSA) is the angle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4663A6">
        <w:rPr>
          <w:szCs w:val="24"/>
        </w:rPr>
        <w:t>Figure 2-</w:t>
      </w:r>
      <w:r>
        <w:rPr>
          <w:szCs w:val="24"/>
        </w:rPr>
        <w:t>5</w:t>
      </w:r>
      <w:r w:rsidRPr="00647F9E">
        <w:fldChar w:fldCharType="end"/>
      </w:r>
      <w:r w:rsidRPr="009B5D10">
        <w:t>.</w:t>
      </w:r>
    </w:p>
    <w:p w:rsidR="00D85420" w:rsidRDefault="00D85420" w:rsidP="00954FF1">
      <w:pPr>
        <w:pStyle w:val="BodyText"/>
        <w:keepNext/>
        <w:ind w:firstLine="0"/>
      </w:pPr>
      <w:r>
        <w:rPr>
          <w:noProof/>
        </w:rPr>
        <w:drawing>
          <wp:inline distT="0" distB="0" distL="0" distR="0" wp14:anchorId="1B8210C2" wp14:editId="67C9B485">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D85420" w:rsidRDefault="00D85420" w:rsidP="00D505EA">
      <w:pPr>
        <w:pStyle w:val="Caption"/>
        <w:spacing w:before="0" w:after="0"/>
        <w:jc w:val="center"/>
        <w:rPr>
          <w:b w:val="0"/>
          <w:szCs w:val="24"/>
        </w:rPr>
      </w:pPr>
      <w:bookmarkStart w:id="23" w:name="_Ref434222559"/>
      <w:bookmarkStart w:id="24" w:name="_Toc435878545"/>
      <w:bookmarkStart w:id="25" w:name="_Toc439680416"/>
      <w:r w:rsidRPr="004663A6">
        <w:rPr>
          <w:szCs w:val="24"/>
        </w:rPr>
        <w:t>Figure 2-</w:t>
      </w:r>
      <w:r w:rsidRPr="004663A6">
        <w:rPr>
          <w:szCs w:val="24"/>
        </w:rPr>
        <w:fldChar w:fldCharType="begin"/>
      </w:r>
      <w:r w:rsidRPr="004663A6">
        <w:rPr>
          <w:szCs w:val="24"/>
        </w:rPr>
        <w:instrText xml:space="preserve"> SEQ Figure \* ARABIC </w:instrText>
      </w:r>
      <w:r w:rsidRPr="004663A6">
        <w:rPr>
          <w:szCs w:val="24"/>
        </w:rPr>
        <w:fldChar w:fldCharType="separate"/>
      </w:r>
      <w:r w:rsidR="008A0BC4">
        <w:rPr>
          <w:noProof/>
          <w:szCs w:val="24"/>
        </w:rPr>
        <w:t>5</w:t>
      </w:r>
      <w:r w:rsidRPr="004663A6">
        <w:rPr>
          <w:szCs w:val="24"/>
        </w:rPr>
        <w:fldChar w:fldCharType="end"/>
      </w:r>
      <w:bookmarkEnd w:id="23"/>
      <w:r w:rsidRPr="004663A6">
        <w:rPr>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4"/>
      <w:bookmarkEnd w:id="25"/>
    </w:p>
    <w:p w:rsidR="00D85420" w:rsidRPr="00954FF1" w:rsidRDefault="00D85420" w:rsidP="00954FF1"/>
    <w:p w:rsidR="00D85420" w:rsidRDefault="00D85420" w:rsidP="00954FF1">
      <w:pPr>
        <w:pStyle w:val="BodyText"/>
        <w:jc w:val="both"/>
      </w:pPr>
      <w:r>
        <w:t>The limb scatter method yields vertical resolution and allows for measurements to be taken during any daylight period with good Signal to Noise Ratio (SNR), however it requires the use of a complex forward model of multiple scattering processes along with at least some a priori knowledge of the aerosol scattering cross section in order to retrieve the extinction coefficient profile. The model needs to accurately determine the effect of multiple scatter since it consists of 10-50% of the measured signal depending of the specific geometry (</w:t>
      </w:r>
      <w:proofErr w:type="spellStart"/>
      <w:r w:rsidRPr="00745CB4">
        <w:rPr>
          <w:i/>
        </w:rPr>
        <w:t>Oikarinen</w:t>
      </w:r>
      <w:proofErr w:type="spellEnd"/>
      <w:r w:rsidRPr="00745CB4">
        <w:rPr>
          <w:i/>
        </w:rPr>
        <w:t xml:space="preserve"> et al.</w:t>
      </w:r>
      <w:r>
        <w:t xml:space="preserve">, 1999). Furthermore, due to the complex nature of the problem; a large amount of computational time and memory is required for an accurate calculation. </w:t>
      </w:r>
    </w:p>
    <w:p w:rsidR="00D85420" w:rsidRPr="00745CB4" w:rsidRDefault="00D85420"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extinctions </w:t>
      </w:r>
      <w:r>
        <w:lastRenderedPageBreak/>
        <w:t xml:space="preserve">including the Optical Spectrograph and </w:t>
      </w:r>
      <w:proofErr w:type="spellStart"/>
      <w:r>
        <w:t>InfraRed</w:t>
      </w:r>
      <w:proofErr w:type="spellEnd"/>
      <w:r>
        <w:t xml:space="preserve"> Imaging System (OSIRIS) instrument launched on the Odin satellite in 2001 (</w:t>
      </w:r>
      <w:r w:rsidRPr="001B2F70">
        <w:rPr>
          <w:i/>
        </w:rPr>
        <w:t>Llewellyn et al.</w:t>
      </w:r>
      <w:r>
        <w:t xml:space="preserve">, 2004) and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instrument on </w:t>
      </w:r>
      <w:proofErr w:type="spellStart"/>
      <w:r>
        <w:t>Envisat</w:t>
      </w:r>
      <w:proofErr w:type="spellEnd"/>
      <w:r>
        <w:t xml:space="preserve"> launched in 2002 (</w:t>
      </w:r>
      <w:proofErr w:type="spellStart"/>
      <w:r w:rsidRPr="001B2F70">
        <w:rPr>
          <w:i/>
        </w:rPr>
        <w:t>Bovensmann</w:t>
      </w:r>
      <w:proofErr w:type="spellEnd"/>
      <w:r w:rsidRPr="001B2F70">
        <w:rPr>
          <w:i/>
        </w:rPr>
        <w:t xml:space="preserve"> et al.</w:t>
      </w:r>
      <w:r>
        <w:t xml:space="preserve">, 1999). Both of these instruments are scanning grating spectrometers which can gather a single tangent point and scans the atmosphere to complete a vertical profile. </w:t>
      </w:r>
    </w:p>
    <w:p w:rsidR="00D85420" w:rsidRDefault="00D85420"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with SAGE II and SAGE III occultation measurements (</w:t>
      </w:r>
      <w:r w:rsidRPr="001B2F70">
        <w:rPr>
          <w:i/>
        </w:rPr>
        <w:t>Bourassa et al.</w:t>
      </w:r>
      <w:r>
        <w:t xml:space="preserve">, 2012b; </w:t>
      </w:r>
      <w:bookmarkStart w:id="26" w:name="_GoBack"/>
      <w:proofErr w:type="spellStart"/>
      <w:r w:rsidRPr="00491D13">
        <w:rPr>
          <w:i/>
        </w:rPr>
        <w:t>Rieger</w:t>
      </w:r>
      <w:bookmarkEnd w:id="26"/>
      <w:proofErr w:type="spellEnd"/>
      <w:r w:rsidRPr="00491D13">
        <w:rPr>
          <w:i/>
        </w:rPr>
        <w:t xml:space="preserve">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 xml:space="preserve">von </w:t>
      </w:r>
      <w:proofErr w:type="spellStart"/>
      <w:r w:rsidRPr="00491D13">
        <w:rPr>
          <w:i/>
        </w:rPr>
        <w:t>Savigny</w:t>
      </w:r>
      <w:proofErr w:type="spellEnd"/>
      <w:r w:rsidRPr="00491D13">
        <w:rPr>
          <w:i/>
        </w:rPr>
        <w:t xml:space="preserve"> et al.</w:t>
      </w:r>
      <w:r>
        <w:t xml:space="preserve">, 2015). However SCIAMACHY observations ceased with the demise of </w:t>
      </w:r>
      <w:proofErr w:type="spellStart"/>
      <w:r>
        <w:t>Envisat</w:t>
      </w:r>
      <w:proofErr w:type="spellEnd"/>
      <w:r>
        <w:t xml:space="preserve"> in 2012 and although OSIRIS continues to operate, it is now in the fourteenth year of a mission designed for two years.</w:t>
      </w:r>
    </w:p>
    <w:p w:rsidR="00D85420" w:rsidRDefault="00D85420" w:rsidP="000927B6">
      <w:pPr>
        <w:pStyle w:val="BodyText"/>
        <w:jc w:val="both"/>
      </w:pPr>
      <w:r>
        <w:t>The most recently launched limb scatter instrument is the Ozone Mapping Profiler Suite Limb Profiler (OMPS-LP) on the Suomi-NPP satellite.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proofErr w:type="spellStart"/>
      <w:r w:rsidRPr="00210627">
        <w:rPr>
          <w:i/>
        </w:rPr>
        <w:t>Rault</w:t>
      </w:r>
      <w:proofErr w:type="spellEnd"/>
      <w:r w:rsidRPr="00210627">
        <w:rPr>
          <w:i/>
        </w:rPr>
        <w:t xml:space="preserve"> and </w:t>
      </w:r>
      <w:proofErr w:type="spellStart"/>
      <w:r w:rsidRPr="00210627">
        <w:rPr>
          <w:i/>
        </w:rPr>
        <w:t>Loughman</w:t>
      </w:r>
      <w:proofErr w:type="spellEnd"/>
      <w:r>
        <w:t>, 2013).</w:t>
      </w:r>
    </w:p>
    <w:p w:rsidR="00D85420" w:rsidRPr="00A24B7F" w:rsidRDefault="00D85420" w:rsidP="000927B6">
      <w:pPr>
        <w:pStyle w:val="BodyText"/>
        <w:jc w:val="both"/>
      </w:pPr>
      <w:r>
        <w:t>An instrument that is currently under development is</w:t>
      </w:r>
      <w:r w:rsidRPr="00222E24">
        <w:t xml:space="preserve"> </w:t>
      </w:r>
      <w:r>
        <w:t>ALTIUS</w:t>
      </w:r>
      <w:r w:rsidRPr="00222E24">
        <w:t xml:space="preserve"> (</w:t>
      </w:r>
      <w:proofErr w:type="spellStart"/>
      <w:r w:rsidRPr="00210627">
        <w:rPr>
          <w:i/>
        </w:rPr>
        <w:t>Dekemper</w:t>
      </w:r>
      <w:proofErr w:type="spellEnd"/>
      <w:r w:rsidRPr="00210627">
        <w:rPr>
          <w:i/>
        </w:rPr>
        <w:t xml:space="preserve"> et al.</w:t>
      </w:r>
      <w:r w:rsidRPr="00222E24">
        <w:t>, 2012)</w:t>
      </w:r>
      <w:r>
        <w:t>, which</w:t>
      </w:r>
      <w:r w:rsidRPr="00222E24">
        <w:t xml:space="preserve"> is a Belgi</w:t>
      </w:r>
      <w:r>
        <w:t>an</w:t>
      </w:r>
      <w:r w:rsidRPr="00222E24">
        <w:t xml:space="preserve"> instrument </w:t>
      </w:r>
      <w:r>
        <w:t>concept from</w:t>
      </w:r>
      <w:r w:rsidRPr="00222E24">
        <w:t xml:space="preserve"> </w:t>
      </w:r>
      <w:r>
        <w:t xml:space="preserve">at the BIRA.  ALTIUS is designed to image </w:t>
      </w:r>
      <w:r w:rsidRPr="00222E24">
        <w:t>limb scatter</w:t>
      </w:r>
      <w:r>
        <w:t>ed</w:t>
      </w:r>
      <w:r w:rsidRPr="00222E24">
        <w:t xml:space="preserve"> </w:t>
      </w:r>
      <w:r>
        <w:t>sunlight, both vertically and horizontally across the track through the use of the Acoustic-</w:t>
      </w:r>
      <w:r>
        <w:lastRenderedPageBreak/>
        <w:t xml:space="preserve">Optic Tunable Filter (AOTF)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measurements.</w:t>
      </w:r>
    </w:p>
    <w:p w:rsidR="00D85420" w:rsidRDefault="00D85420" w:rsidP="003D416A">
      <w:pPr>
        <w:pStyle w:val="Heading1"/>
      </w:pPr>
      <w:bookmarkStart w:id="27" w:name="_Toc440031430"/>
      <w:r>
        <w:t>2.4 Radiative Transfer</w:t>
      </w:r>
      <w:bookmarkEnd w:id="27"/>
    </w:p>
    <w:p w:rsidR="00D85420" w:rsidRDefault="00D85420" w:rsidP="007E1609">
      <w:pPr>
        <w:pStyle w:val="BodyText"/>
        <w:jc w:val="both"/>
      </w:pPr>
      <w:r>
        <w:t xml:space="preserve">To be able to use the limb scatter technique to determine aerosol extinction and particle size information, an understanding of radiative transfer is required. However, modeling the complex scattering interactions of light within the atmosphere is difficult. In this section, an overview of scaler radiative transfer will be performed followed by the necessary modifications to form polarized radiative transfer equations. Next, a description of scattering interactions important to aerosols will be underwent. Finally, an overview of the SASKTRAN radiative transfer model used within this work will be introduced. </w:t>
      </w:r>
    </w:p>
    <w:p w:rsidR="00D85420" w:rsidRDefault="00D85420" w:rsidP="00D54B14">
      <w:pPr>
        <w:pStyle w:val="Heading2"/>
      </w:pPr>
      <w:bookmarkStart w:id="28" w:name="_Toc440031431"/>
      <w:r>
        <w:t>2.4.1 Scalar Radiative Transfer</w:t>
      </w:r>
      <w:bookmarkEnd w:id="28"/>
    </w:p>
    <w:p w:rsidR="00D85420" w:rsidRDefault="00D85420" w:rsidP="00A32789">
      <w:pPr>
        <w:pStyle w:val="BodyText"/>
        <w:jc w:val="both"/>
      </w:pPr>
      <w:r>
        <w:t>The scattering and absorption processes in the atmosphere are non-trivial and an adequate method to model this interaction is needed. The following will present a derivation of radiative transfer equations for the atmosphere with scaler radiance. The scaler radiance is the radiance without accounting for polarization. In order to accurately discuss radiative transfer, a coordinate system must first be defined. If we assume that a ray of light</w:t>
      </w:r>
      <w:proofErr w:type="gramStart"/>
      <w:r>
        <w:t xml:space="preserve">, </w:t>
      </w:r>
      <w:proofErr w:type="gramEnd"/>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will be used to define the radiative transfer equations.</w:t>
      </w:r>
    </w:p>
    <w:p w:rsidR="00D85420" w:rsidRPr="00A15663" w:rsidRDefault="00D85420" w:rsidP="003E0CAD">
      <w:pPr>
        <w:pStyle w:val="BodyText"/>
        <w:jc w:val="both"/>
      </w:pPr>
      <w:r>
        <w:t>The fundamental theory for radiative transfer is known as Beer-Lamberts law. The law describes the change in intensity or radiance of light</w:t>
      </w:r>
      <w:proofErr w:type="gramStart"/>
      <w:r>
        <w:t xml:space="preserve">, </w:t>
      </w:r>
      <w:proofErr w:type="gramEnd"/>
      <m:oMath>
        <m:r>
          <w:rPr>
            <w:rFonts w:ascii="Cambria Math" w:hAnsi="Cambria Math"/>
          </w:rPr>
          <m:t>dI</m:t>
        </m:r>
      </m:oMath>
      <w:r>
        <w:t xml:space="preserve">, as it interacts with a thin layer of space </w:t>
      </w:r>
      <w:r>
        <w:lastRenderedPageBreak/>
        <w:t xml:space="preserve">or atmosphere, </w:t>
      </w:r>
      <m:oMath>
        <m:r>
          <w:rPr>
            <w:rFonts w:ascii="Cambria Math" w:hAnsi="Cambria Math"/>
          </w:rPr>
          <m:t>ds</m:t>
        </m:r>
      </m:oMath>
      <w:r>
        <w:t>. The thin layer has particles which affect the attenuation of the light which is dependent on the number of particles, n, and the particle cross section</w:t>
      </w:r>
      <w:proofErr w:type="gramStart"/>
      <w:r>
        <w:t xml:space="preserve">, </w:t>
      </w:r>
      <w:proofErr w:type="gramEnd"/>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75640"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(2.2)</w:t>
            </w:r>
          </w:p>
        </w:tc>
      </w:tr>
    </w:tbl>
    <w:p w:rsidR="00D85420" w:rsidRDefault="00D85420" w:rsidP="003E0CAD">
      <w:pPr>
        <w:pStyle w:val="BodyText"/>
        <w:ind w:firstLine="0"/>
      </w:pPr>
      <w:r>
        <w:t>The extinction of the partials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85420" w:rsidP="005344FB">
            <w:pPr>
              <w:pStyle w:val="BodyText"/>
              <w:ind w:firstLine="289"/>
              <w:jc w:val="right"/>
              <w:rPr>
                <w:i/>
              </w:rPr>
            </w:pPr>
            <m:oMathPara>
              <m:oMath>
                <m:r>
                  <w:rPr>
                    <w:rFonts w:ascii="Cambria Math" w:hAnsi="Cambria Math"/>
                  </w:rPr>
                  <m:t>k=</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nary>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(2.3)</w:t>
            </w:r>
          </w:p>
        </w:tc>
      </w:tr>
    </w:tbl>
    <w:p w:rsidR="00D85420" w:rsidRDefault="00D85420"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85420"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(2.4)</w:t>
            </w:r>
          </w:p>
        </w:tc>
      </w:tr>
    </w:tbl>
    <w:p w:rsidR="00D85420" w:rsidRDefault="00D85420" w:rsidP="003E0CAD">
      <w:pPr>
        <w:pStyle w:val="BodyText"/>
        <w:ind w:firstLine="0"/>
        <w:jc w:val="both"/>
      </w:pPr>
      <w:r>
        <w:t>The optical depth</w:t>
      </w:r>
      <w:proofErr w:type="gramStart"/>
      <w:r>
        <w:t xml:space="preserve">, </w:t>
      </w:r>
      <w:proofErr w:type="gramEnd"/>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85420"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(2.5)</w:t>
            </w:r>
          </w:p>
        </w:tc>
      </w:tr>
    </w:tbl>
    <w:p w:rsidR="00D85420" w:rsidRDefault="00D85420"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w:t>
      </w:r>
      <w:proofErr w:type="gramStart"/>
      <w:r>
        <w:t xml:space="preserve">from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rsidR="00D85420" w:rsidRDefault="00D85420" w:rsidP="00314761">
      <w:pPr>
        <w:pStyle w:val="BodyText"/>
        <w:jc w:val="both"/>
      </w:pPr>
      <w:r>
        <w:t>Although this form of the Beer-Lambert’s Law is useful for describing the loss of light through scattering or absorbing from an initial source though a medium, the atmosphere also has incoming light that is scattered into the line of sight from other directions or emitted from particles. To account for this additional source of light a source term</w:t>
      </w:r>
      <w:proofErr w:type="gramStart"/>
      <w:r>
        <w:t xml:space="preserve">, </w:t>
      </w:r>
      <w:proofErr w:type="gramEnd"/>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75640"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(2.6)</w:t>
            </w:r>
          </w:p>
        </w:tc>
      </w:tr>
    </w:tbl>
    <w:p w:rsidR="00D85420" w:rsidRDefault="00D85420"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85420" w:rsidP="005344FB">
            <w:pPr>
              <w:pStyle w:val="BodyText"/>
              <w:ind w:firstLine="289"/>
              <w:jc w:val="right"/>
              <w:rPr>
                <w:i/>
              </w:rPr>
            </w:pPr>
            <m:oMathPara>
              <m:oMath>
                <m:r>
                  <w:rPr>
                    <w:rFonts w:ascii="Cambria Math" w:hAnsi="Cambria Math"/>
                  </w:rPr>
                  <w:lastRenderedPageBreak/>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(2.7)</w:t>
            </w:r>
          </w:p>
        </w:tc>
      </w:tr>
    </w:tbl>
    <w:p w:rsidR="00D85420" w:rsidRDefault="00D85420"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75640"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(2.8)</w:t>
            </w:r>
          </w:p>
        </w:tc>
      </w:tr>
    </w:tbl>
    <w:p w:rsidR="00D85420" w:rsidRDefault="00D85420"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75640"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(2.9)</w:t>
            </w:r>
          </w:p>
        </w:tc>
      </w:tr>
    </w:tbl>
    <w:p w:rsidR="00D85420" w:rsidRDefault="00D85420" w:rsidP="003E0CAD">
      <w:pPr>
        <w:pStyle w:val="BodyText"/>
        <w:ind w:firstLine="0"/>
        <w:jc w:val="both"/>
      </w:pPr>
      <w:proofErr w:type="gramStart"/>
      <w:r>
        <w:t>and</w:t>
      </w:r>
      <w:proofErr w:type="gramEnd"/>
      <w:r>
        <w:t xml:space="preserve">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75640"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(2.10)</w:t>
            </w:r>
          </w:p>
        </w:tc>
      </w:tr>
    </w:tbl>
    <w:p w:rsidR="00D85420" w:rsidRDefault="00D85420"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85420"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(2.11)</w:t>
            </w:r>
          </w:p>
        </w:tc>
      </w:tr>
    </w:tbl>
    <w:p w:rsidR="00D85420" w:rsidRDefault="00D85420"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85420"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(2.12)</w:t>
            </w:r>
          </w:p>
        </w:tc>
      </w:tr>
    </w:tbl>
    <w:p w:rsidR="00D85420" w:rsidRDefault="00D85420" w:rsidP="003E0CAD">
      <w:pPr>
        <w:pStyle w:val="BodyText"/>
        <w:ind w:firstLine="0"/>
        <w:jc w:val="both"/>
      </w:pPr>
      <w:proofErr w:type="gramStart"/>
      <w:r>
        <w:t>which</w:t>
      </w:r>
      <w:proofErr w:type="gramEnd"/>
      <w:r>
        <w:t xml:space="preserve"> gives the radiance as seen from an observer at a point, </w:t>
      </w:r>
      <m:oMath>
        <m:r>
          <w:rPr>
            <w:rFonts w:ascii="Cambria Math" w:hAnsi="Cambria Math"/>
          </w:rPr>
          <m:t>s</m:t>
        </m:r>
      </m:oMath>
      <w:r>
        <w:t>, along the line of sight.</w:t>
      </w:r>
    </w:p>
    <w:p w:rsidR="00D85420" w:rsidRDefault="00D85420" w:rsidP="003A4D25">
      <w:pPr>
        <w:pStyle w:val="BodyText"/>
        <w:jc w:val="both"/>
      </w:pPr>
      <w:r>
        <w:t>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rsidRPr="003A4D25">
        <w:rPr>
          <w:i/>
        </w:rPr>
        <w:t>i.e.</w:t>
      </w:r>
      <w:r>
        <w:t xml:space="preserve"> wavelengths less than 2 µm) there is little contributions from blackbody emissions, also known as thermal emission.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85420" w:rsidP="008B506A">
            <w:pPr>
              <w:pStyle w:val="BodyText"/>
              <w:ind w:firstLine="289"/>
              <w:jc w:val="right"/>
              <w:rPr>
                <w:i/>
              </w:rPr>
            </w:pPr>
            <m:oMathPara>
              <m:oMath>
                <m:r>
                  <w:rPr>
                    <w:rFonts w:ascii="Cambria Math" w:hAnsi="Cambria Math"/>
                  </w:rPr>
                  <w:lastRenderedPageBreak/>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(2.13)</w:t>
            </w:r>
          </w:p>
        </w:tc>
      </w:tr>
    </w:tbl>
    <w:p w:rsidR="00D85420" w:rsidRDefault="00D85420"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will be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The scattering angle</w:t>
      </w:r>
      <w:proofErr w:type="gramStart"/>
      <w:r>
        <w:t xml:space="preserve">, </w:t>
      </w:r>
      <w:proofErr w:type="gramEnd"/>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75640"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(2.14)</w:t>
            </w:r>
          </w:p>
        </w:tc>
      </w:tr>
    </w:tbl>
    <w:p w:rsidR="00D85420" w:rsidRDefault="00D85420"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w:t>
      </w:r>
      <w:proofErr w:type="gramStart"/>
      <w:r>
        <w:t>absorption.</w:t>
      </w:r>
      <w:proofErr w:type="gramEnd"/>
      <w:r>
        <w:t xml:space="preserve">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rsidR="00D85420" w:rsidRDefault="00D85420"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85420"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(2.15)</w:t>
            </w:r>
          </w:p>
        </w:tc>
      </w:tr>
    </w:tbl>
    <w:p w:rsidR="00D85420" w:rsidRDefault="00D85420" w:rsidP="00851023">
      <w:pPr>
        <w:pStyle w:val="BodyText"/>
        <w:ind w:firstLine="0"/>
        <w:jc w:val="both"/>
      </w:pPr>
      <w:r>
        <w:t>The multiple scatter term is calculated until the contribution is sufficiently small to be negligible.</w:t>
      </w:r>
    </w:p>
    <w:p w:rsidR="00D85420" w:rsidRDefault="00D85420" w:rsidP="00FA7303">
      <w:pPr>
        <w:pStyle w:val="Heading2"/>
      </w:pPr>
      <w:bookmarkStart w:id="29" w:name="_Toc440031432"/>
      <w:r>
        <w:t>2.4.2 Vector Radiative Transfer</w:t>
      </w:r>
      <w:bookmarkEnd w:id="29"/>
    </w:p>
    <w:p w:rsidR="00D85420" w:rsidRDefault="00D85420" w:rsidP="00D54B14">
      <w:pPr>
        <w:pStyle w:val="BodyText"/>
        <w:jc w:val="both"/>
      </w:pPr>
      <w:r>
        <w:t xml:space="preserve">The scaler radiative transfer equation works well for systems that do not measure polarized light as the effect of polarization on the scaler radiance is small. However for instruments that measure polarized light, a vector radiative transfer equation is required. Before polarization can </w:t>
      </w:r>
      <w:r>
        <w:lastRenderedPageBreak/>
        <w:t>even be discussed, a method to quantify polarization must be defined which will be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76182D" w:rsidRDefault="00D85420" w:rsidP="005530E3">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rsidR="00D85420" w:rsidRDefault="00D85420" w:rsidP="000927B6">
            <w:pPr>
              <w:pStyle w:val="BodyText"/>
              <w:ind w:firstLine="0"/>
              <w:jc w:val="right"/>
            </w:pPr>
            <w:r>
              <w:t>(2.16)</w:t>
            </w:r>
          </w:p>
        </w:tc>
      </w:tr>
    </w:tbl>
    <w:p w:rsidR="00D85420" w:rsidRDefault="00D85420" w:rsidP="005530E3">
      <w:pPr>
        <w:pStyle w:val="BodyText"/>
        <w:ind w:firstLine="0"/>
        <w:jc w:val="both"/>
      </w:pPr>
      <w:r>
        <w:t xml:space="preserve">where  </w:t>
      </w:r>
      <m:oMath>
        <m:r>
          <w:rPr>
            <w:rFonts w:ascii="Cambria Math" w:hAnsi="Cambria Math"/>
          </w:rPr>
          <m:t>I</m:t>
        </m:r>
      </m:oMath>
      <w:r>
        <w:t xml:space="preserve"> is the scaler or total radiance, </w:t>
      </w:r>
      <m:oMath>
        <m:r>
          <w:rPr>
            <w:rFonts w:ascii="Cambria Math" w:hAnsi="Cambria Math"/>
          </w:rPr>
          <m:t>Q</m:t>
        </m:r>
      </m:oMath>
      <w:r>
        <w:t xml:space="preserve"> is horizontally polarized light or light rays aligned with the local x-axis, </w:t>
      </w:r>
      <m:oMath>
        <m:r>
          <w:rPr>
            <w:rFonts w:ascii="Cambria Math" w:hAnsi="Cambria Math"/>
          </w:rPr>
          <m:t>U</m:t>
        </m:r>
      </m:oMath>
      <w:r>
        <w:t xml:space="preserve"> is diagonally polarized light measured 45</w:t>
      </w:r>
      <w:r>
        <w:rPr>
          <w:vertAlign w:val="superscript"/>
        </w:rPr>
        <w:t>o</w:t>
      </w:r>
      <w:r>
        <w:t xml:space="preserve"> counter clockwise from the local x axis, and </w:t>
      </w:r>
      <m:oMath>
        <m:r>
          <w:rPr>
            <w:rFonts w:ascii="Cambria Math" w:hAnsi="Cambria Math"/>
          </w:rPr>
          <m:t>V</m:t>
        </m:r>
      </m:oMath>
      <w:r>
        <w:t xml:space="preserve"> is the counter clockwise circular polarized light (</w:t>
      </w:r>
      <w:r>
        <w:rPr>
          <w:i/>
        </w:rPr>
        <w:t>Bickel and Bailey</w:t>
      </w:r>
      <w:r>
        <w:t xml:space="preserve">, 1985). With the Stokes vectors the degree of polarization can be determined.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w:t>
      </w:r>
    </w:p>
    <w:p w:rsidR="00D85420" w:rsidRDefault="00D85420" w:rsidP="00BD1ABC">
      <w:pPr>
        <w:pStyle w:val="BodyText"/>
        <w:jc w:val="both"/>
      </w:pPr>
      <w:r>
        <w:t>With the addition of polarization, the radiative transfer and source term equations (Equations 2.12 and 2.13) need to be rewritten with polarization included. The polarized versions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D85420" w:rsidTr="000927B6">
        <w:tc>
          <w:tcPr>
            <w:tcW w:w="6804" w:type="dxa"/>
          </w:tcPr>
          <w:p w:rsidR="00D85420" w:rsidRPr="0076182D" w:rsidRDefault="00D85420"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rsidR="00D85420" w:rsidRDefault="00D85420" w:rsidP="000927B6">
            <w:pPr>
              <w:pStyle w:val="BodyText"/>
              <w:ind w:firstLine="0"/>
              <w:jc w:val="right"/>
            </w:pPr>
            <w:r>
              <w:t>(2.17)</w:t>
            </w:r>
          </w:p>
        </w:tc>
      </w:tr>
      <w:tr w:rsidR="00D85420" w:rsidTr="000927B6">
        <w:tc>
          <w:tcPr>
            <w:tcW w:w="6804" w:type="dxa"/>
          </w:tcPr>
          <w:p w:rsidR="00D85420" w:rsidRPr="0076182D" w:rsidRDefault="00D85420" w:rsidP="001F6448">
            <w:pPr>
              <w:pStyle w:val="BodyText"/>
              <w:ind w:firstLine="289"/>
              <w:jc w:val="right"/>
              <w:rPr>
                <w:i/>
              </w:rPr>
            </w:pPr>
            <m:oMathPara>
              <m:oMath>
                <m:r>
                  <m:rPr>
                    <m:sty m:val="bi"/>
                  </m:rPr>
                  <w:rPr>
                    <w:rFonts w:ascii="Cambria Math" w:hAnsi="Cambria Math"/>
                  </w:rPr>
                  <m:t>J</m:t>
                </m:r>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acc>
                      <m:accPr>
                        <m:chr m:val="̅"/>
                        <m:ctrlPr>
                          <w:rPr>
                            <w:rFonts w:ascii="Cambria Math" w:hAnsi="Cambria Math"/>
                            <w:b/>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acc>
                      <m:accPr>
                        <m:chr m:val="̅"/>
                        <m:ctrlPr>
                          <w:rPr>
                            <w:rFonts w:ascii="Cambria Math" w:hAnsi="Cambria Math"/>
                            <w:b/>
                            <w:i/>
                          </w:rPr>
                        </m:ctrlPr>
                      </m:accPr>
                      <m:e>
                        <m:r>
                          <m:rPr>
                            <m:sty m:val="bi"/>
                          </m:rPr>
                          <w:rPr>
                            <w:rFonts w:ascii="Cambria Math" w:hAnsi="Cambria Math"/>
                          </w:rPr>
                          <m:t>p</m:t>
                        </m:r>
                      </m:e>
                    </m:acc>
                    <m:d>
                      <m:dPr>
                        <m:ctrlPr>
                          <w:rPr>
                            <w:rFonts w:ascii="Cambria Math" w:hAnsi="Cambria Math"/>
                            <w:i/>
                          </w:rPr>
                        </m:ctrlPr>
                      </m:dPr>
                      <m:e>
                        <m:r>
                          <w:rPr>
                            <w:rFonts w:ascii="Cambria Math" w:hAnsi="Cambria Math"/>
                          </w:rPr>
                          <m:t xml:space="preserve">s, </m:t>
                        </m:r>
                        <m:r>
                          <m:rPr>
                            <m:sty m:val="p"/>
                          </m:rPr>
                          <w:rPr>
                            <w:rFonts w:ascii="Cambria Math" w:hAnsi="Cambria Math"/>
                          </w:rPr>
                          <m:t>Θ</m:t>
                        </m:r>
                      </m:e>
                    </m:d>
                    <m:acc>
                      <m:accPr>
                        <m:chr m:val="̅"/>
                        <m:ctrlPr>
                          <w:rPr>
                            <w:rFonts w:ascii="Cambria Math" w:hAnsi="Cambria Math"/>
                            <w:b/>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vAlign w:val="center"/>
          </w:tcPr>
          <w:p w:rsidR="00D85420" w:rsidRDefault="00D85420" w:rsidP="000927B6">
            <w:pPr>
              <w:pStyle w:val="BodyText"/>
              <w:ind w:firstLine="0"/>
              <w:jc w:val="right"/>
            </w:pPr>
            <w:r>
              <w:t>(2.18)</w:t>
            </w:r>
          </w:p>
        </w:tc>
      </w:tr>
    </w:tbl>
    <w:p w:rsidR="00D85420" w:rsidRDefault="00D85420" w:rsidP="00097F5B">
      <w:pPr>
        <w:pStyle w:val="BodyText"/>
        <w:ind w:firstLine="0"/>
        <w:jc w:val="both"/>
      </w:pPr>
      <w:proofErr w:type="gramStart"/>
      <w:r>
        <w:t>which</w:t>
      </w:r>
      <w:proofErr w:type="gramEnd"/>
      <w:r>
        <w:t xml:space="preserve"> are the vector radiative transfer and source term equations respectively (</w:t>
      </w:r>
      <w:proofErr w:type="spellStart"/>
      <w:r>
        <w:rPr>
          <w:i/>
        </w:rPr>
        <w:t>Mishchenko</w:t>
      </w:r>
      <w:proofErr w:type="spellEnd"/>
      <w:r>
        <w:rPr>
          <w:i/>
        </w:rPr>
        <w:t xml:space="preserve"> et al.</w:t>
      </w:r>
      <w:r>
        <w:t>, 2002). With polarization a scattering reference frame is defined and the incoming radiance is rotated into the scattering frame multiplied by the phase matrix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D85420" w:rsidTr="00D75640">
        <w:tc>
          <w:tcPr>
            <w:tcW w:w="6804" w:type="dxa"/>
            <w:tcBorders>
              <w:top w:val="nil"/>
              <w:left w:val="nil"/>
              <w:bottom w:val="nil"/>
              <w:right w:val="nil"/>
            </w:tcBorders>
          </w:tcPr>
          <w:p w:rsidR="00D85420" w:rsidRPr="008E2476" w:rsidRDefault="00D75640" w:rsidP="00A27C38">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α</m:t>
                    </m:r>
                    <m:ctrlPr>
                      <w:rPr>
                        <w:rFonts w:ascii="Cambria Math" w:hAnsi="Cambria Math"/>
                        <w:i/>
                        <w:lang w:val="en-CA"/>
                      </w:rPr>
                    </m:ctrlP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m:rPr>
                              <m:sty m:val="p"/>
                            </m:rPr>
                            <w:rPr>
                              <w:rFonts w:ascii="Cambria Math" w:hAnsi="Cambria Math"/>
                            </w:rPr>
                            <m:t>cos⁡</m:t>
                          </m:r>
                          <m:r>
                            <w:rPr>
                              <w:rFonts w:ascii="Cambria Math" w:hAnsi="Cambria Math"/>
                            </w:rPr>
                            <m:t>(2α)</m:t>
                          </m:r>
                        </m:e>
                        <m:e>
                          <m:r>
                            <m:rPr>
                              <m:sty m:val="p"/>
                            </m:rPr>
                            <w:rPr>
                              <w:rFonts w:ascii="Cambria Math" w:hAnsi="Cambria Math"/>
                            </w:rPr>
                            <m:t>sin⁡</m:t>
                          </m:r>
                          <m:r>
                            <w:rPr>
                              <w:rFonts w:ascii="Cambria Math" w:hAnsi="Cambria Math"/>
                            </w:rPr>
                            <m:t>(2α)</m:t>
                          </m:r>
                        </m:e>
                        <m:e>
                          <m:r>
                            <w:rPr>
                              <w:rFonts w:ascii="Cambria Math" w:hAnsi="Cambria Math"/>
                            </w:rPr>
                            <m:t>0</m:t>
                          </m:r>
                        </m:e>
                      </m:mr>
                      <m:mr>
                        <m:e>
                          <m:r>
                            <w:rPr>
                              <w:rFonts w:ascii="Cambria Math" w:hAnsi="Cambria Math"/>
                            </w:rPr>
                            <m:t>0</m:t>
                          </m:r>
                        </m:e>
                        <m:e>
                          <m:r>
                            <m:rPr>
                              <m:sty m:val="p"/>
                            </m:rPr>
                            <w:rPr>
                              <w:rFonts w:ascii="Cambria Math" w:hAnsi="Cambria Math"/>
                            </w:rPr>
                            <m:t>-sin⁡</m:t>
                          </m:r>
                          <m:r>
                            <w:rPr>
                              <w:rFonts w:ascii="Cambria Math" w:hAnsi="Cambria Math"/>
                            </w:rPr>
                            <m:t>(2α)</m:t>
                          </m:r>
                        </m:e>
                        <m:e>
                          <m:r>
                            <m:rPr>
                              <m:sty m:val="p"/>
                            </m:rPr>
                            <w:rPr>
                              <w:rFonts w:ascii="Cambria Math" w:hAnsi="Cambria Math"/>
                            </w:rPr>
                            <m:t>cos⁡</m:t>
                          </m:r>
                          <m:r>
                            <w:rPr>
                              <w:rFonts w:ascii="Cambria Math" w:hAnsi="Cambria Math"/>
                            </w:rPr>
                            <m:t>(2α)</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rsidR="00D85420" w:rsidRDefault="00D85420" w:rsidP="00A27C38">
            <w:pPr>
              <w:pStyle w:val="BodyText"/>
              <w:ind w:firstLine="0"/>
              <w:jc w:val="right"/>
            </w:pPr>
            <w:r>
              <w:t>(2.18t)</w:t>
            </w:r>
          </w:p>
        </w:tc>
      </w:tr>
    </w:tbl>
    <w:p w:rsidR="00D85420" w:rsidRDefault="00D85420" w:rsidP="00097F5B">
      <w:pPr>
        <w:pStyle w:val="BodyText"/>
        <w:ind w:firstLine="0"/>
        <w:jc w:val="both"/>
      </w:pPr>
      <w:proofErr w:type="gramStart"/>
      <w:r>
        <w:lastRenderedPageBreak/>
        <w:t>where</w:t>
      </w:r>
      <w:proofErr w:type="gramEnd"/>
      <w:r>
        <w:t xml:space="preserve"> </w:t>
      </w:r>
      <m:oMath>
        <m:r>
          <w:rPr>
            <w:rFonts w:ascii="Cambria Math" w:hAnsi="Cambria Math"/>
          </w:rPr>
          <m:t>α</m:t>
        </m:r>
      </m:oMath>
      <w:r>
        <w:t xml:space="preserve"> is the angle between he propagation and polarization reference frame. The radiance and the source terms are now forms of the Stokes vectors in 4 by 1 matrices and the phase function is a 4 by 4 tensor that describes the probability of the incoming light to be scattered in the propagation direction with a specific polarization. The polarization equation adds extra computation and memory consumption since the polarization must be computed at each step in the interactive radiative transfer, which is nontrivial, and stored in memory, which is four times the size of a standard scaler radiance calculations. </w:t>
      </w:r>
    </w:p>
    <w:p w:rsidR="00D85420" w:rsidRDefault="00D85420" w:rsidP="00040164">
      <w:pPr>
        <w:pStyle w:val="BodyText"/>
        <w:jc w:val="both"/>
      </w:pPr>
      <w:r>
        <w:t>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will scatter off of aerosol particles.</w:t>
      </w:r>
    </w:p>
    <w:p w:rsidR="00D85420" w:rsidRDefault="00D85420" w:rsidP="00FA7303">
      <w:pPr>
        <w:pStyle w:val="Heading2"/>
      </w:pPr>
      <w:bookmarkStart w:id="30" w:name="_Toc440031433"/>
      <w:r>
        <w:t>2.4.3 Rayleigh Scattering</w:t>
      </w:r>
      <w:bookmarkEnd w:id="30"/>
    </w:p>
    <w:p w:rsidR="00D85420" w:rsidRDefault="00D85420" w:rsidP="008E2476">
      <w:pPr>
        <w:pStyle w:val="BodyText"/>
        <w:jc w:val="both"/>
      </w:pPr>
      <w:r>
        <w:t>Rayleigh scatter is the scattering performed on the molecular background of the atmosphere.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w:t>
      </w:r>
      <w:proofErr w:type="gramStart"/>
      <w:r>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8E2476" w:rsidRDefault="00D75640"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rsidR="00D85420" w:rsidRDefault="00D85420" w:rsidP="00D75640">
            <w:pPr>
              <w:pStyle w:val="BodyText"/>
              <w:ind w:firstLine="0"/>
              <w:jc w:val="right"/>
            </w:pPr>
            <w:r>
              <w:t>(2.20)</w:t>
            </w:r>
          </w:p>
        </w:tc>
      </w:tr>
    </w:tbl>
    <w:p w:rsidR="00D85420" w:rsidRDefault="00D85420" w:rsidP="008E2476">
      <w:pPr>
        <w:pStyle w:val="BodyText"/>
        <w:ind w:firstLine="0"/>
        <w:jc w:val="both"/>
      </w:pPr>
      <w:proofErr w:type="gramStart"/>
      <w:r>
        <w:t>which</w:t>
      </w:r>
      <w:proofErr w:type="gramEnd"/>
      <w:r>
        <w:t xml:space="preserve">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w:t>
      </w:r>
      <w:proofErr w:type="spellStart"/>
      <w:r>
        <w:t>unitless</w:t>
      </w:r>
      <w:proofErr w:type="spellEnd"/>
      <w:r>
        <w:t xml:space="preserve"> (</w:t>
      </w:r>
      <w:proofErr w:type="spellStart"/>
      <w:r>
        <w:rPr>
          <w:i/>
        </w:rPr>
        <w:t>Sneep</w:t>
      </w:r>
      <w:proofErr w:type="spellEnd"/>
      <w:r>
        <w:rPr>
          <w:i/>
        </w:rPr>
        <w:t xml:space="preserve"> and </w:t>
      </w:r>
      <w:proofErr w:type="spellStart"/>
      <w:r>
        <w:rPr>
          <w:i/>
        </w:rPr>
        <w:t>Ubachs</w:t>
      </w:r>
      <w:proofErr w:type="spellEnd"/>
      <w:r>
        <w:t xml:space="preserve">, 2005). </w:t>
      </w:r>
    </w:p>
    <w:p w:rsidR="00D85420" w:rsidRDefault="00D85420" w:rsidP="000E00D9">
      <w:pPr>
        <w:pStyle w:val="BodyText"/>
        <w:jc w:val="both"/>
      </w:pPr>
      <w:r>
        <w:lastRenderedPageBreak/>
        <w:t>The other important quantity for scattering is the phase function. For Rayleigh scattering, the vector model phase function is given by the Rayleigh-</w:t>
      </w:r>
      <w:proofErr w:type="spellStart"/>
      <w:r>
        <w:t>Gans</w:t>
      </w:r>
      <w:proofErr w:type="spellEnd"/>
      <w:r>
        <w:t xml:space="preserve"> approximation (</w:t>
      </w:r>
      <w:proofErr w:type="spellStart"/>
      <w:r>
        <w:rPr>
          <w:i/>
        </w:rPr>
        <w:t>Mishchenko</w:t>
      </w:r>
      <w:proofErr w:type="spellEnd"/>
      <w:r>
        <w:rPr>
          <w:i/>
        </w:rPr>
        <w:t xml:space="preserve">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8E2476" w:rsidRDefault="00D75640"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rsidR="00D85420" w:rsidRDefault="00D85420" w:rsidP="00D75640">
            <w:pPr>
              <w:pStyle w:val="BodyText"/>
              <w:ind w:firstLine="0"/>
              <w:jc w:val="right"/>
            </w:pPr>
            <w:r>
              <w:t>(2.21)</w:t>
            </w:r>
          </w:p>
        </w:tc>
      </w:tr>
    </w:tbl>
    <w:p w:rsidR="00D85420" w:rsidRDefault="00D85420" w:rsidP="002B54E1">
      <w:pPr>
        <w:pStyle w:val="BodyText"/>
        <w:ind w:firstLine="0"/>
        <w:jc w:val="both"/>
      </w:pPr>
      <w:r>
        <w:t xml:space="preserve">Each component of the phase matrix itself is smooth which allows for easy and accurate calculation for Rayleigh scattering. </w:t>
      </w:r>
    </w:p>
    <w:p w:rsidR="00D85420" w:rsidRDefault="00D85420" w:rsidP="00FA7303">
      <w:pPr>
        <w:pStyle w:val="Heading2"/>
      </w:pPr>
      <w:bookmarkStart w:id="31" w:name="_Toc440031434"/>
      <w:r>
        <w:t>2.4.4 Mie Scattering</w:t>
      </w:r>
      <w:bookmarkEnd w:id="31"/>
    </w:p>
    <w:p w:rsidR="00D85420" w:rsidRDefault="00D85420"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will be presented here but information on the Mie scatter can be found in </w:t>
      </w:r>
      <w:r>
        <w:rPr>
          <w:i/>
        </w:rPr>
        <w:t xml:space="preserve">van de </w:t>
      </w:r>
      <w:proofErr w:type="spellStart"/>
      <w:r>
        <w:rPr>
          <w:i/>
        </w:rPr>
        <w:t>Hulst</w:t>
      </w:r>
      <w:proofErr w:type="spellEnd"/>
      <w:r>
        <w:rPr>
          <w:i/>
        </w:rPr>
        <w:t xml:space="preserve">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D85420" w:rsidTr="000927B6">
        <w:tc>
          <w:tcPr>
            <w:tcW w:w="6804" w:type="dxa"/>
            <w:tcBorders>
              <w:top w:val="nil"/>
              <w:left w:val="nil"/>
              <w:bottom w:val="nil"/>
              <w:right w:val="nil"/>
            </w:tcBorders>
          </w:tcPr>
          <w:p w:rsidR="00D85420" w:rsidRPr="008E2476" w:rsidRDefault="00D75640"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rsidR="00D85420" w:rsidRDefault="00D85420" w:rsidP="00D75640">
            <w:pPr>
              <w:pStyle w:val="BodyText"/>
              <w:ind w:firstLine="0"/>
              <w:jc w:val="right"/>
            </w:pPr>
            <w:r>
              <w:t>(2.22)</w:t>
            </w:r>
          </w:p>
        </w:tc>
      </w:tr>
    </w:tbl>
    <w:p w:rsidR="00D85420" w:rsidRDefault="00D85420" w:rsidP="000927B6">
      <w:pPr>
        <w:pStyle w:val="BodyText"/>
        <w:ind w:firstLine="0"/>
      </w:pPr>
      <w:proofErr w:type="gramStart"/>
      <w:r>
        <w:t>where</w:t>
      </w:r>
      <w:proofErr w:type="gramEnd"/>
      <w:r>
        <w:t xml:space="preserve">  </w:t>
      </w:r>
      <m:oMath>
        <m:r>
          <w:rPr>
            <w:rFonts w:ascii="Cambria Math" w:hAnsi="Cambria Math"/>
          </w:rPr>
          <m:t>k</m:t>
        </m:r>
      </m:oMath>
      <w:r>
        <w:t xml:space="preserve"> is the wavenumber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D85420" w:rsidTr="005519E0">
        <w:tc>
          <w:tcPr>
            <w:tcW w:w="6804" w:type="dxa"/>
          </w:tcPr>
          <w:p w:rsidR="00D85420" w:rsidRPr="008E2476" w:rsidRDefault="00D75640"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D85420" w:rsidRDefault="00D85420" w:rsidP="00D75640">
            <w:pPr>
              <w:pStyle w:val="BodyText"/>
              <w:ind w:firstLine="0"/>
              <w:jc w:val="right"/>
            </w:pPr>
            <w:r>
              <w:t>(2.23)</w:t>
            </w:r>
          </w:p>
        </w:tc>
      </w:tr>
      <w:tr w:rsidR="00D85420" w:rsidTr="005519E0">
        <w:tc>
          <w:tcPr>
            <w:tcW w:w="6804" w:type="dxa"/>
          </w:tcPr>
          <w:p w:rsidR="00D85420" w:rsidRPr="008E2476" w:rsidRDefault="00D75640"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D85420" w:rsidRDefault="00D85420" w:rsidP="00D75640">
            <w:pPr>
              <w:pStyle w:val="BodyText"/>
              <w:ind w:firstLine="0"/>
              <w:jc w:val="right"/>
            </w:pPr>
            <w:r>
              <w:t>(2.24)</w:t>
            </w:r>
          </w:p>
        </w:tc>
      </w:tr>
    </w:tbl>
    <w:p w:rsidR="00D85420" w:rsidRDefault="00D85420" w:rsidP="001E4300">
      <w:pPr>
        <w:pStyle w:val="BodyText"/>
        <w:ind w:firstLine="0"/>
        <w:jc w:val="both"/>
      </w:pPr>
      <w:r>
        <w:t xml:space="preserve">With the radius of the particle given by </w:t>
      </w:r>
      <m:oMath>
        <m:r>
          <w:rPr>
            <w:rFonts w:ascii="Cambria Math" w:hAnsi="Cambria Math"/>
          </w:rPr>
          <m:t>r</m:t>
        </m:r>
      </m:oMath>
      <w:r>
        <w:t xml:space="preserve">, n is the index of refraction of air,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w:t>
      </w:r>
      <w:r>
        <w:lastRenderedPageBreak/>
        <w:t>kind respectively. The phase function for Mie scatter for a vector solution has the following form (</w:t>
      </w:r>
      <w:r>
        <w:rPr>
          <w:i/>
        </w:rPr>
        <w:t>Hansen and Travis</w:t>
      </w:r>
      <w:r>
        <w:t xml:space="preserve">, 1974) </w:t>
      </w:r>
    </w:p>
    <w:tbl>
      <w:tblPr>
        <w:tblStyle w:val="TableGrid"/>
        <w:tblW w:w="9641" w:type="dxa"/>
        <w:tblLook w:val="04A0" w:firstRow="1" w:lastRow="0" w:firstColumn="1" w:lastColumn="0" w:noHBand="0" w:noVBand="1"/>
      </w:tblPr>
      <w:tblGrid>
        <w:gridCol w:w="8364"/>
        <w:gridCol w:w="1277"/>
      </w:tblGrid>
      <w:tr w:rsidR="00D85420" w:rsidTr="00136819">
        <w:tc>
          <w:tcPr>
            <w:tcW w:w="8364" w:type="dxa"/>
            <w:tcBorders>
              <w:top w:val="nil"/>
              <w:left w:val="nil"/>
              <w:bottom w:val="nil"/>
              <w:right w:val="nil"/>
            </w:tcBorders>
          </w:tcPr>
          <w:p w:rsidR="00D85420" w:rsidRPr="008E2476" w:rsidRDefault="00D75640" w:rsidP="0013681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277" w:type="dxa"/>
            <w:tcBorders>
              <w:top w:val="nil"/>
              <w:left w:val="nil"/>
              <w:bottom w:val="nil"/>
              <w:right w:val="nil"/>
            </w:tcBorders>
            <w:vAlign w:val="center"/>
          </w:tcPr>
          <w:p w:rsidR="00D85420" w:rsidRDefault="00D85420" w:rsidP="00D75640">
            <w:pPr>
              <w:pStyle w:val="BodyText"/>
              <w:ind w:left="32" w:hanging="32"/>
              <w:jc w:val="right"/>
            </w:pPr>
            <w:r>
              <w:t>(2.25)</w:t>
            </w:r>
          </w:p>
        </w:tc>
      </w:tr>
    </w:tbl>
    <w:p w:rsidR="00D85420" w:rsidRDefault="00D85420" w:rsidP="001E4300">
      <w:pPr>
        <w:pStyle w:val="BodyText"/>
        <w:ind w:firstLine="0"/>
        <w:jc w:val="both"/>
      </w:pPr>
      <w:r>
        <w:t xml:space="preserve">The terms in the phase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D85420" w:rsidTr="001E4300">
        <w:tc>
          <w:tcPr>
            <w:tcW w:w="6804" w:type="dxa"/>
          </w:tcPr>
          <w:p w:rsidR="00D85420" w:rsidRPr="008E2476" w:rsidRDefault="00D75640"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D85420" w:rsidRDefault="00D85420" w:rsidP="00D75640">
            <w:pPr>
              <w:pStyle w:val="BodyText"/>
              <w:ind w:firstLine="0"/>
              <w:jc w:val="right"/>
            </w:pPr>
            <w:r>
              <w:t>(2.26)</w:t>
            </w:r>
          </w:p>
        </w:tc>
      </w:tr>
      <w:tr w:rsidR="00D85420" w:rsidTr="001E4300">
        <w:tc>
          <w:tcPr>
            <w:tcW w:w="6804" w:type="dxa"/>
          </w:tcPr>
          <w:p w:rsidR="00D85420" w:rsidRPr="008E2476" w:rsidRDefault="00D75640"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D85420" w:rsidRDefault="00D85420" w:rsidP="00D75640">
            <w:pPr>
              <w:pStyle w:val="BodyText"/>
              <w:ind w:firstLine="0"/>
              <w:jc w:val="right"/>
            </w:pPr>
            <w:r>
              <w:t>(2.27)</w:t>
            </w:r>
          </w:p>
        </w:tc>
      </w:tr>
    </w:tbl>
    <w:p w:rsidR="00D85420" w:rsidRDefault="00D85420" w:rsidP="001E4300">
      <w:pPr>
        <w:pStyle w:val="BodyText"/>
        <w:ind w:firstLine="0"/>
        <w:jc w:val="both"/>
      </w:pPr>
      <w:proofErr w:type="gramStart"/>
      <w:r>
        <w:t>where</w:t>
      </w:r>
      <w:proofErr w:type="gramEnd"/>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rsidR="00D85420" w:rsidRDefault="00D85420"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D85420" w:rsidTr="00C23298">
        <w:tc>
          <w:tcPr>
            <w:tcW w:w="6804" w:type="dxa"/>
            <w:tcBorders>
              <w:top w:val="nil"/>
              <w:left w:val="nil"/>
              <w:bottom w:val="nil"/>
              <w:right w:val="nil"/>
            </w:tcBorders>
          </w:tcPr>
          <w:p w:rsidR="00D85420" w:rsidRPr="008E2476" w:rsidRDefault="00D75640"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rsidR="00D85420" w:rsidRDefault="00D85420" w:rsidP="00D75640">
            <w:pPr>
              <w:pStyle w:val="BodyText"/>
              <w:ind w:firstLine="0"/>
              <w:jc w:val="right"/>
            </w:pPr>
            <w:r>
              <w:t>(2.28)</w:t>
            </w:r>
          </w:p>
        </w:tc>
      </w:tr>
    </w:tbl>
    <w:p w:rsidR="00D85420" w:rsidRDefault="00D85420" w:rsidP="00C452B7">
      <w:pPr>
        <w:pStyle w:val="BodyText"/>
        <w:ind w:firstLine="0"/>
        <w:jc w:val="both"/>
      </w:pPr>
      <w:r>
        <w:t>The weighted average is similarly performed to determine the effective phase function for a particle size distribution.</w:t>
      </w:r>
    </w:p>
    <w:p w:rsidR="00D85420" w:rsidRPr="00905A0C" w:rsidRDefault="00D85420" w:rsidP="00B07DF7">
      <w:pPr>
        <w:pStyle w:val="BodyText"/>
        <w:jc w:val="both"/>
      </w:pPr>
      <w:r>
        <w:t xml:space="preserve">It should be noted that although the theory is well founded to calculate the Mie scattering cross sections and phase functions, in practice it is computationally intensive since the terms consist of infinite sums. Work done by </w:t>
      </w:r>
      <w:proofErr w:type="spellStart"/>
      <w:r>
        <w:rPr>
          <w:i/>
        </w:rPr>
        <w:t>Wiscombe</w:t>
      </w:r>
      <w:proofErr w:type="spellEnd"/>
      <w:r>
        <w:t xml:space="preserve"> (1980) has allowed for effective computation of the Mie scattering coefficients, which has been implemented into the SASKTRAN radiative transfer engine.</w:t>
      </w:r>
    </w:p>
    <w:p w:rsidR="00D85420" w:rsidRDefault="00D85420" w:rsidP="00BA54C2">
      <w:pPr>
        <w:pStyle w:val="Heading2"/>
      </w:pPr>
      <w:bookmarkStart w:id="32" w:name="_Toc440031435"/>
      <w:r>
        <w:lastRenderedPageBreak/>
        <w:t>2.4.5 SASKTRAN Radiative Transfer Model</w:t>
      </w:r>
      <w:bookmarkEnd w:id="32"/>
    </w:p>
    <w:p w:rsidR="00D85420" w:rsidRDefault="00D85420" w:rsidP="00AB70C3">
      <w:pPr>
        <w:pStyle w:val="BodyText"/>
        <w:jc w:val="both"/>
      </w:pPr>
      <w:r>
        <w:t>The SASKTRAN radiative transfer was first developed to solve the scaler radiative transfer equation in a fully spherical atmosphere for both single and multiple scatter with a one dimensional atmosphere (</w:t>
      </w:r>
      <w:r w:rsidRPr="005C4C73">
        <w:rPr>
          <w:i/>
        </w:rPr>
        <w:t>Bourassa et al</w:t>
      </w:r>
      <w:r>
        <w:t>., 2008). The first source term</w:t>
      </w:r>
      <w:proofErr w:type="gramStart"/>
      <w:r>
        <w:t xml:space="preserve">, </w:t>
      </w:r>
      <w:proofErr w:type="gramEnd"/>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from the radiance from the sun which is assumed to encounter the earth in parallel </w:t>
      </w:r>
      <w:proofErr w:type="spellStart"/>
      <w:r>
        <w:t>unpolarized</w:t>
      </w:r>
      <w:proofErr w:type="spellEnd"/>
      <w:r>
        <w:t xml:space="preserve"> rays. Higher order source terms are based off of the scattering within the atmosphere to produce the diffuse radiance, however it is impractical to calculate the radiance at every point in the atmosphere. Instead, a series of diffuse radiance profiles are used to simulate the diffuse radiance term.  Another important assumption in the SASKTRAN model is that the ground reflection is assumed to have a </w:t>
      </w:r>
      <w:proofErr w:type="spellStart"/>
      <w:r>
        <w:t>Lambertian</w:t>
      </w:r>
      <w:proofErr w:type="spellEnd"/>
      <w:r>
        <w:t xml:space="preserve"> unpolarizing distribution when any radiance encounters the surface of the earth is reflected at an efficiency, </w:t>
      </w:r>
      <m:oMath>
        <m:r>
          <w:rPr>
            <w:rFonts w:ascii="Cambria Math" w:hAnsi="Cambria Math"/>
          </w:rPr>
          <m:t>a</m:t>
        </m:r>
      </m:oMath>
      <w:r>
        <w:t xml:space="preserve"> known as the albedo, and is evenly distributed in all directions.</w:t>
      </w:r>
    </w:p>
    <w:p w:rsidR="00D85420" w:rsidRDefault="00D85420" w:rsidP="00AB70C3">
      <w:pPr>
        <w:pStyle w:val="BodyText"/>
        <w:jc w:val="both"/>
      </w:pPr>
      <w:r>
        <w:t>Recent upgrades have been performed on SASKTRAN and have led to a new engine known as SASKTRAN High Resolution model or SASKTRAN-HR (</w:t>
      </w:r>
      <w:proofErr w:type="spellStart"/>
      <w:r w:rsidRPr="005C4C73">
        <w:rPr>
          <w:i/>
        </w:rPr>
        <w:t>Zawada</w:t>
      </w:r>
      <w:proofErr w:type="spellEnd"/>
      <w:r w:rsidRPr="005C4C73">
        <w:rPr>
          <w:i/>
        </w:rPr>
        <w:t xml:space="preserve"> et al.</w:t>
      </w:r>
      <w:r>
        <w:t xml:space="preserve">, 2015) which has expanded the model to be able to perform radiative transfer calculations with a fully three dimensional atmosphere. This update allows the model to vary the atmospheric concentration in the model not just in the vertical direction, like the original SASKTRAN, but in both of the horizontal geometries, allowing for a variance seen in the atmosphere. </w:t>
      </w:r>
    </w:p>
    <w:p w:rsidR="00D85420" w:rsidRPr="00BA54C2" w:rsidRDefault="00D85420" w:rsidP="00AB70C3">
      <w:pPr>
        <w:pStyle w:val="BodyText"/>
        <w:jc w:val="both"/>
      </w:pPr>
      <w:r>
        <w:t>The most important update to the SASKTRAN-HR model for this work is the addition to calculate the vector or polarized radiances (</w:t>
      </w:r>
      <w:proofErr w:type="spellStart"/>
      <w:r w:rsidRPr="005C4C73">
        <w:rPr>
          <w:i/>
        </w:rPr>
        <w:t>Dueck</w:t>
      </w:r>
      <w:proofErr w:type="spellEnd"/>
      <w:r w:rsidRPr="005C4C73">
        <w:rPr>
          <w:i/>
        </w:rPr>
        <w:t xml:space="preserve"> et al.</w:t>
      </w:r>
      <w:r>
        <w:t xml:space="preserve">, 2015). Using the vector model allows for SASKTRAN to compute the Stokes vectors in the reference frame of the model, which can be rotated into any desired frame of reference through the use of a provided basis by SASKTRAN-HR. The polarization output from SASKTRAN-HR only preforms polarized calculations up to the third order scattering interaction and all subsequent orders are assumed to be scaler. </w:t>
      </w:r>
    </w:p>
    <w:p w:rsidR="00D85420" w:rsidRDefault="00D85420" w:rsidP="003D416A">
      <w:pPr>
        <w:pStyle w:val="Heading1"/>
      </w:pPr>
      <w:bookmarkStart w:id="33" w:name="_Toc440031436"/>
      <w:r>
        <w:lastRenderedPageBreak/>
        <w:t>2.5 ALI Prototype and Stratospheric Balloon Flight</w:t>
      </w:r>
      <w:bookmarkEnd w:id="33"/>
    </w:p>
    <w:bookmarkEnd w:id="10"/>
    <w:bookmarkEnd w:id="11"/>
    <w:bookmarkEnd w:id="12"/>
    <w:p w:rsidR="00D85420" w:rsidRPr="00BA54C2" w:rsidRDefault="00D85420" w:rsidP="00F84215">
      <w:pPr>
        <w:pStyle w:val="BodyText"/>
        <w:jc w:val="both"/>
        <w:rPr>
          <w:lang w:val="en-CA"/>
        </w:rPr>
        <w:sectPr w:rsidR="00D85420" w:rsidRPr="00BA54C2" w:rsidSect="00880845">
          <w:headerReference w:type="default" r:id="rId13"/>
          <w:footerReference w:type="first" r:id="rId14"/>
          <w:pgSz w:w="12240" w:h="15840" w:code="1"/>
          <w:pgMar w:top="1440" w:right="1440" w:bottom="1440" w:left="1440" w:header="720" w:footer="720" w:gutter="0"/>
          <w:cols w:space="720"/>
          <w:titlePg/>
        </w:sectPr>
      </w:pPr>
      <w:r>
        <w:t xml:space="preserve">New satellite instrumentation will be necessary to continue the stratospheric aerosol data set, especially since the current generation of remote sensing instruments are aging and are operating well beyond their designed lifetimes. One such instrument proposed to fulfill this role is the Aerosol Limb Imager (ALI) which will image the atmosphere in a limb scatter geometry and with the correct orbit able to achieve daily global aerosol extinctions. In order to achieve the imaging of the atmosphere an AOTF will be used which will complicate the optical design and has not been well tested in a space environment. However, before a satellite mission can be considered, a proof of concept or prototype mission needs to be undergone to verify feasibility of the technology. This work will entail the designing, fabricating, building, and calibrating of a prototype ALI instrument which will be discussed in chapter 3. Another important aspect of ALI is that the measurements are inherently polarized due to the nature of the AOTF and chapter 4 will perform a study to determine the best geometry and polarization for a future satellite or balloon missions. When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which is the focus of chapter 5. </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B31" w:rsidRDefault="002E1B31">
      <w:r>
        <w:separator/>
      </w:r>
    </w:p>
  </w:endnote>
  <w:endnote w:type="continuationSeparator" w:id="0">
    <w:p w:rsidR="002E1B31" w:rsidRDefault="002E1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640" w:rsidRDefault="00D75640">
    <w:pPr>
      <w:pStyle w:val="Footer"/>
    </w:pPr>
    <w:r>
      <w:rPr>
        <w:rStyle w:val="PageNumber"/>
      </w:rPr>
      <w:fldChar w:fldCharType="begin"/>
    </w:r>
    <w:r>
      <w:rPr>
        <w:rStyle w:val="PageNumber"/>
      </w:rPr>
      <w:instrText xml:space="preserve"> PAGE </w:instrText>
    </w:r>
    <w:r>
      <w:rPr>
        <w:rStyle w:val="PageNumber"/>
      </w:rPr>
      <w:fldChar w:fldCharType="separate"/>
    </w:r>
    <w:r w:rsidR="00F816E7">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640" w:rsidRDefault="00D7564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B31" w:rsidRDefault="002E1B31">
      <w:r>
        <w:separator/>
      </w:r>
    </w:p>
  </w:footnote>
  <w:footnote w:type="continuationSeparator" w:id="0">
    <w:p w:rsidR="002E1B31" w:rsidRDefault="002E1B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640" w:rsidRDefault="00D75640">
    <w:pPr>
      <w:pStyle w:val="Header"/>
    </w:pPr>
    <w:r>
      <w:rPr>
        <w:rStyle w:val="PageNumber"/>
      </w:rPr>
      <w:fldChar w:fldCharType="begin"/>
    </w:r>
    <w:r>
      <w:rPr>
        <w:rStyle w:val="PageNumber"/>
      </w:rPr>
      <w:instrText xml:space="preserve"> PAGE </w:instrText>
    </w:r>
    <w:r>
      <w:rPr>
        <w:rStyle w:val="PageNumber"/>
      </w:rPr>
      <w:fldChar w:fldCharType="separate"/>
    </w:r>
    <w:r w:rsidR="00F816E7">
      <w:rPr>
        <w:rStyle w:val="PageNumber"/>
        <w:noProof/>
      </w:rPr>
      <w:t>9</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640" w:rsidRDefault="00D75640">
    <w:pPr>
      <w:pStyle w:val="Header"/>
    </w:pPr>
    <w:r>
      <w:rPr>
        <w:rStyle w:val="PageNumber"/>
      </w:rPr>
      <w:fldChar w:fldCharType="begin"/>
    </w:r>
    <w:r>
      <w:rPr>
        <w:rStyle w:val="PageNumber"/>
      </w:rPr>
      <w:instrText xml:space="preserve"> PAGE </w:instrText>
    </w:r>
    <w:r>
      <w:rPr>
        <w:rStyle w:val="PageNumber"/>
      </w:rPr>
      <w:fldChar w:fldCharType="separate"/>
    </w:r>
    <w:r w:rsidR="008A0BC4">
      <w:rPr>
        <w:rStyle w:val="PageNumber"/>
        <w:noProof/>
      </w:rPr>
      <w:t>26</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36320"/>
    <w:rsid w:val="00040164"/>
    <w:rsid w:val="00041D8F"/>
    <w:rsid w:val="00043A8D"/>
    <w:rsid w:val="00046089"/>
    <w:rsid w:val="00046371"/>
    <w:rsid w:val="0005342F"/>
    <w:rsid w:val="00053524"/>
    <w:rsid w:val="00060EA7"/>
    <w:rsid w:val="00067D98"/>
    <w:rsid w:val="000733D8"/>
    <w:rsid w:val="00074E92"/>
    <w:rsid w:val="000815C8"/>
    <w:rsid w:val="00091C09"/>
    <w:rsid w:val="000927B6"/>
    <w:rsid w:val="00095F11"/>
    <w:rsid w:val="00097F5B"/>
    <w:rsid w:val="000B7578"/>
    <w:rsid w:val="000C4288"/>
    <w:rsid w:val="000C438C"/>
    <w:rsid w:val="000D5FAB"/>
    <w:rsid w:val="000E00D9"/>
    <w:rsid w:val="000E7F58"/>
    <w:rsid w:val="00126FBA"/>
    <w:rsid w:val="00131AE2"/>
    <w:rsid w:val="00132E7F"/>
    <w:rsid w:val="0013370E"/>
    <w:rsid w:val="001345CF"/>
    <w:rsid w:val="00136819"/>
    <w:rsid w:val="00137DE4"/>
    <w:rsid w:val="00145EE4"/>
    <w:rsid w:val="00151ED9"/>
    <w:rsid w:val="00153059"/>
    <w:rsid w:val="00157783"/>
    <w:rsid w:val="00160D81"/>
    <w:rsid w:val="00164350"/>
    <w:rsid w:val="00172D78"/>
    <w:rsid w:val="00173883"/>
    <w:rsid w:val="0017417B"/>
    <w:rsid w:val="001760E7"/>
    <w:rsid w:val="00176DE8"/>
    <w:rsid w:val="00177C4A"/>
    <w:rsid w:val="001A33E5"/>
    <w:rsid w:val="001A53CB"/>
    <w:rsid w:val="001A647C"/>
    <w:rsid w:val="001A6DB6"/>
    <w:rsid w:val="001C2D1D"/>
    <w:rsid w:val="001C69C9"/>
    <w:rsid w:val="001D03E8"/>
    <w:rsid w:val="001E4300"/>
    <w:rsid w:val="001E71EE"/>
    <w:rsid w:val="001F39B3"/>
    <w:rsid w:val="001F6448"/>
    <w:rsid w:val="0020299E"/>
    <w:rsid w:val="0020552C"/>
    <w:rsid w:val="002076F6"/>
    <w:rsid w:val="00215600"/>
    <w:rsid w:val="002156CE"/>
    <w:rsid w:val="002163A1"/>
    <w:rsid w:val="00222BE7"/>
    <w:rsid w:val="002277ED"/>
    <w:rsid w:val="002347DA"/>
    <w:rsid w:val="002362EA"/>
    <w:rsid w:val="00250BEC"/>
    <w:rsid w:val="00256D95"/>
    <w:rsid w:val="00267F43"/>
    <w:rsid w:val="0028014F"/>
    <w:rsid w:val="002A3A79"/>
    <w:rsid w:val="002A4AD3"/>
    <w:rsid w:val="002B1B85"/>
    <w:rsid w:val="002B3FC6"/>
    <w:rsid w:val="002B54E1"/>
    <w:rsid w:val="002B638F"/>
    <w:rsid w:val="002C2E94"/>
    <w:rsid w:val="002D6CE5"/>
    <w:rsid w:val="002D78AB"/>
    <w:rsid w:val="002E1B31"/>
    <w:rsid w:val="002F128C"/>
    <w:rsid w:val="002F308D"/>
    <w:rsid w:val="002F7F31"/>
    <w:rsid w:val="00306434"/>
    <w:rsid w:val="00314761"/>
    <w:rsid w:val="00342CD1"/>
    <w:rsid w:val="0035331A"/>
    <w:rsid w:val="0036776F"/>
    <w:rsid w:val="003679D5"/>
    <w:rsid w:val="00371DAA"/>
    <w:rsid w:val="00372AC4"/>
    <w:rsid w:val="003774F7"/>
    <w:rsid w:val="00391DFA"/>
    <w:rsid w:val="00394B95"/>
    <w:rsid w:val="00396EA0"/>
    <w:rsid w:val="003A1A1B"/>
    <w:rsid w:val="003A4D25"/>
    <w:rsid w:val="003A7905"/>
    <w:rsid w:val="003B6ADF"/>
    <w:rsid w:val="003C26E2"/>
    <w:rsid w:val="003C7A0A"/>
    <w:rsid w:val="003D416A"/>
    <w:rsid w:val="003E038B"/>
    <w:rsid w:val="003E0CAD"/>
    <w:rsid w:val="003E5AF4"/>
    <w:rsid w:val="003F21A7"/>
    <w:rsid w:val="00407445"/>
    <w:rsid w:val="004107CB"/>
    <w:rsid w:val="0041162C"/>
    <w:rsid w:val="00411BF9"/>
    <w:rsid w:val="00412EF1"/>
    <w:rsid w:val="00414BD2"/>
    <w:rsid w:val="004201A4"/>
    <w:rsid w:val="00426B4C"/>
    <w:rsid w:val="0043492C"/>
    <w:rsid w:val="00443119"/>
    <w:rsid w:val="00453BB8"/>
    <w:rsid w:val="00460D75"/>
    <w:rsid w:val="00461A81"/>
    <w:rsid w:val="004663A6"/>
    <w:rsid w:val="00466D03"/>
    <w:rsid w:val="00480B90"/>
    <w:rsid w:val="0048475C"/>
    <w:rsid w:val="00491D13"/>
    <w:rsid w:val="0049258B"/>
    <w:rsid w:val="004A5F24"/>
    <w:rsid w:val="004A667E"/>
    <w:rsid w:val="004A66F3"/>
    <w:rsid w:val="004A68D5"/>
    <w:rsid w:val="004A73FA"/>
    <w:rsid w:val="004B0A47"/>
    <w:rsid w:val="004D4F13"/>
    <w:rsid w:val="004E0A29"/>
    <w:rsid w:val="0050336A"/>
    <w:rsid w:val="005210D8"/>
    <w:rsid w:val="005344FB"/>
    <w:rsid w:val="005349CC"/>
    <w:rsid w:val="005404DD"/>
    <w:rsid w:val="00542D3D"/>
    <w:rsid w:val="00544EBD"/>
    <w:rsid w:val="00547C57"/>
    <w:rsid w:val="005519E0"/>
    <w:rsid w:val="005530E3"/>
    <w:rsid w:val="00554BBB"/>
    <w:rsid w:val="00556C7F"/>
    <w:rsid w:val="005574C5"/>
    <w:rsid w:val="005577B0"/>
    <w:rsid w:val="00565F67"/>
    <w:rsid w:val="00591F92"/>
    <w:rsid w:val="005B3B3A"/>
    <w:rsid w:val="005B3C39"/>
    <w:rsid w:val="005C2A3E"/>
    <w:rsid w:val="005C4C73"/>
    <w:rsid w:val="005D7098"/>
    <w:rsid w:val="005E36A6"/>
    <w:rsid w:val="005F331B"/>
    <w:rsid w:val="005F360B"/>
    <w:rsid w:val="005F41A7"/>
    <w:rsid w:val="005F5809"/>
    <w:rsid w:val="006008D1"/>
    <w:rsid w:val="006069EB"/>
    <w:rsid w:val="0061633B"/>
    <w:rsid w:val="006310FC"/>
    <w:rsid w:val="00632071"/>
    <w:rsid w:val="006357D5"/>
    <w:rsid w:val="006363C6"/>
    <w:rsid w:val="0065605C"/>
    <w:rsid w:val="00657F5B"/>
    <w:rsid w:val="00673EC3"/>
    <w:rsid w:val="006811BF"/>
    <w:rsid w:val="00681468"/>
    <w:rsid w:val="006849E7"/>
    <w:rsid w:val="006863A3"/>
    <w:rsid w:val="00691E8F"/>
    <w:rsid w:val="00694A40"/>
    <w:rsid w:val="006A6BAE"/>
    <w:rsid w:val="006B1F6F"/>
    <w:rsid w:val="006B3917"/>
    <w:rsid w:val="006B504D"/>
    <w:rsid w:val="006C3DDF"/>
    <w:rsid w:val="006C6C70"/>
    <w:rsid w:val="006D701F"/>
    <w:rsid w:val="007066DF"/>
    <w:rsid w:val="007072D3"/>
    <w:rsid w:val="007233F9"/>
    <w:rsid w:val="00723B36"/>
    <w:rsid w:val="00732017"/>
    <w:rsid w:val="00742E7C"/>
    <w:rsid w:val="00747DB9"/>
    <w:rsid w:val="00751AB8"/>
    <w:rsid w:val="0076182D"/>
    <w:rsid w:val="00763F00"/>
    <w:rsid w:val="00774BC7"/>
    <w:rsid w:val="00775170"/>
    <w:rsid w:val="00776349"/>
    <w:rsid w:val="00781FF2"/>
    <w:rsid w:val="0079593C"/>
    <w:rsid w:val="007971E4"/>
    <w:rsid w:val="007A011B"/>
    <w:rsid w:val="007A37B4"/>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442C6"/>
    <w:rsid w:val="008470B9"/>
    <w:rsid w:val="00851023"/>
    <w:rsid w:val="00854A15"/>
    <w:rsid w:val="0085709F"/>
    <w:rsid w:val="00870629"/>
    <w:rsid w:val="00873FCE"/>
    <w:rsid w:val="00880845"/>
    <w:rsid w:val="00883C1D"/>
    <w:rsid w:val="008923B0"/>
    <w:rsid w:val="00892B43"/>
    <w:rsid w:val="00897065"/>
    <w:rsid w:val="008A0BC4"/>
    <w:rsid w:val="008B03AD"/>
    <w:rsid w:val="008B09FC"/>
    <w:rsid w:val="008B0FCA"/>
    <w:rsid w:val="008B506A"/>
    <w:rsid w:val="008B64A9"/>
    <w:rsid w:val="008C284A"/>
    <w:rsid w:val="008C65D4"/>
    <w:rsid w:val="008C71CD"/>
    <w:rsid w:val="008D2841"/>
    <w:rsid w:val="008D2EA7"/>
    <w:rsid w:val="008E2476"/>
    <w:rsid w:val="008E7462"/>
    <w:rsid w:val="008F4FCA"/>
    <w:rsid w:val="009007CE"/>
    <w:rsid w:val="009011EF"/>
    <w:rsid w:val="00905A0C"/>
    <w:rsid w:val="009123D8"/>
    <w:rsid w:val="0092469B"/>
    <w:rsid w:val="0093015B"/>
    <w:rsid w:val="00935626"/>
    <w:rsid w:val="00935A8D"/>
    <w:rsid w:val="00935F44"/>
    <w:rsid w:val="00937999"/>
    <w:rsid w:val="00946EAE"/>
    <w:rsid w:val="0095383B"/>
    <w:rsid w:val="00954FF1"/>
    <w:rsid w:val="00960AEC"/>
    <w:rsid w:val="00963F07"/>
    <w:rsid w:val="0096567F"/>
    <w:rsid w:val="00991614"/>
    <w:rsid w:val="009A0793"/>
    <w:rsid w:val="009B75AC"/>
    <w:rsid w:val="009C0863"/>
    <w:rsid w:val="009C3CFE"/>
    <w:rsid w:val="009C65F3"/>
    <w:rsid w:val="009D4D5E"/>
    <w:rsid w:val="009D70A2"/>
    <w:rsid w:val="009D71BA"/>
    <w:rsid w:val="009E7760"/>
    <w:rsid w:val="009F0B87"/>
    <w:rsid w:val="00A00858"/>
    <w:rsid w:val="00A00AE4"/>
    <w:rsid w:val="00A15663"/>
    <w:rsid w:val="00A24B7F"/>
    <w:rsid w:val="00A27C38"/>
    <w:rsid w:val="00A32036"/>
    <w:rsid w:val="00A32789"/>
    <w:rsid w:val="00A35C53"/>
    <w:rsid w:val="00A37415"/>
    <w:rsid w:val="00A4291E"/>
    <w:rsid w:val="00A44BDC"/>
    <w:rsid w:val="00A50433"/>
    <w:rsid w:val="00A52F0C"/>
    <w:rsid w:val="00A7651A"/>
    <w:rsid w:val="00A8371D"/>
    <w:rsid w:val="00A9281F"/>
    <w:rsid w:val="00A9748A"/>
    <w:rsid w:val="00AA52AA"/>
    <w:rsid w:val="00AA73D0"/>
    <w:rsid w:val="00AB39E6"/>
    <w:rsid w:val="00AB70C3"/>
    <w:rsid w:val="00AC2ED8"/>
    <w:rsid w:val="00AC318C"/>
    <w:rsid w:val="00AC5A39"/>
    <w:rsid w:val="00AC70A5"/>
    <w:rsid w:val="00AD10A6"/>
    <w:rsid w:val="00AE787B"/>
    <w:rsid w:val="00AF1C14"/>
    <w:rsid w:val="00B03693"/>
    <w:rsid w:val="00B03810"/>
    <w:rsid w:val="00B07B0C"/>
    <w:rsid w:val="00B07DF7"/>
    <w:rsid w:val="00B23BA9"/>
    <w:rsid w:val="00B27CF1"/>
    <w:rsid w:val="00B30D38"/>
    <w:rsid w:val="00B439C6"/>
    <w:rsid w:val="00B4668D"/>
    <w:rsid w:val="00B54433"/>
    <w:rsid w:val="00B61652"/>
    <w:rsid w:val="00B648AE"/>
    <w:rsid w:val="00B65FEF"/>
    <w:rsid w:val="00B73279"/>
    <w:rsid w:val="00B83AF5"/>
    <w:rsid w:val="00B87FEE"/>
    <w:rsid w:val="00B90AA2"/>
    <w:rsid w:val="00BA46A1"/>
    <w:rsid w:val="00BA54C2"/>
    <w:rsid w:val="00BA68D4"/>
    <w:rsid w:val="00BB1654"/>
    <w:rsid w:val="00BD1ABC"/>
    <w:rsid w:val="00C23298"/>
    <w:rsid w:val="00C452B7"/>
    <w:rsid w:val="00C53FD1"/>
    <w:rsid w:val="00C5731C"/>
    <w:rsid w:val="00C65F0D"/>
    <w:rsid w:val="00C67D1F"/>
    <w:rsid w:val="00CA402F"/>
    <w:rsid w:val="00CA6687"/>
    <w:rsid w:val="00CB3CBE"/>
    <w:rsid w:val="00CB6418"/>
    <w:rsid w:val="00CB7E85"/>
    <w:rsid w:val="00CC3714"/>
    <w:rsid w:val="00CC6677"/>
    <w:rsid w:val="00CD347B"/>
    <w:rsid w:val="00CD48EF"/>
    <w:rsid w:val="00CE1F87"/>
    <w:rsid w:val="00CE2D48"/>
    <w:rsid w:val="00CE368C"/>
    <w:rsid w:val="00CE3695"/>
    <w:rsid w:val="00D142BD"/>
    <w:rsid w:val="00D15330"/>
    <w:rsid w:val="00D22465"/>
    <w:rsid w:val="00D266E7"/>
    <w:rsid w:val="00D400FE"/>
    <w:rsid w:val="00D4123E"/>
    <w:rsid w:val="00D4722C"/>
    <w:rsid w:val="00D505EA"/>
    <w:rsid w:val="00D54B14"/>
    <w:rsid w:val="00D70117"/>
    <w:rsid w:val="00D72942"/>
    <w:rsid w:val="00D75640"/>
    <w:rsid w:val="00D838FE"/>
    <w:rsid w:val="00D85420"/>
    <w:rsid w:val="00DA1E49"/>
    <w:rsid w:val="00DB3618"/>
    <w:rsid w:val="00DB4562"/>
    <w:rsid w:val="00DB570A"/>
    <w:rsid w:val="00DC5BC6"/>
    <w:rsid w:val="00DD22CA"/>
    <w:rsid w:val="00DD3820"/>
    <w:rsid w:val="00DE0162"/>
    <w:rsid w:val="00DE77F4"/>
    <w:rsid w:val="00DF2E6A"/>
    <w:rsid w:val="00DF5010"/>
    <w:rsid w:val="00E00F68"/>
    <w:rsid w:val="00E00FBB"/>
    <w:rsid w:val="00E01DAF"/>
    <w:rsid w:val="00E10A8C"/>
    <w:rsid w:val="00E15F55"/>
    <w:rsid w:val="00E32974"/>
    <w:rsid w:val="00E46E53"/>
    <w:rsid w:val="00E56F94"/>
    <w:rsid w:val="00E57BFF"/>
    <w:rsid w:val="00E64D22"/>
    <w:rsid w:val="00E6623B"/>
    <w:rsid w:val="00E665AB"/>
    <w:rsid w:val="00E751D0"/>
    <w:rsid w:val="00E76A3F"/>
    <w:rsid w:val="00E914CB"/>
    <w:rsid w:val="00EA1644"/>
    <w:rsid w:val="00EA5DCF"/>
    <w:rsid w:val="00EA7004"/>
    <w:rsid w:val="00ED192E"/>
    <w:rsid w:val="00EE2E6D"/>
    <w:rsid w:val="00EE383C"/>
    <w:rsid w:val="00EE44B5"/>
    <w:rsid w:val="00F02A7F"/>
    <w:rsid w:val="00F077F1"/>
    <w:rsid w:val="00F30F3E"/>
    <w:rsid w:val="00F35D09"/>
    <w:rsid w:val="00F40467"/>
    <w:rsid w:val="00F429EE"/>
    <w:rsid w:val="00F45B80"/>
    <w:rsid w:val="00F473B3"/>
    <w:rsid w:val="00F47DAC"/>
    <w:rsid w:val="00F51EAE"/>
    <w:rsid w:val="00F60935"/>
    <w:rsid w:val="00F61DE4"/>
    <w:rsid w:val="00F67817"/>
    <w:rsid w:val="00F70CC6"/>
    <w:rsid w:val="00F7143A"/>
    <w:rsid w:val="00F764AB"/>
    <w:rsid w:val="00F816E7"/>
    <w:rsid w:val="00F84215"/>
    <w:rsid w:val="00F876B4"/>
    <w:rsid w:val="00F957A9"/>
    <w:rsid w:val="00F97C19"/>
    <w:rsid w:val="00FA4471"/>
    <w:rsid w:val="00FA7303"/>
    <w:rsid w:val="00FB1113"/>
    <w:rsid w:val="00FC2F7C"/>
    <w:rsid w:val="00FD3F87"/>
    <w:rsid w:val="00FD3F88"/>
    <w:rsid w:val="00FD736E"/>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60470-081F-4726-87AC-4F5A8A7B8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18946</TotalTime>
  <Pages>26</Pages>
  <Words>6558</Words>
  <Characters>37384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43855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183</cp:revision>
  <dcterms:created xsi:type="dcterms:W3CDTF">2015-08-27T21:13:00Z</dcterms:created>
  <dcterms:modified xsi:type="dcterms:W3CDTF">2016-02-02T01:07:00Z</dcterms:modified>
</cp:coreProperties>
</file>