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20" w:rsidRPr="007E1609" w:rsidRDefault="00D85420" w:rsidP="005B3B3A">
      <w:pPr>
        <w:pStyle w:val="ONEINCHSPACER"/>
        <w:spacing w:before="0"/>
        <w:jc w:val="center"/>
        <w:rPr>
          <w:sz w:val="36"/>
          <w:szCs w:val="36"/>
        </w:rPr>
      </w:pPr>
      <w:r w:rsidRPr="007E1609">
        <w:rPr>
          <w:sz w:val="36"/>
          <w:szCs w:val="36"/>
        </w:rPr>
        <w:t>CHAPTER 2</w:t>
      </w:r>
    </w:p>
    <w:p w:rsidR="00D85420" w:rsidRPr="007E1609" w:rsidRDefault="00D85420">
      <w:pPr>
        <w:pStyle w:val="CHAPTERTITLE"/>
        <w:rPr>
          <w:sz w:val="36"/>
          <w:szCs w:val="36"/>
        </w:rPr>
      </w:pPr>
      <w:bookmarkStart w:id="0" w:name="_Toc440031420"/>
      <w:r w:rsidRPr="007E1609">
        <w:rPr>
          <w:sz w:val="36"/>
          <w:szCs w:val="36"/>
        </w:rPr>
        <w:t>BACKGROUND</w:t>
      </w:r>
      <w:bookmarkEnd w:id="0"/>
    </w:p>
    <w:p w:rsidR="00D85420" w:rsidRDefault="00D85420" w:rsidP="007E1609">
      <w:pPr>
        <w:pStyle w:val="Heading1"/>
      </w:pPr>
      <w:bookmarkStart w:id="1" w:name="_Toc440031421"/>
      <w:r>
        <w:t>2.1 Introduction</w:t>
      </w:r>
      <w:bookmarkEnd w:id="1"/>
    </w:p>
    <w:p w:rsidR="00D85420" w:rsidRDefault="00D85420"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D85420" w:rsidRDefault="00D85420"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D85420" w:rsidRDefault="00D85420"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D85420" w:rsidRDefault="00D85420"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w:t>
      </w:r>
      <w:r>
        <w:lastRenderedPageBreak/>
        <w:t xml:space="preserve">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D85420" w:rsidRDefault="00D85420"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D85420" w:rsidRPr="008C65D4" w:rsidRDefault="00D85420"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D85420" w:rsidRDefault="00D85420" w:rsidP="007E1609">
      <w:pPr>
        <w:pStyle w:val="Heading1"/>
      </w:pPr>
      <w:bookmarkStart w:id="2" w:name="_Toc440031422"/>
      <w:r>
        <w:t>2.2 Stratospheric Aerosol</w:t>
      </w:r>
      <w:bookmarkEnd w:id="2"/>
    </w:p>
    <w:p w:rsidR="00D85420" w:rsidRDefault="00D85420"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w:t>
      </w:r>
      <w:r>
        <w:lastRenderedPageBreak/>
        <w:t>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D85420" w:rsidRDefault="00D85420"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 xml:space="preserve">(1961) though stratospheric balloon </w:t>
      </w:r>
      <w:proofErr w:type="spellStart"/>
      <w:r>
        <w:t>sondes</w:t>
      </w:r>
      <w:proofErr w:type="spellEnd"/>
      <w:r>
        <w:t>,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D85420" w:rsidRDefault="00D85420" w:rsidP="002347DA">
      <w:pPr>
        <w:pStyle w:val="Heading2"/>
      </w:pPr>
      <w:bookmarkStart w:id="3" w:name="_Toc440031423"/>
      <w:r>
        <w:lastRenderedPageBreak/>
        <w:t>2.2.1 Aerosol Sources and Microphysics</w:t>
      </w:r>
      <w:bookmarkEnd w:id="3"/>
    </w:p>
    <w:p w:rsidR="00D85420" w:rsidRDefault="00D85420"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D85420" w:rsidRDefault="00D85420"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D85420" w:rsidRDefault="00D85420"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processes of nucleation, evaporation and condensation </w:t>
      </w:r>
      <w:r>
        <w:rPr>
          <w:lang w:val="en-CA"/>
        </w:rPr>
        <w:lastRenderedPageBreak/>
        <w:t>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w:t>
            </w:r>
          </w:p>
        </w:tc>
      </w:tr>
    </w:tbl>
    <w:p w:rsidR="00D85420" w:rsidRDefault="00D85420"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BE7897">
        <w:rPr>
          <w:szCs w:val="24"/>
        </w:rPr>
        <w:t>Figure 2-</w:t>
      </w:r>
      <w:r w:rsidRPr="002362EA">
        <w:fldChar w:fldCharType="end"/>
      </w:r>
      <w:r>
        <w:t>.</w:t>
      </w:r>
    </w:p>
    <w:p w:rsidR="00D85420" w:rsidRDefault="00D85420" w:rsidP="0076182D">
      <w:pPr>
        <w:pStyle w:val="ListNumber"/>
        <w:spacing w:after="0" w:line="480" w:lineRule="auto"/>
        <w:ind w:left="0" w:firstLine="0"/>
        <w:jc w:val="both"/>
      </w:pPr>
      <w:r>
        <w:rPr>
          <w:noProof/>
          <w:lang w:val="en-CA" w:eastAsia="en-CA"/>
        </w:rPr>
        <w:drawing>
          <wp:inline distT="0" distB="0" distL="0" distR="0" wp14:anchorId="38212C6A" wp14:editId="6BB1AB02">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D85420" w:rsidRDefault="00D85420" w:rsidP="002362EA">
      <w:pPr>
        <w:jc w:val="center"/>
        <w:rPr>
          <w:sz w:val="24"/>
          <w:szCs w:val="24"/>
        </w:rPr>
      </w:pPr>
      <w:bookmarkStart w:id="4" w:name="_Ref432504734"/>
      <w:bookmarkStart w:id="5" w:name="_Toc435878541"/>
      <w:bookmarkStart w:id="6" w:name="_Toc439680412"/>
      <w:r w:rsidRPr="00A44BDC">
        <w:rPr>
          <w:b/>
          <w:sz w:val="24"/>
          <w:szCs w:val="24"/>
        </w:rPr>
        <w:t>Figure 2-</w:t>
      </w:r>
      <w:bookmarkEnd w:id="4"/>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5"/>
      <w:bookmarkEnd w:id="6"/>
    </w:p>
    <w:p w:rsidR="00D85420" w:rsidRDefault="00D85420" w:rsidP="009C3CFE">
      <w:pPr>
        <w:pStyle w:val="ListNumber"/>
        <w:keepNext/>
        <w:spacing w:after="0" w:line="480" w:lineRule="auto"/>
        <w:ind w:left="0" w:firstLine="0"/>
        <w:jc w:val="both"/>
      </w:pPr>
      <w:r>
        <w:rPr>
          <w:noProof/>
          <w:lang w:val="en-CA" w:eastAsia="en-CA"/>
        </w:rPr>
        <w:lastRenderedPageBreak/>
        <w:drawing>
          <wp:inline distT="0" distB="0" distL="0" distR="0" wp14:anchorId="19FA5707" wp14:editId="33E95F37">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D85420" w:rsidRPr="00DF5010" w:rsidRDefault="00D85420" w:rsidP="009C3CFE">
      <w:pPr>
        <w:jc w:val="center"/>
        <w:rPr>
          <w:sz w:val="24"/>
          <w:szCs w:val="24"/>
        </w:rPr>
      </w:pPr>
      <w:bookmarkStart w:id="7" w:name="_Ref432512315"/>
      <w:bookmarkStart w:id="8" w:name="_Toc435878542"/>
      <w:bookmarkStart w:id="9" w:name="_Toc439680413"/>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7"/>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8"/>
      <w:bookmarkEnd w:id="9"/>
    </w:p>
    <w:p w:rsidR="00D85420" w:rsidRPr="009C3CFE" w:rsidRDefault="00D85420" w:rsidP="009C3CFE">
      <w:pPr>
        <w:jc w:val="center"/>
        <w:rPr>
          <w:sz w:val="24"/>
          <w:szCs w:val="24"/>
        </w:rPr>
      </w:pPr>
    </w:p>
    <w:p w:rsidR="00D85420" w:rsidRDefault="00D85420" w:rsidP="00691E8F">
      <w:pPr>
        <w:pStyle w:val="ListNumber"/>
        <w:spacing w:after="0" w:line="480" w:lineRule="auto"/>
        <w:ind w:left="0" w:firstLine="0"/>
        <w:jc w:val="both"/>
      </w:pPr>
      <w:r>
        <w:tab/>
        <w:t xml:space="preserve">OPC have been used on board </w:t>
      </w:r>
      <w:proofErr w:type="spellStart"/>
      <w:r>
        <w:t>sondes</w:t>
      </w:r>
      <w:proofErr w:type="spellEnd"/>
      <w:r>
        <w:t xml:space="preserve">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parameters has increased to </w:t>
      </w:r>
      <w:r>
        <w:lastRenderedPageBreak/>
        <w:t xml:space="preserve">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DF5010">
        <w:rPr>
          <w:b/>
          <w:szCs w:val="24"/>
        </w:rPr>
        <w:t>Figure 2-</w:t>
      </w:r>
      <w:r>
        <w:rPr>
          <w:b/>
          <w:noProof/>
          <w:szCs w:val="24"/>
        </w:rPr>
        <w:t>2</w:t>
      </w:r>
      <w:r>
        <w:fldChar w:fldCharType="end"/>
      </w:r>
      <w:r>
        <w:t>, demonstrated two bimodal particle size distributions from balloon OPC. The first distribution is from a volcanic period in 1993 after the Mount Pinatubo eruption and another from a background period in 1999.</w:t>
      </w:r>
    </w:p>
    <w:p w:rsidR="00D85420" w:rsidRDefault="00D85420" w:rsidP="002347DA">
      <w:pPr>
        <w:pStyle w:val="Heading2"/>
      </w:pPr>
      <w:bookmarkStart w:id="10" w:name="_Toc440031424"/>
      <w:r>
        <w:t>2.2.2 Climate Effects</w:t>
      </w:r>
      <w:bookmarkEnd w:id="10"/>
    </w:p>
    <w:p w:rsidR="00D85420" w:rsidRDefault="00D85420"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1992). 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proofErr w:type="spellStart"/>
      <w:r w:rsidRPr="007066DF">
        <w:rPr>
          <w:i/>
        </w:rPr>
        <w:t>Charlson</w:t>
      </w:r>
      <w:proofErr w:type="spellEnd"/>
      <w:r w:rsidRPr="007066DF">
        <w:rPr>
          <w:i/>
        </w:rPr>
        <w:t xml:space="preserve"> et al.</w:t>
      </w:r>
      <w:r>
        <w:t>, 1992). Overall, the cooling effect of the aerosol particles dominates the warming effect and cools the surface of the planet (</w:t>
      </w:r>
      <w:r>
        <w:rPr>
          <w:i/>
        </w:rPr>
        <w:t>Solomon et al.</w:t>
      </w:r>
      <w:r>
        <w:t xml:space="preserve">, 2011). </w:t>
      </w:r>
    </w:p>
    <w:p w:rsidR="00D85420" w:rsidRPr="00F876B4" w:rsidRDefault="00D85420"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xml:space="preserve">, 2013). And the surface temperatures did not return to pre-Pinatubo level until approximately three years after the eruption </w:t>
      </w:r>
      <w:r>
        <w:lastRenderedPageBreak/>
        <w:t>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D85420" w:rsidRDefault="00D85420">
      <w:pPr>
        <w:pStyle w:val="Heading1"/>
      </w:pPr>
      <w:bookmarkStart w:id="11" w:name="_Toc440031425"/>
      <w:r>
        <w:t>2.3 Aerosol Measurements</w:t>
      </w:r>
      <w:bookmarkEnd w:id="11"/>
    </w:p>
    <w:p w:rsidR="00D85420" w:rsidRDefault="00D85420" w:rsidP="007E1609">
      <w:pPr>
        <w:pStyle w:val="BodyText"/>
        <w:jc w:val="both"/>
      </w:pPr>
      <w:bookmarkStart w:id="12" w:name="_Ref463275989"/>
      <w:bookmarkStart w:id="13" w:name="_Toc463235095"/>
      <w:bookmarkStart w:id="14"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D85420" w:rsidRDefault="00D85420" w:rsidP="003D416A">
      <w:pPr>
        <w:pStyle w:val="Heading2"/>
      </w:pPr>
      <w:bookmarkStart w:id="15" w:name="_Toc440031426"/>
      <w:r>
        <w:t>2.3.1 In-Situ Measurements</w:t>
      </w:r>
      <w:bookmarkEnd w:id="15"/>
    </w:p>
    <w:p w:rsidR="00D85420" w:rsidRDefault="00D85420"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instrument uses a passive light source, including the sun, moon, or stars, to determine aerosol extinctions. </w:t>
      </w:r>
      <w:r w:rsidRPr="002163A1">
        <w:lastRenderedPageBreak/>
        <w:t xml:space="preserve">Instruments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Furthermore, aircrafts have been used to carry n</w:t>
      </w:r>
      <w:r w:rsidRPr="00136038">
        <w:t xml:space="preserve">ephelometers </w:t>
      </w:r>
      <w:r>
        <w:t>to acquire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w:t>
      </w:r>
    </w:p>
    <w:p w:rsidR="00D85420" w:rsidRDefault="00D85420"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D85420" w:rsidRDefault="00D85420" w:rsidP="003D416A">
      <w:pPr>
        <w:pStyle w:val="Heading2"/>
      </w:pPr>
      <w:bookmarkStart w:id="16" w:name="_Toc440031427"/>
      <w:r>
        <w:t>2.3.2 Occultation</w:t>
      </w:r>
      <w:bookmarkEnd w:id="16"/>
    </w:p>
    <w:p w:rsidR="00D85420" w:rsidRDefault="00D85420"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D15330">
        <w:rPr>
          <w:b/>
          <w:szCs w:val="24"/>
        </w:rPr>
        <w:t>Figure 2-</w:t>
      </w:r>
      <w:r>
        <w:rPr>
          <w:b/>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w:t>
      </w:r>
      <w:r w:rsidRPr="00E46E53">
        <w:lastRenderedPageBreak/>
        <w:t xml:space="preserve">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D85420" w:rsidRDefault="00D85420" w:rsidP="002A3A79">
      <w:pPr>
        <w:pStyle w:val="BodyText"/>
        <w:keepNext/>
        <w:ind w:firstLine="0"/>
        <w:jc w:val="center"/>
      </w:pPr>
      <w:r>
        <w:rPr>
          <w:noProof/>
          <w:lang w:val="en-CA" w:eastAsia="en-CA"/>
        </w:rPr>
        <w:drawing>
          <wp:inline distT="0" distB="0" distL="0" distR="0" wp14:anchorId="1AF69940" wp14:editId="0161DEAE">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D85420" w:rsidRDefault="00D85420" w:rsidP="00371DAA">
      <w:pPr>
        <w:jc w:val="center"/>
        <w:rPr>
          <w:sz w:val="24"/>
          <w:szCs w:val="24"/>
        </w:rPr>
      </w:pPr>
      <w:bookmarkStart w:id="17" w:name="_Ref433365111"/>
      <w:bookmarkStart w:id="18" w:name="_Toc435878543"/>
      <w:bookmarkStart w:id="19" w:name="_Toc439680414"/>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7"/>
      <w:r w:rsidRPr="00D15330">
        <w:rPr>
          <w:sz w:val="24"/>
          <w:szCs w:val="24"/>
        </w:rPr>
        <w:t>: An</w:t>
      </w:r>
      <w:r w:rsidRPr="009A0793">
        <w:rPr>
          <w:sz w:val="24"/>
          <w:szCs w:val="24"/>
        </w:rPr>
        <w:t xml:space="preserve"> occultation instrument monitoring the atmosphere by scanning the atmosphere by looking directly at the sun.</w:t>
      </w:r>
      <w:bookmarkEnd w:id="18"/>
      <w:bookmarkEnd w:id="19"/>
    </w:p>
    <w:p w:rsidR="00D85420" w:rsidRDefault="00D85420" w:rsidP="009A0793">
      <w:pPr>
        <w:rPr>
          <w:sz w:val="24"/>
          <w:szCs w:val="24"/>
        </w:rPr>
      </w:pPr>
    </w:p>
    <w:p w:rsidR="00D85420" w:rsidRDefault="00D85420" w:rsidP="003D416A">
      <w:pPr>
        <w:pStyle w:val="Heading2"/>
      </w:pPr>
      <w:bookmarkStart w:id="20" w:name="_Toc440031428"/>
      <w:r>
        <w:lastRenderedPageBreak/>
        <w:t>2.3.3 Lidar</w:t>
      </w:r>
      <w:bookmarkEnd w:id="20"/>
    </w:p>
    <w:p w:rsidR="00D85420" w:rsidRDefault="00D85420" w:rsidP="00A24B7F">
      <w:pPr>
        <w:pStyle w:val="BodyText"/>
        <w:jc w:val="both"/>
      </w:pPr>
      <w:r>
        <w:t xml:space="preserve">A method known as </w:t>
      </w:r>
      <w:proofErr w:type="spellStart"/>
      <w:r>
        <w:t>lidar</w:t>
      </w:r>
      <w:proofErr w:type="spellEnd"/>
      <w:r>
        <w:t xml:space="preserve">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w:t>
      </w:r>
      <w:proofErr w:type="spellStart"/>
      <w:r>
        <w:t>lidar</w:t>
      </w:r>
      <w:proofErr w:type="spellEnd"/>
      <w:r>
        <w:t xml:space="preserve">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xml:space="preserve">, 2009). </w:t>
      </w:r>
    </w:p>
    <w:p w:rsidR="00D85420" w:rsidRDefault="00D85420" w:rsidP="009D4D5E">
      <w:pPr>
        <w:pStyle w:val="BodyText"/>
        <w:keepNext/>
        <w:ind w:firstLine="0"/>
        <w:jc w:val="both"/>
      </w:pPr>
      <w:r>
        <w:rPr>
          <w:noProof/>
          <w:lang w:val="en-CA" w:eastAsia="en-CA"/>
        </w:rPr>
        <w:drawing>
          <wp:inline distT="0" distB="0" distL="0" distR="0" wp14:anchorId="22A8760E" wp14:editId="33C5BD72">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D85420" w:rsidRDefault="00D85420" w:rsidP="00D505EA">
      <w:pPr>
        <w:pStyle w:val="Caption"/>
        <w:spacing w:before="0" w:after="0"/>
        <w:jc w:val="center"/>
        <w:rPr>
          <w:b w:val="0"/>
          <w:szCs w:val="24"/>
        </w:rPr>
      </w:pPr>
      <w:bookmarkStart w:id="21" w:name="_Ref433639889"/>
      <w:bookmarkStart w:id="22" w:name="_Toc435878544"/>
      <w:bookmarkStart w:id="23" w:name="_Toc439680415"/>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21"/>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2"/>
      <w:bookmarkEnd w:id="23"/>
    </w:p>
    <w:p w:rsidR="00D85420" w:rsidRPr="00935A8D" w:rsidRDefault="00D85420" w:rsidP="00935A8D"/>
    <w:p w:rsidR="00D85420" w:rsidRDefault="00D85420" w:rsidP="00935A8D">
      <w:pPr>
        <w:pStyle w:val="BodyText"/>
        <w:jc w:val="both"/>
      </w:pPr>
      <w:r>
        <w:lastRenderedPageBreak/>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t>lidar</w:t>
      </w:r>
      <w:proofErr w:type="spellEnd"/>
      <w:r>
        <w:t xml:space="preserve">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D85420" w:rsidRDefault="00D85420" w:rsidP="003D416A">
      <w:pPr>
        <w:pStyle w:val="Heading2"/>
      </w:pPr>
      <w:bookmarkStart w:id="24" w:name="_Toc440031429"/>
      <w:r>
        <w:t>2.3.4 Limb Scatter</w:t>
      </w:r>
      <w:bookmarkEnd w:id="24"/>
    </w:p>
    <w:p w:rsidR="00D85420" w:rsidRDefault="00D85420"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w:t>
      </w:r>
      <w:r>
        <w:lastRenderedPageBreak/>
        <w:t xml:space="preserve">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D85420" w:rsidRDefault="00D85420" w:rsidP="00954FF1">
      <w:pPr>
        <w:pStyle w:val="BodyText"/>
        <w:keepNext/>
        <w:ind w:firstLine="0"/>
      </w:pPr>
      <w:r>
        <w:rPr>
          <w:noProof/>
          <w:lang w:val="en-CA" w:eastAsia="en-CA"/>
        </w:rPr>
        <w:drawing>
          <wp:inline distT="0" distB="0" distL="0" distR="0" wp14:anchorId="440192E5" wp14:editId="0B6D4089">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D85420" w:rsidRDefault="00D85420" w:rsidP="00D505EA">
      <w:pPr>
        <w:pStyle w:val="Caption"/>
        <w:spacing w:before="0" w:after="0"/>
        <w:jc w:val="center"/>
        <w:rPr>
          <w:b w:val="0"/>
          <w:szCs w:val="24"/>
        </w:rPr>
      </w:pPr>
      <w:bookmarkStart w:id="25" w:name="_Ref434222559"/>
      <w:bookmarkStart w:id="26" w:name="_Toc435878545"/>
      <w:bookmarkStart w:id="27" w:name="_Toc439680416"/>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5"/>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6"/>
      <w:bookmarkEnd w:id="27"/>
    </w:p>
    <w:p w:rsidR="00D85420" w:rsidRPr="00954FF1" w:rsidRDefault="00D85420" w:rsidP="00954FF1"/>
    <w:p w:rsidR="00D85420" w:rsidRDefault="00D85420"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D85420" w:rsidRPr="00745CB4" w:rsidRDefault="00D85420"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w:t>
      </w:r>
      <w:r>
        <w:lastRenderedPageBreak/>
        <w:t xml:space="preserve">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D85420" w:rsidRDefault="00D85420"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D85420" w:rsidRDefault="00D85420"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D85420" w:rsidRPr="00A24B7F" w:rsidRDefault="00D85420" w:rsidP="000927B6">
      <w:pPr>
        <w:pStyle w:val="BodyText"/>
        <w:jc w:val="both"/>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sunlight, both vertically and horizontally across the track through the use of the Acoustic-</w:t>
      </w:r>
      <w:r>
        <w:lastRenderedPageBreak/>
        <w:t xml:space="preserve">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D85420" w:rsidRDefault="00D85420" w:rsidP="003D416A">
      <w:pPr>
        <w:pStyle w:val="Heading1"/>
      </w:pPr>
      <w:bookmarkStart w:id="28" w:name="_Toc440031430"/>
      <w:r>
        <w:t>2.4 Radiative Transfer</w:t>
      </w:r>
      <w:bookmarkEnd w:id="28"/>
    </w:p>
    <w:p w:rsidR="00D85420" w:rsidRDefault="00D85420"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D85420" w:rsidRDefault="00D85420" w:rsidP="00D54B14">
      <w:pPr>
        <w:pStyle w:val="Heading2"/>
      </w:pPr>
      <w:bookmarkStart w:id="29" w:name="_Toc440031431"/>
      <w:r>
        <w:t>2.4.1 Scalar Radiative Transfer</w:t>
      </w:r>
      <w:bookmarkEnd w:id="29"/>
    </w:p>
    <w:p w:rsidR="00D85420" w:rsidRDefault="00D85420"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and starts at a loca</w:t>
      </w:r>
      <w:proofErr w:type="spellStart"/>
      <w:r>
        <w:t>tion</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D85420" w:rsidRPr="00A15663" w:rsidRDefault="00D85420"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w:t>
      </w:r>
      <w:r>
        <w:lastRenderedPageBreak/>
        <w:t xml:space="preserve">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(2.2)</w:t>
            </w:r>
          </w:p>
        </w:tc>
      </w:tr>
    </w:tbl>
    <w:p w:rsidR="00D85420" w:rsidRDefault="00D85420"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(2.3)</w:t>
            </w:r>
          </w:p>
        </w:tc>
      </w:tr>
    </w:tbl>
    <w:p w:rsidR="00D85420" w:rsidRDefault="00D85420"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(2.4)</w:t>
            </w:r>
          </w:p>
        </w:tc>
      </w:tr>
    </w:tbl>
    <w:p w:rsidR="00D85420" w:rsidRDefault="00D85420"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(2.5)</w:t>
            </w:r>
          </w:p>
        </w:tc>
      </w:tr>
    </w:tbl>
    <w:p w:rsidR="00D85420" w:rsidRDefault="00D85420"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D85420" w:rsidRDefault="00D85420" w:rsidP="00314761">
      <w:pPr>
        <w:pStyle w:val="BodyText"/>
        <w:jc w:val="both"/>
      </w:pPr>
      <w:r>
        <w:t>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(2.6)</w:t>
            </w:r>
          </w:p>
        </w:tc>
      </w:tr>
    </w:tbl>
    <w:p w:rsidR="00D85420" w:rsidRDefault="00D85420"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w:lastRenderedPageBreak/>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(2.7)</w:t>
            </w:r>
          </w:p>
        </w:tc>
      </w:tr>
    </w:tbl>
    <w:p w:rsidR="00D85420" w:rsidRDefault="00D85420"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(2.8)</w:t>
            </w:r>
          </w:p>
        </w:tc>
      </w:tr>
    </w:tbl>
    <w:p w:rsidR="00D85420" w:rsidRDefault="00D85420"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(2.9)</w:t>
            </w:r>
          </w:p>
        </w:tc>
      </w:tr>
    </w:tbl>
    <w:p w:rsidR="00D85420" w:rsidRDefault="00D85420"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(2.10)</w:t>
            </w:r>
          </w:p>
        </w:tc>
      </w:tr>
    </w:tbl>
    <w:p w:rsidR="00D85420" w:rsidRDefault="00D85420"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(2.11)</w:t>
            </w:r>
          </w:p>
        </w:tc>
      </w:tr>
    </w:tbl>
    <w:p w:rsidR="00D85420" w:rsidRDefault="00D85420"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(2.12)</w:t>
            </w:r>
          </w:p>
        </w:tc>
      </w:tr>
    </w:tbl>
    <w:p w:rsidR="00D85420" w:rsidRDefault="00D85420"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D85420" w:rsidRDefault="00D85420"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(2.13)</w:t>
            </w:r>
          </w:p>
        </w:tc>
      </w:tr>
    </w:tbl>
    <w:p w:rsidR="00D85420" w:rsidRDefault="00D85420"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8470B9"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(2.14)</w:t>
            </w:r>
          </w:p>
        </w:tc>
      </w:tr>
    </w:tbl>
    <w:p w:rsidR="00D85420" w:rsidRDefault="00D85420"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D85420" w:rsidRDefault="00D85420"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(2.15)</w:t>
            </w:r>
          </w:p>
        </w:tc>
      </w:tr>
    </w:tbl>
    <w:p w:rsidR="00D85420" w:rsidRDefault="00D85420" w:rsidP="00851023">
      <w:pPr>
        <w:pStyle w:val="BodyText"/>
        <w:ind w:firstLine="0"/>
        <w:jc w:val="both"/>
      </w:pPr>
      <w:r>
        <w:t>The multiple scatter term is calculated until the contribution is sufficiently small to be negligible.</w:t>
      </w:r>
    </w:p>
    <w:p w:rsidR="00D85420" w:rsidRDefault="00D85420" w:rsidP="00FA7303">
      <w:pPr>
        <w:pStyle w:val="Heading2"/>
      </w:pPr>
      <w:bookmarkStart w:id="30" w:name="_Toc440031432"/>
      <w:r>
        <w:t>2.4.2 Vector Radiative Transfer</w:t>
      </w:r>
      <w:bookmarkEnd w:id="30"/>
    </w:p>
    <w:p w:rsidR="00D85420" w:rsidRDefault="00D85420"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(2.16)</w:t>
            </w:r>
          </w:p>
        </w:tc>
      </w:tr>
    </w:tbl>
    <w:p w:rsidR="00D85420" w:rsidRDefault="00D85420"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D85420" w:rsidRDefault="00D85420"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0927B6">
        <w:tc>
          <w:tcPr>
            <w:tcW w:w="6804" w:type="dxa"/>
          </w:tcPr>
          <w:p w:rsidR="00D85420" w:rsidRPr="0076182D" w:rsidRDefault="00D85420"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D85420" w:rsidRDefault="00D85420" w:rsidP="000927B6">
            <w:pPr>
              <w:pStyle w:val="BodyText"/>
              <w:ind w:firstLine="0"/>
              <w:jc w:val="right"/>
            </w:pPr>
            <w:r>
              <w:t>(2.17)</w:t>
            </w:r>
          </w:p>
        </w:tc>
      </w:tr>
      <w:tr w:rsidR="00D85420" w:rsidTr="000927B6">
        <w:tc>
          <w:tcPr>
            <w:tcW w:w="6804" w:type="dxa"/>
          </w:tcPr>
          <w:p w:rsidR="00D85420" w:rsidRPr="0076182D" w:rsidRDefault="00D85420"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D85420" w:rsidRDefault="00D85420" w:rsidP="000927B6">
            <w:pPr>
              <w:pStyle w:val="BodyText"/>
              <w:ind w:firstLine="0"/>
              <w:jc w:val="right"/>
            </w:pPr>
            <w:r>
              <w:t>(2.18)</w:t>
            </w:r>
          </w:p>
        </w:tc>
      </w:tr>
    </w:tbl>
    <w:p w:rsidR="00D85420" w:rsidRDefault="00D85420"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With polarization a scattering reference frame is defined and the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D85420" w:rsidTr="003B67C9">
        <w:tc>
          <w:tcPr>
            <w:tcW w:w="6804" w:type="dxa"/>
            <w:tcBorders>
              <w:top w:val="nil"/>
              <w:left w:val="nil"/>
              <w:bottom w:val="nil"/>
              <w:right w:val="nil"/>
            </w:tcBorders>
          </w:tcPr>
          <w:p w:rsidR="00D85420" w:rsidRPr="008E2476" w:rsidRDefault="008470B9"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m:t>
                          </m:r>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w:bookmarkStart w:id="31" w:name="_GoBack"/>
                          <w:bookmarkEnd w:id="31"/>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D85420" w:rsidRDefault="00D85420" w:rsidP="00A27C38">
            <w:pPr>
              <w:pStyle w:val="BodyText"/>
              <w:ind w:firstLine="0"/>
              <w:jc w:val="right"/>
            </w:pPr>
            <w:r>
              <w:t>(2.18t)</w:t>
            </w:r>
          </w:p>
        </w:tc>
      </w:tr>
    </w:tbl>
    <w:p w:rsidR="00D85420" w:rsidRDefault="00D85420" w:rsidP="00097F5B">
      <w:pPr>
        <w:pStyle w:val="BodyText"/>
        <w:ind w:firstLine="0"/>
        <w:jc w:val="both"/>
      </w:pPr>
      <w:proofErr w:type="gramStart"/>
      <w:r>
        <w:lastRenderedPageBreak/>
        <w:t>where</w:t>
      </w:r>
      <w:proofErr w:type="gramEnd"/>
      <w:r>
        <w:t xml:space="preserve"> </w:t>
      </w:r>
      <m:oMath>
        <m:r>
          <w:rPr>
            <w:rFonts w:ascii="Cambria Math" w:hAnsi="Cambria Math"/>
          </w:rPr>
          <m:t>α</m:t>
        </m:r>
      </m:oMath>
      <w:r>
        <w:t xml:space="preserve"> is the angle between he propagation and polarization reference frame.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D85420" w:rsidRDefault="00D85420"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D85420" w:rsidRDefault="00D85420" w:rsidP="00FA7303">
      <w:pPr>
        <w:pStyle w:val="Heading2"/>
      </w:pPr>
      <w:bookmarkStart w:id="32" w:name="_Toc440031433"/>
      <w:r>
        <w:t>2.4.3 Rayleigh Scattering</w:t>
      </w:r>
      <w:bookmarkEnd w:id="32"/>
    </w:p>
    <w:p w:rsidR="00D85420" w:rsidRDefault="00D85420" w:rsidP="008E2476">
      <w:pPr>
        <w:pStyle w:val="BodyText"/>
        <w:jc w:val="both"/>
      </w:pPr>
      <w:r>
        <w:t>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8470B9"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D85420" w:rsidRDefault="00D85420" w:rsidP="00C06F2D">
            <w:pPr>
              <w:pStyle w:val="BodyText"/>
              <w:ind w:firstLine="0"/>
              <w:jc w:val="right"/>
            </w:pPr>
            <w:r>
              <w:t>(2.20)</w:t>
            </w:r>
          </w:p>
        </w:tc>
      </w:tr>
    </w:tbl>
    <w:p w:rsidR="00D85420" w:rsidRDefault="00D85420"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rsidR="00D85420" w:rsidRDefault="00D85420" w:rsidP="000E00D9">
      <w:pPr>
        <w:pStyle w:val="BodyText"/>
        <w:jc w:val="both"/>
      </w:pPr>
      <w:r>
        <w:lastRenderedPageBreak/>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8470B9"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C06F2D">
            <w:pPr>
              <w:pStyle w:val="BodyText"/>
              <w:ind w:firstLine="0"/>
              <w:jc w:val="right"/>
            </w:pPr>
            <w:r>
              <w:t>(2.21)</w:t>
            </w:r>
          </w:p>
        </w:tc>
      </w:tr>
    </w:tbl>
    <w:p w:rsidR="00D85420" w:rsidRDefault="00D85420" w:rsidP="002B54E1">
      <w:pPr>
        <w:pStyle w:val="BodyText"/>
        <w:ind w:firstLine="0"/>
        <w:jc w:val="both"/>
      </w:pPr>
      <w:r>
        <w:t xml:space="preserve">Each component of the phase matrix itself is smooth which allows for easy and accurate calculation for Rayleigh scattering. </w:t>
      </w:r>
    </w:p>
    <w:p w:rsidR="00D85420" w:rsidRDefault="00D85420" w:rsidP="00FA7303">
      <w:pPr>
        <w:pStyle w:val="Heading2"/>
      </w:pPr>
      <w:bookmarkStart w:id="33" w:name="_Toc440031434"/>
      <w:r>
        <w:t>2.4.4 Mie Scattering</w:t>
      </w:r>
      <w:bookmarkEnd w:id="33"/>
    </w:p>
    <w:p w:rsidR="00D85420" w:rsidRDefault="00D85420"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8470B9"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D85420" w:rsidRDefault="00D85420" w:rsidP="00C06F2D">
            <w:pPr>
              <w:pStyle w:val="BodyText"/>
              <w:ind w:firstLine="0"/>
              <w:jc w:val="right"/>
            </w:pPr>
            <w:r>
              <w:t>(2.22)</w:t>
            </w:r>
          </w:p>
        </w:tc>
      </w:tr>
    </w:tbl>
    <w:p w:rsidR="00D85420" w:rsidRDefault="00D85420"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5519E0">
        <w:tc>
          <w:tcPr>
            <w:tcW w:w="6804" w:type="dxa"/>
          </w:tcPr>
          <w:p w:rsidR="00D85420" w:rsidRPr="008E2476" w:rsidRDefault="008470B9"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85420" w:rsidRDefault="00D85420" w:rsidP="00C06F2D">
            <w:pPr>
              <w:pStyle w:val="BodyText"/>
              <w:ind w:firstLine="0"/>
              <w:jc w:val="right"/>
            </w:pPr>
            <w:r>
              <w:t>(2.23)</w:t>
            </w:r>
          </w:p>
        </w:tc>
      </w:tr>
      <w:tr w:rsidR="00D85420" w:rsidTr="005519E0">
        <w:tc>
          <w:tcPr>
            <w:tcW w:w="6804" w:type="dxa"/>
          </w:tcPr>
          <w:p w:rsidR="00D85420" w:rsidRPr="008E2476" w:rsidRDefault="008470B9"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85420" w:rsidRDefault="00D85420" w:rsidP="00C06F2D">
            <w:pPr>
              <w:pStyle w:val="BodyText"/>
              <w:ind w:firstLine="0"/>
              <w:jc w:val="right"/>
            </w:pPr>
            <w:r>
              <w:t>(2.24)</w:t>
            </w:r>
          </w:p>
        </w:tc>
      </w:tr>
    </w:tbl>
    <w:p w:rsidR="00D85420" w:rsidRDefault="00D85420"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w:t>
      </w:r>
      <w:proofErr w:type="spellStart"/>
      <w:r>
        <w:t>cond</w:t>
      </w:r>
      <w:proofErr w:type="spellEnd"/>
      <w:r>
        <w:t xml:space="preserve"> </w:t>
      </w:r>
      <w:r>
        <w:lastRenderedPageBreak/>
        <w:t>kind respectively. The phase function for Mie scatter for a vector solution has the following form (</w:t>
      </w:r>
      <w:r>
        <w:rPr>
          <w:i/>
        </w:rPr>
        <w:t>Hansen and Travis</w:t>
      </w:r>
      <w:r>
        <w:t xml:space="preserve">, 1974) </w:t>
      </w:r>
    </w:p>
    <w:tbl>
      <w:tblPr>
        <w:tblStyle w:val="TableGrid"/>
        <w:tblW w:w="9641" w:type="dxa"/>
        <w:tblLook w:val="04A0" w:firstRow="1" w:lastRow="0" w:firstColumn="1" w:lastColumn="0" w:noHBand="0" w:noVBand="1"/>
      </w:tblPr>
      <w:tblGrid>
        <w:gridCol w:w="8364"/>
        <w:gridCol w:w="1277"/>
      </w:tblGrid>
      <w:tr w:rsidR="00D85420" w:rsidTr="00136819">
        <w:tc>
          <w:tcPr>
            <w:tcW w:w="8364" w:type="dxa"/>
            <w:tcBorders>
              <w:top w:val="nil"/>
              <w:left w:val="nil"/>
              <w:bottom w:val="nil"/>
              <w:right w:val="nil"/>
            </w:tcBorders>
          </w:tcPr>
          <w:p w:rsidR="00D85420" w:rsidRPr="008E2476" w:rsidRDefault="008470B9"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277" w:type="dxa"/>
            <w:tcBorders>
              <w:top w:val="nil"/>
              <w:left w:val="nil"/>
              <w:bottom w:val="nil"/>
              <w:right w:val="nil"/>
            </w:tcBorders>
            <w:vAlign w:val="center"/>
          </w:tcPr>
          <w:p w:rsidR="00D85420" w:rsidRDefault="00D85420" w:rsidP="00C06F2D">
            <w:pPr>
              <w:pStyle w:val="BodyText"/>
              <w:ind w:left="32" w:hanging="32"/>
              <w:jc w:val="right"/>
            </w:pPr>
            <w:r>
              <w:t>(2.25)</w:t>
            </w:r>
          </w:p>
        </w:tc>
      </w:tr>
    </w:tbl>
    <w:p w:rsidR="00D85420" w:rsidRDefault="00D85420"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1E4300">
        <w:tc>
          <w:tcPr>
            <w:tcW w:w="6804" w:type="dxa"/>
          </w:tcPr>
          <w:p w:rsidR="00D85420" w:rsidRPr="008E2476" w:rsidRDefault="008470B9"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85420" w:rsidRDefault="00D85420" w:rsidP="00C06F2D">
            <w:pPr>
              <w:pStyle w:val="BodyText"/>
              <w:ind w:firstLine="0"/>
              <w:jc w:val="right"/>
            </w:pPr>
            <w:r>
              <w:t>(2.26)</w:t>
            </w:r>
          </w:p>
        </w:tc>
      </w:tr>
      <w:tr w:rsidR="00D85420" w:rsidTr="001E4300">
        <w:tc>
          <w:tcPr>
            <w:tcW w:w="6804" w:type="dxa"/>
          </w:tcPr>
          <w:p w:rsidR="00D85420" w:rsidRPr="008E2476" w:rsidRDefault="008470B9"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85420" w:rsidRDefault="00D85420" w:rsidP="00C06F2D">
            <w:pPr>
              <w:pStyle w:val="BodyText"/>
              <w:ind w:firstLine="0"/>
              <w:jc w:val="right"/>
            </w:pPr>
            <w:r>
              <w:t>(2.27)</w:t>
            </w:r>
          </w:p>
        </w:tc>
      </w:tr>
    </w:tbl>
    <w:p w:rsidR="00D85420" w:rsidRDefault="00D85420"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proofErr w:type="spellStart"/>
      <w:r w:rsidRPr="00A7651A">
        <w:t>egendre</w:t>
      </w:r>
      <w:proofErr w:type="spellEnd"/>
      <w:r w:rsidRPr="00A7651A">
        <w:t xml:space="preserve"> polynomials</w:t>
      </w:r>
      <w:r>
        <w:t xml:space="preserve">. </w:t>
      </w:r>
    </w:p>
    <w:p w:rsidR="00D85420" w:rsidRDefault="00D85420"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D85420" w:rsidTr="00C23298">
        <w:tc>
          <w:tcPr>
            <w:tcW w:w="6804" w:type="dxa"/>
            <w:tcBorders>
              <w:top w:val="nil"/>
              <w:left w:val="nil"/>
              <w:bottom w:val="nil"/>
              <w:right w:val="nil"/>
            </w:tcBorders>
          </w:tcPr>
          <w:p w:rsidR="00D85420" w:rsidRPr="008E2476" w:rsidRDefault="008470B9"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D85420" w:rsidRDefault="00D85420" w:rsidP="00C06F2D">
            <w:pPr>
              <w:pStyle w:val="BodyText"/>
              <w:ind w:firstLine="0"/>
              <w:jc w:val="right"/>
            </w:pPr>
            <w:r>
              <w:t>(2.28)</w:t>
            </w:r>
          </w:p>
        </w:tc>
      </w:tr>
    </w:tbl>
    <w:p w:rsidR="00D85420" w:rsidRDefault="00D85420" w:rsidP="00C452B7">
      <w:pPr>
        <w:pStyle w:val="BodyText"/>
        <w:ind w:firstLine="0"/>
        <w:jc w:val="both"/>
      </w:pPr>
      <w:r>
        <w:t>The weighted average is similarly performed to determine the effective phase function for a particle size distribution.</w:t>
      </w:r>
    </w:p>
    <w:p w:rsidR="00D85420" w:rsidRPr="00905A0C" w:rsidRDefault="00D85420"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D85420" w:rsidRDefault="00D85420" w:rsidP="00BA54C2">
      <w:pPr>
        <w:pStyle w:val="Heading2"/>
      </w:pPr>
      <w:bookmarkStart w:id="34" w:name="_Toc440031435"/>
      <w:r>
        <w:lastRenderedPageBreak/>
        <w:t>2.4.5 SASKTRAN Radiative Transfer Model</w:t>
      </w:r>
      <w:bookmarkEnd w:id="34"/>
    </w:p>
    <w:p w:rsidR="00D85420" w:rsidRDefault="00D85420"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w:t>
      </w:r>
      <w:proofErr w:type="spellStart"/>
      <w:r>
        <w:t>unpolarized</w:t>
      </w:r>
      <w:proofErr w:type="spellEnd"/>
      <w:r>
        <w:t xml:space="preserve">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w:t>
      </w:r>
      <w:proofErr w:type="spellStart"/>
      <w:r>
        <w:t>Lambertian</w:t>
      </w:r>
      <w:proofErr w:type="spellEnd"/>
      <w:r>
        <w:t xml:space="preserve">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D85420" w:rsidRDefault="00D85420"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D85420" w:rsidRPr="00BA54C2" w:rsidRDefault="00D85420"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D85420" w:rsidRDefault="00D85420" w:rsidP="003D416A">
      <w:pPr>
        <w:pStyle w:val="Heading1"/>
      </w:pPr>
      <w:bookmarkStart w:id="35" w:name="_Toc440031436"/>
      <w:r>
        <w:lastRenderedPageBreak/>
        <w:t>2.5 ALI Prototype and Stratospheric Balloon Flight</w:t>
      </w:r>
      <w:bookmarkEnd w:id="35"/>
    </w:p>
    <w:bookmarkEnd w:id="12"/>
    <w:bookmarkEnd w:id="13"/>
    <w:bookmarkEnd w:id="14"/>
    <w:p w:rsidR="00D85420" w:rsidRPr="00BA54C2" w:rsidRDefault="00D85420" w:rsidP="00F84215">
      <w:pPr>
        <w:pStyle w:val="BodyText"/>
        <w:jc w:val="both"/>
        <w:rPr>
          <w:lang w:val="en-CA"/>
        </w:rPr>
        <w:sectPr w:rsidR="00D85420"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0B9" w:rsidRDefault="008470B9">
      <w:r>
        <w:separator/>
      </w:r>
    </w:p>
  </w:endnote>
  <w:endnote w:type="continuationSeparator" w:id="0">
    <w:p w:rsidR="008470B9" w:rsidRDefault="0084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420" w:rsidRDefault="00D85420">
    <w:pPr>
      <w:pStyle w:val="Footer"/>
    </w:pPr>
    <w:r>
      <w:rPr>
        <w:rStyle w:val="PageNumber"/>
      </w:rPr>
      <w:fldChar w:fldCharType="begin"/>
    </w:r>
    <w:r>
      <w:rPr>
        <w:rStyle w:val="PageNumber"/>
      </w:rPr>
      <w:instrText xml:space="preserve"> PAGE </w:instrText>
    </w:r>
    <w:r>
      <w:rPr>
        <w:rStyle w:val="PageNumber"/>
      </w:rPr>
      <w:fldChar w:fldCharType="separate"/>
    </w:r>
    <w:r w:rsidR="006B504D">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68" w:rsidRDefault="0068146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0B9" w:rsidRDefault="008470B9">
      <w:r>
        <w:separator/>
      </w:r>
    </w:p>
  </w:footnote>
  <w:footnote w:type="continuationSeparator" w:id="0">
    <w:p w:rsidR="008470B9" w:rsidRDefault="00847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420" w:rsidRDefault="00D85420">
    <w:pPr>
      <w:pStyle w:val="Header"/>
    </w:pPr>
    <w:r>
      <w:rPr>
        <w:rStyle w:val="PageNumber"/>
      </w:rPr>
      <w:fldChar w:fldCharType="begin"/>
    </w:r>
    <w:r>
      <w:rPr>
        <w:rStyle w:val="PageNumber"/>
      </w:rPr>
      <w:instrText xml:space="preserve"> PAGE </w:instrText>
    </w:r>
    <w:r>
      <w:rPr>
        <w:rStyle w:val="PageNumber"/>
      </w:rPr>
      <w:fldChar w:fldCharType="separate"/>
    </w:r>
    <w:r w:rsidR="006B504D">
      <w:rPr>
        <w:rStyle w:val="PageNumber"/>
        <w:noProof/>
      </w:rPr>
      <w:t>25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68" w:rsidRDefault="00681468">
    <w:pPr>
      <w:pStyle w:val="Header"/>
    </w:pPr>
    <w:r>
      <w:rPr>
        <w:rStyle w:val="PageNumber"/>
      </w:rPr>
      <w:fldChar w:fldCharType="begin"/>
    </w:r>
    <w:r>
      <w:rPr>
        <w:rStyle w:val="PageNumber"/>
      </w:rPr>
      <w:instrText xml:space="preserve"> PAGE </w:instrText>
    </w:r>
    <w:r>
      <w:rPr>
        <w:rStyle w:val="PageNumber"/>
      </w:rPr>
      <w:fldChar w:fldCharType="separate"/>
    </w:r>
    <w:r w:rsidR="006B504D">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370E"/>
    <w:rsid w:val="001345CF"/>
    <w:rsid w:val="00136819"/>
    <w:rsid w:val="00137DE4"/>
    <w:rsid w:val="00145EE4"/>
    <w:rsid w:val="00151ED9"/>
    <w:rsid w:val="00153059"/>
    <w:rsid w:val="00157783"/>
    <w:rsid w:val="00160D81"/>
    <w:rsid w:val="00164350"/>
    <w:rsid w:val="00172D78"/>
    <w:rsid w:val="00173883"/>
    <w:rsid w:val="0017417B"/>
    <w:rsid w:val="001760E7"/>
    <w:rsid w:val="00176DE8"/>
    <w:rsid w:val="00177C4A"/>
    <w:rsid w:val="001A33E5"/>
    <w:rsid w:val="001A53CB"/>
    <w:rsid w:val="001A647C"/>
    <w:rsid w:val="001A6DB6"/>
    <w:rsid w:val="001C2D1D"/>
    <w:rsid w:val="001C69C9"/>
    <w:rsid w:val="001D03E8"/>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3492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1468"/>
    <w:rsid w:val="006849E7"/>
    <w:rsid w:val="006863A3"/>
    <w:rsid w:val="00691E8F"/>
    <w:rsid w:val="00694A40"/>
    <w:rsid w:val="006A6BAE"/>
    <w:rsid w:val="006B1F6F"/>
    <w:rsid w:val="006B3917"/>
    <w:rsid w:val="006B504D"/>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838FE"/>
    <w:rsid w:val="00D85420"/>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7817"/>
    <w:rsid w:val="00F70CC6"/>
    <w:rsid w:val="00F7143A"/>
    <w:rsid w:val="00F764AB"/>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6431-2BF1-4E09-B5F7-76238474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18914</TotalTime>
  <Pages>26</Pages>
  <Words>6525</Words>
  <Characters>37198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180</cp:revision>
  <dcterms:created xsi:type="dcterms:W3CDTF">2015-08-27T21:13:00Z</dcterms:created>
  <dcterms:modified xsi:type="dcterms:W3CDTF">2016-02-01T22:48:00Z</dcterms:modified>
</cp:coreProperties>
</file>