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C9B" w:rsidRPr="008359F9" w:rsidRDefault="00137C9B"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137C9B" w:rsidRDefault="00137C9B">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42187684"/>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137C9B" w:rsidRDefault="00137C9B" w:rsidP="007C6C0E">
      <w:pPr>
        <w:pStyle w:val="Heading1"/>
      </w:pPr>
      <w:bookmarkStart w:id="8" w:name="_Toc442187685"/>
      <w:r>
        <w:t>5.1 Stratospheric Balloon Flight</w:t>
      </w:r>
      <w:bookmarkEnd w:id="8"/>
    </w:p>
    <w:p w:rsidR="00137C9B" w:rsidRPr="007C6C0E" w:rsidRDefault="00137C9B"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137C9B" w:rsidRDefault="00137C9B" w:rsidP="00901785">
      <w:pPr>
        <w:pStyle w:val="Heading2"/>
      </w:pPr>
      <w:bookmarkStart w:id="9" w:name="_Toc442187686"/>
      <w:r>
        <w:t>5.1.1 Preflight Preparations</w:t>
      </w:r>
      <w:bookmarkEnd w:id="9"/>
    </w:p>
    <w:p w:rsidR="00137C9B" w:rsidRDefault="00137C9B"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137C9B" w:rsidRDefault="00137C9B"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w:t>
      </w:r>
      <w:r>
        <w:lastRenderedPageBreak/>
        <w:t xml:space="preserve">temperature and voltage sensors, GPS module, and CCD camera were reporting valid diagnostic values. </w:t>
      </w:r>
    </w:p>
    <w:p w:rsidR="00137C9B" w:rsidRDefault="00137C9B"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137C9B" w:rsidRDefault="00137C9B" w:rsidP="00903243">
      <w:pPr>
        <w:pStyle w:val="BodyText"/>
        <w:jc w:val="both"/>
      </w:pPr>
      <w:r>
        <w:t xml:space="preserve">Following </w:t>
      </w:r>
      <w:r w:rsidR="00903243">
        <w:t xml:space="preserve">the successful test of ALI, </w:t>
      </w:r>
      <w:r>
        <w:t xml:space="preserve">final preparations were needed prior to beginning integration with CARMEN-2.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w:t>
      </w:r>
      <w:r w:rsidR="00903243">
        <w:t>which could cause</w:t>
      </w:r>
      <w:r>
        <w:t xml:space="preserve"> permanent catastrophic damage to the CCD detector. At the launch facility, ALI was taken to a semi-clean area to unseal the CCD chamber. A panel was removed on the side of the camera and the seal to be removed can be seen in </w:t>
      </w:r>
      <w:r w:rsidR="00903243" w:rsidRPr="00903243">
        <w:fldChar w:fldCharType="begin"/>
      </w:r>
      <w:r w:rsidR="00903243" w:rsidRPr="00903243">
        <w:instrText xml:space="preserve"> REF _Ref443295095 \h </w:instrText>
      </w:r>
      <w:r w:rsidR="00903243" w:rsidRPr="00903243">
        <w:instrText xml:space="preserve"> \* MERGEFORMAT </w:instrText>
      </w:r>
      <w:r w:rsidR="00903243" w:rsidRPr="00903243">
        <w:fldChar w:fldCharType="separate"/>
      </w:r>
      <w:r w:rsidR="00903243" w:rsidRPr="00903243">
        <w:t>Figure 5-</w:t>
      </w:r>
      <w:r w:rsidR="00903243" w:rsidRPr="00903243">
        <w:rPr>
          <w:noProof/>
        </w:rPr>
        <w:t>1</w:t>
      </w:r>
      <w:r w:rsidR="00903243" w:rsidRPr="00903243">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137C9B" w:rsidRDefault="00137C9B" w:rsidP="0085229E">
      <w:pPr>
        <w:pStyle w:val="BodyText"/>
        <w:keepNext/>
        <w:ind w:firstLine="0"/>
        <w:jc w:val="center"/>
      </w:pPr>
      <w:r>
        <w:rPr>
          <w:noProof/>
        </w:rPr>
        <w:lastRenderedPageBreak/>
        <w:drawing>
          <wp:inline distT="0" distB="0" distL="0" distR="0" wp14:anchorId="7C156DA4" wp14:editId="5D1C3146">
            <wp:extent cx="2346024" cy="37922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85229E">
      <w:pPr>
        <w:pStyle w:val="Caption"/>
        <w:jc w:val="center"/>
      </w:pPr>
      <w:bookmarkStart w:id="10" w:name="_Ref434413730"/>
      <w:bookmarkStart w:id="11" w:name="_Toc442188827"/>
      <w:bookmarkStart w:id="12" w:name="_Ref443295095"/>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2"/>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137C9B" w:rsidRPr="0085229E" w:rsidRDefault="00137C9B" w:rsidP="0085229E"/>
    <w:p w:rsidR="00137C9B" w:rsidRDefault="00137C9B" w:rsidP="00A11105">
      <w:pPr>
        <w:pStyle w:val="BodyText"/>
        <w:jc w:val="both"/>
      </w:pPr>
      <w:r>
        <w:t xml:space="preserve">The next step before ALI could be integrated was to add thermal shielding in order to protect ALI from the thermal environment at approximately 35 km. The first thermal concern was the instrument temperature falling to a point </w:t>
      </w:r>
      <w:r w:rsidR="00903243">
        <w:t>where</w:t>
      </w:r>
      <w:r>
        <w:t xml:space="preserv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137C9B" w:rsidRDefault="00137C9B"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BE7897">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w:t>
      </w:r>
      <w:r w:rsidR="00903243">
        <w:t>patch</w:t>
      </w:r>
      <w:r>
        <w:t xml:space="preserve"> to the ALI operation code was applied. </w:t>
      </w:r>
    </w:p>
    <w:p w:rsidR="00137C9B" w:rsidRDefault="00137C9B" w:rsidP="00A11105">
      <w:pPr>
        <w:pStyle w:val="BodyText"/>
        <w:jc w:val="both"/>
      </w:pPr>
      <w:r>
        <w:t xml:space="preserve">During the integration phase, it should be noted that several instruments were also being verified with the CARMEN-2 systems </w:t>
      </w:r>
      <w:r w:rsidR="00903243">
        <w:t xml:space="preserve">alongside ALI </w:t>
      </w:r>
      <w:r>
        <w:t>for integration onto the gondola including four other Canadian instruments, such as the OSRIS development model (</w:t>
      </w:r>
      <w:proofErr w:type="spellStart"/>
      <w:r>
        <w:rPr>
          <w:i/>
        </w:rPr>
        <w:t>Kozun</w:t>
      </w:r>
      <w:proofErr w:type="spellEnd"/>
      <w:r>
        <w:t xml:space="preserve">, 2015; </w:t>
      </w:r>
      <w:r>
        <w:rPr>
          <w:i/>
        </w:rPr>
        <w:t>Taylor</w:t>
      </w:r>
      <w:r>
        <w:t xml:space="preserve">, 2015) and SHOW which measures water </w:t>
      </w:r>
      <w:proofErr w:type="spellStart"/>
      <w:r>
        <w:t>vapour</w:t>
      </w:r>
      <w:proofErr w:type="spellEnd"/>
      <w:r>
        <w:t>.</w:t>
      </w:r>
    </w:p>
    <w:p w:rsidR="00137C9B" w:rsidRDefault="00137C9B"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137C9B" w:rsidRDefault="00137C9B" w:rsidP="00A9480C">
      <w:pPr>
        <w:pStyle w:val="BodyText"/>
        <w:keepNext/>
        <w:ind w:firstLine="0"/>
        <w:jc w:val="center"/>
      </w:pPr>
      <w:r>
        <w:rPr>
          <w:noProof/>
        </w:rPr>
        <w:lastRenderedPageBreak/>
        <w:drawing>
          <wp:inline distT="0" distB="0" distL="0" distR="0" wp14:anchorId="1D9B3EA5" wp14:editId="67BF0F37">
            <wp:extent cx="3360578" cy="3485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903243">
      <w:pPr>
        <w:pStyle w:val="Caption"/>
        <w:jc w:val="center"/>
      </w:pPr>
      <w:bookmarkStart w:id="13" w:name="_Ref434414795"/>
      <w:bookmarkStart w:id="14" w:name="_Toc442188828"/>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4"/>
      <w:r w:rsidRPr="00A9480C">
        <w:t xml:space="preserve"> </w:t>
      </w:r>
    </w:p>
    <w:p w:rsidR="00903243" w:rsidRPr="00903243" w:rsidRDefault="00903243" w:rsidP="00903243"/>
    <w:p w:rsidR="00137C9B" w:rsidRDefault="00137C9B" w:rsidP="00901785">
      <w:pPr>
        <w:pStyle w:val="Heading2"/>
      </w:pPr>
      <w:bookmarkStart w:id="15" w:name="_Toc442187687"/>
      <w:r>
        <w:t>5.1.2 Balloon Flight</w:t>
      </w:r>
      <w:bookmarkEnd w:id="15"/>
    </w:p>
    <w:p w:rsidR="00137C9B" w:rsidRDefault="00137C9B"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w:t>
      </w:r>
      <w:r w:rsidR="00DA1125">
        <w:t xml:space="preserve"> as well as attempt an O</w:t>
      </w:r>
      <w:r w:rsidR="00DA1125">
        <w:rPr>
          <w:vertAlign w:val="subscript"/>
        </w:rPr>
        <w:t>2</w:t>
      </w:r>
      <w:r w:rsidR="00DA1125">
        <w:t xml:space="preserve"> and water </w:t>
      </w:r>
      <w:proofErr w:type="spellStart"/>
      <w:r w:rsidR="00DA1125">
        <w:t>vapour</w:t>
      </w:r>
      <w:proofErr w:type="spellEnd"/>
      <w:r w:rsidR="00DA1125">
        <w:t xml:space="preserve"> imaging suite</w:t>
      </w:r>
      <w:r>
        <w:t>. After the end of the ALI mission, the instrument was to be powered off and other instruments on CARMEN-2 were to gather measurements.</w:t>
      </w:r>
    </w:p>
    <w:p w:rsidR="00137C9B" w:rsidRDefault="00137C9B"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137C9B" w:rsidRDefault="00137C9B"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w:instrText>
      </w:r>
      <w:r w:rsidR="00DA1125" w:rsidRPr="00DA1125">
        <w:instrText xml:space="preserve"> \* MERGEFORMAT </w:instrText>
      </w:r>
      <w:r w:rsidRPr="00DA1125">
        <w:fldChar w:fldCharType="separate"/>
      </w:r>
      <w:r w:rsidRPr="00DA1125">
        <w:t>Figure 5-</w:t>
      </w:r>
      <w:r w:rsidRPr="00DA1125">
        <w:rPr>
          <w:noProof/>
        </w:rPr>
        <w:t>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BE7897">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137C9B" w:rsidRDefault="00DA1125" w:rsidP="00BD1AA9">
      <w:pPr>
        <w:pStyle w:val="BodyText"/>
        <w:keepNext/>
        <w:ind w:firstLine="0"/>
      </w:pPr>
      <w:r>
        <w:rPr>
          <w:noProof/>
        </w:rPr>
        <w:lastRenderedPageBreak/>
        <w:drawing>
          <wp:inline distT="0" distB="0" distL="0" distR="0">
            <wp:extent cx="5935980" cy="2534285"/>
            <wp:effectExtent l="0" t="0" r="7620" b="0"/>
            <wp:docPr id="1" name="Picture 1"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137C9B" w:rsidRDefault="00137C9B" w:rsidP="00BD1AA9">
      <w:pPr>
        <w:pStyle w:val="Caption"/>
        <w:jc w:val="center"/>
      </w:pPr>
      <w:bookmarkStart w:id="16" w:name="_Ref434434702"/>
      <w:bookmarkStart w:id="17" w:name="_Toc442188829"/>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w:t>
      </w:r>
      <w:r w:rsidR="00DA1125">
        <w:t xml:space="preserve"> </w:t>
      </w:r>
      <w:r w:rsidR="00DA1125" w:rsidRPr="00DA1125">
        <w:t>and</w:t>
      </w:r>
      <w:r w:rsidR="00DA1125">
        <w:t xml:space="preserve"> the blue, green, red </w:t>
      </w:r>
      <w:proofErr w:type="spellStart"/>
      <w:r w:rsidR="00DA1125">
        <w:t>colours</w:t>
      </w:r>
      <w:proofErr w:type="spellEnd"/>
      <w:r w:rsidR="00DA1125">
        <w:t xml:space="preserve"> represent speeds</w:t>
      </w:r>
      <w:r w:rsidR="00DA1125" w:rsidRPr="00DA1125">
        <w:t xml:space="preserve"> of approximately</w:t>
      </w:r>
      <w:r w:rsidR="00DA1125">
        <w:t xml:space="preserve"> 10, 70, and 140 </w:t>
      </w:r>
      <w:r w:rsidR="00DA1125" w:rsidRPr="00DA1125">
        <w:t>km/h</w:t>
      </w:r>
      <w:proofErr w:type="gramStart"/>
      <w:r w:rsidR="00DA1125" w:rsidRPr="00DA1125">
        <w:t>.</w:t>
      </w:r>
      <w:r w:rsidRPr="00222E24">
        <w:t>.</w:t>
      </w:r>
      <w:proofErr w:type="gramEnd"/>
      <w:r w:rsidRPr="00222E24">
        <w:t xml:space="preserve">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7"/>
    </w:p>
    <w:p w:rsidR="00137C9B" w:rsidRPr="00BD1AA9" w:rsidRDefault="00137C9B" w:rsidP="00BD1AA9"/>
    <w:p w:rsidR="00137C9B" w:rsidRDefault="00137C9B"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137C9B" w:rsidRDefault="00137C9B"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w:t>
      </w:r>
      <w:r>
        <w:lastRenderedPageBreak/>
        <w:t xml:space="preserve">exposure times shown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137C9B"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BB608B">
            <w:pPr>
              <w:pStyle w:val="BodyText"/>
              <w:ind w:firstLine="0"/>
              <w:jc w:val="right"/>
            </w:pPr>
            <w:r>
              <w:t>(5.1)</w:t>
            </w:r>
          </w:p>
        </w:tc>
      </w:tr>
    </w:tbl>
    <w:p w:rsidR="00137C9B" w:rsidRDefault="00137C9B"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DA1125" w:rsidRDefault="00DA1125" w:rsidP="00DA1125">
      <w:pPr>
        <w:pStyle w:val="BodyText"/>
        <w:keepNext/>
        <w:ind w:firstLine="0"/>
        <w:jc w:val="center"/>
      </w:pPr>
      <w:r>
        <w:rPr>
          <w:noProof/>
        </w:rPr>
        <w:drawing>
          <wp:inline distT="0" distB="0" distL="0" distR="0" wp14:anchorId="330017B7" wp14:editId="259AA3DE">
            <wp:extent cx="5489043" cy="2730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DA1125" w:rsidRDefault="00DA1125" w:rsidP="00DA1125">
      <w:pPr>
        <w:pStyle w:val="Caption"/>
        <w:jc w:val="center"/>
      </w:pPr>
      <w:bookmarkStart w:id="18" w:name="_Ref434494474"/>
      <w:bookmarkStart w:id="19" w:name="_Toc442188830"/>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rsidR="00DA1125" w:rsidRPr="004A1F42" w:rsidRDefault="00DA1125" w:rsidP="006B708C">
      <w:pPr>
        <w:pStyle w:val="BodyText"/>
        <w:ind w:firstLine="0"/>
        <w:jc w:val="both"/>
      </w:pPr>
    </w:p>
    <w:p w:rsidR="00137C9B" w:rsidRPr="009D786C" w:rsidRDefault="00137C9B" w:rsidP="00DA1125">
      <w:pPr>
        <w:pStyle w:val="BodyText"/>
        <w:jc w:val="both"/>
      </w:pPr>
      <w:r>
        <w:lastRenderedPageBreak/>
        <w:t xml:space="preserve">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w:t>
      </w:r>
      <w:r w:rsidR="00F26F15">
        <w:t>measurements</w:t>
      </w:r>
      <w:r>
        <w:t xml:space="preserve"> could be verified and processed.</w:t>
      </w:r>
    </w:p>
    <w:p w:rsidR="00137C9B" w:rsidRDefault="00137C9B" w:rsidP="00901785">
      <w:pPr>
        <w:pStyle w:val="Heading1"/>
      </w:pPr>
      <w:bookmarkStart w:id="20" w:name="_Toc442187688"/>
      <w:r>
        <w:t>5.2 Limb Measurements</w:t>
      </w:r>
      <w:bookmarkEnd w:id="20"/>
    </w:p>
    <w:p w:rsidR="00137C9B" w:rsidRDefault="00137C9B"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image</w:t>
      </w:r>
      <w:r w:rsidR="007B4C3F">
        <w:t xml:space="preserve"> pair</w:t>
      </w:r>
      <w:r w:rsidRPr="00222E24">
        <w:t xml:space="preserv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137C9B" w:rsidRDefault="00137C9B"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t>
      </w:r>
      <w:r w:rsidR="007B4C3F">
        <w:t xml:space="preserve">and </w:t>
      </w:r>
      <w:r>
        <w:t>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w:t>
      </w:r>
      <w:r>
        <w:lastRenderedPageBreak/>
        <w:t>aligned. The zenith angle with the optimal alignment was determined to be 92.6</w:t>
      </w:r>
      <w:r>
        <w:rPr>
          <w:vertAlign w:val="superscript"/>
        </w:rPr>
        <w:t>o</w:t>
      </w:r>
      <w:r>
        <w:t xml:space="preserve"> with an uncertainty of 0.1</w:t>
      </w:r>
      <w:r>
        <w:rPr>
          <w:vertAlign w:val="superscript"/>
        </w:rPr>
        <w:t>o</w:t>
      </w:r>
      <w:r>
        <w:t xml:space="preserve">. </w:t>
      </w:r>
    </w:p>
    <w:p w:rsidR="00137C9B" w:rsidRDefault="00137C9B"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rsidR="007B4C3F">
        <w:t>SZ</w:t>
      </w:r>
      <w:r>
        <w:t>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w:t>
      </w:r>
      <w:r w:rsidR="007B4C3F">
        <w:t>“</w:t>
      </w:r>
      <w:r>
        <w:t>AOTF-off</w:t>
      </w:r>
      <w:r w:rsidR="007B4C3F">
        <w:t>”</w:t>
      </w:r>
      <w:r>
        <w:t xml:space="preserve"> or calibration image and removing it from the </w:t>
      </w:r>
      <w:r w:rsidR="007B4C3F">
        <w:t>“</w:t>
      </w:r>
      <w:r>
        <w:t>AOTF-on</w:t>
      </w:r>
      <w:r w:rsidR="007B4C3F">
        <w:t>”</w:t>
      </w:r>
      <w:r>
        <w:t xml:space="preserve">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BE7897">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665EF4"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28482A">
            <w:pPr>
              <w:pStyle w:val="BodyText"/>
              <w:ind w:firstLine="0"/>
              <w:jc w:val="right"/>
            </w:pPr>
            <w:r>
              <w:t>(5.2)</w:t>
            </w:r>
          </w:p>
        </w:tc>
      </w:tr>
    </w:tbl>
    <w:p w:rsidR="00137C9B" w:rsidRPr="0028482A" w:rsidRDefault="00137C9B" w:rsidP="0028482A">
      <w:pPr>
        <w:pStyle w:val="BodyText"/>
        <w:ind w:firstLine="0"/>
        <w:jc w:val="both"/>
        <w:rPr>
          <w:lang w:val="en-CA"/>
        </w:rPr>
      </w:pPr>
      <w:proofErr w:type="gramStart"/>
      <w:r>
        <w:rPr>
          <w:lang w:val="en-CA"/>
        </w:rPr>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w:t>
      </w:r>
      <w:r w:rsidR="007B4C3F">
        <w:rPr>
          <w:lang w:val="en-CA"/>
        </w:rPr>
        <w:t>counts at worst</w:t>
      </w:r>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137C9B" w:rsidRDefault="00137C9B" w:rsidP="00CC09BC">
      <w:pPr>
        <w:pStyle w:val="BodyText"/>
        <w:keepNext/>
        <w:ind w:firstLine="0"/>
        <w:jc w:val="center"/>
      </w:pPr>
      <w:r>
        <w:rPr>
          <w:noProof/>
        </w:rPr>
        <w:lastRenderedPageBreak/>
        <w:drawing>
          <wp:inline distT="0" distB="0" distL="0" distR="0" wp14:anchorId="2DD2D981" wp14:editId="0CEEF6D1">
            <wp:extent cx="3319385" cy="581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137C9B" w:rsidRPr="001A3348" w:rsidRDefault="00137C9B" w:rsidP="001A3348">
      <w:pPr>
        <w:pStyle w:val="Caption"/>
        <w:jc w:val="center"/>
      </w:pPr>
      <w:bookmarkStart w:id="21" w:name="_Ref434856870"/>
      <w:bookmarkStart w:id="22" w:name="_Toc442188831"/>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rsidR="00137C9B" w:rsidRDefault="00137C9B" w:rsidP="00CC09BC">
      <w:pPr>
        <w:pStyle w:val="BodyText"/>
        <w:keepNext/>
        <w:ind w:firstLine="0"/>
        <w:jc w:val="center"/>
      </w:pPr>
      <w:r>
        <w:rPr>
          <w:noProof/>
        </w:rPr>
        <w:lastRenderedPageBreak/>
        <w:drawing>
          <wp:inline distT="0" distB="0" distL="0" distR="0" wp14:anchorId="467F784E" wp14:editId="23373403">
            <wp:extent cx="3618728" cy="49625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137C9B" w:rsidRDefault="00137C9B" w:rsidP="007B4C3F">
      <w:pPr>
        <w:pStyle w:val="Caption"/>
        <w:jc w:val="center"/>
      </w:pPr>
      <w:bookmarkStart w:id="23" w:name="_Ref434857421"/>
      <w:bookmarkStart w:id="24" w:name="_Toc442188832"/>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4"/>
    </w:p>
    <w:p w:rsidR="007B4C3F" w:rsidRPr="007B4C3F" w:rsidRDefault="007B4C3F" w:rsidP="007B4C3F"/>
    <w:p w:rsidR="00137C9B" w:rsidRDefault="00137C9B"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2014).  A brief check on the CALIPSO quick-look plots also </w:t>
      </w:r>
      <w:r>
        <w:lastRenderedPageBreak/>
        <w:t>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137C9B" w:rsidRDefault="00137C9B"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137C9B" w:rsidTr="00ED6DE1">
        <w:tc>
          <w:tcPr>
            <w:tcW w:w="6804" w:type="dxa"/>
            <w:tcBorders>
              <w:top w:val="nil"/>
              <w:left w:val="nil"/>
              <w:bottom w:val="nil"/>
              <w:right w:val="nil"/>
            </w:tcBorders>
          </w:tcPr>
          <w:p w:rsidR="00137C9B" w:rsidRPr="00C40C6B" w:rsidRDefault="00137C9B"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BA0898">
            <w:pPr>
              <w:pStyle w:val="BodyText"/>
              <w:ind w:firstLine="0"/>
              <w:jc w:val="right"/>
            </w:pPr>
            <w:r>
              <w:t>(5.3)</w:t>
            </w:r>
          </w:p>
        </w:tc>
      </w:tr>
    </w:tbl>
    <w:p w:rsidR="00137C9B" w:rsidRDefault="00137C9B"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E7897">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137C9B" w:rsidRDefault="00137C9B" w:rsidP="007A4E1D">
      <w:pPr>
        <w:pStyle w:val="BodyText"/>
        <w:keepNext/>
        <w:ind w:firstLine="0"/>
        <w:jc w:val="center"/>
      </w:pPr>
      <w:r>
        <w:rPr>
          <w:noProof/>
        </w:rPr>
        <w:lastRenderedPageBreak/>
        <w:drawing>
          <wp:inline distT="0" distB="0" distL="0" distR="0" wp14:anchorId="17D30B3E" wp14:editId="16630D30">
            <wp:extent cx="5943600" cy="46075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137C9B" w:rsidRDefault="00137C9B" w:rsidP="007A4E1D">
      <w:pPr>
        <w:pStyle w:val="Caption"/>
        <w:jc w:val="center"/>
      </w:pPr>
      <w:bookmarkStart w:id="25" w:name="_Ref434859826"/>
      <w:bookmarkStart w:id="26" w:name="_Toc442188833"/>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6"/>
    </w:p>
    <w:p w:rsidR="00137C9B" w:rsidRPr="000E4898" w:rsidRDefault="00137C9B" w:rsidP="000E4898"/>
    <w:p w:rsidR="00137C9B" w:rsidRDefault="00137C9B"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E7897">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 xml:space="preserve">The spectra displays 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 the peak in the spectra at 875 nm is not known and may be due to an inconsistency in the pre-flight calibration.</w:t>
      </w:r>
    </w:p>
    <w:p w:rsidR="00137C9B" w:rsidRDefault="00137C9B" w:rsidP="00F91C97">
      <w:pPr>
        <w:pStyle w:val="BodyText"/>
        <w:keepNext/>
        <w:ind w:firstLine="0"/>
        <w:jc w:val="center"/>
      </w:pPr>
      <w:r>
        <w:rPr>
          <w:noProof/>
        </w:rPr>
        <w:drawing>
          <wp:inline distT="0" distB="0" distL="0" distR="0" wp14:anchorId="70FD9EBC" wp14:editId="4CBF8A42">
            <wp:extent cx="3254782" cy="317182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137C9B" w:rsidRDefault="00137C9B" w:rsidP="00C13BA2">
      <w:pPr>
        <w:pStyle w:val="Caption"/>
        <w:jc w:val="center"/>
      </w:pPr>
      <w:bookmarkStart w:id="27" w:name="_Ref434859797"/>
      <w:bookmarkStart w:id="28" w:name="_Toc442188834"/>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rsidR="00C13BA2">
        <w:t> </w:t>
      </w:r>
      <w:r w:rsidRPr="00222E24">
        <w:t>nm to 950</w:t>
      </w:r>
      <w:r w:rsidR="00C13BA2">
        <w:t>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8"/>
    </w:p>
    <w:p w:rsidR="00C13BA2" w:rsidRPr="00C13BA2" w:rsidRDefault="00C13BA2" w:rsidP="00C13BA2"/>
    <w:p w:rsidR="00137C9B" w:rsidRDefault="00137C9B" w:rsidP="00961690">
      <w:pPr>
        <w:pStyle w:val="Heading1"/>
      </w:pPr>
      <w:bookmarkStart w:id="29" w:name="_Toc442187689"/>
      <w:r>
        <w:t>5.3 Aerosol Retrievals</w:t>
      </w:r>
      <w:bookmarkEnd w:id="29"/>
    </w:p>
    <w:p w:rsidR="00137C9B" w:rsidRDefault="00137C9B"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w:t>
      </w:r>
      <w:r w:rsidR="00A562AA">
        <w:t>Multiplicative Algebraic Reconstruction Technique</w:t>
      </w:r>
      <w:r w:rsidR="00A562AA" w:rsidRPr="00375F45">
        <w:t xml:space="preserve"> </w:t>
      </w:r>
      <w:r w:rsidR="00A562AA">
        <w:t>(</w:t>
      </w:r>
      <w:r w:rsidRPr="00375F45">
        <w:t>MART</w:t>
      </w:r>
      <w:r w:rsidR="00A562AA">
        <w:t>)</w:t>
      </w:r>
      <w:r w:rsidRPr="00375F45">
        <w:t xml:space="preserve">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137C9B" w:rsidRDefault="00137C9B" w:rsidP="00395867">
      <w:pPr>
        <w:pStyle w:val="Heading2"/>
      </w:pPr>
      <w:bookmarkStart w:id="30" w:name="_Toc442187690"/>
      <w:r>
        <w:lastRenderedPageBreak/>
        <w:t>5.3.1 Aerosol Extinction Retrieval Methodology</w:t>
      </w:r>
      <w:bookmarkEnd w:id="30"/>
    </w:p>
    <w:p w:rsidR="00137C9B" w:rsidRDefault="00137C9B" w:rsidP="001D1577">
      <w:pPr>
        <w:pStyle w:val="BodyText"/>
        <w:jc w:val="both"/>
      </w:pPr>
      <w:r>
        <w:t xml:space="preserve">A measurement inversion technique is a method used on a measured value </w:t>
      </w:r>
      <w:r w:rsidR="00A562AA">
        <w:t xml:space="preserve">and </w:t>
      </w:r>
      <w:r>
        <w:t>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137C9B"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305B19">
            <w:pPr>
              <w:pStyle w:val="BodyText"/>
              <w:ind w:firstLine="0"/>
              <w:jc w:val="right"/>
            </w:pPr>
            <w:r>
              <w:t>(5.4)</w:t>
            </w:r>
          </w:p>
        </w:tc>
      </w:tr>
    </w:tbl>
    <w:p w:rsidR="00137C9B" w:rsidRDefault="00137C9B" w:rsidP="001D1577">
      <w:pPr>
        <w:pStyle w:val="BodyText"/>
        <w:ind w:firstLine="0"/>
      </w:pPr>
      <w:proofErr w:type="gramStart"/>
      <w:r>
        <w:t>where</w:t>
      </w:r>
      <w:proofErr w:type="gramEnd"/>
      <w:r>
        <w:t xml:space="preserve"> </w:t>
      </w:r>
      <m:oMath>
        <m:r>
          <m:rPr>
            <m:sty m:val="bi"/>
          </m:rPr>
          <w:rPr>
            <w:rFonts w:ascii="Cambria Math" w:hAnsi="Cambria Math"/>
          </w:rPr>
          <m:t>ϵ</m:t>
        </m:r>
      </m:oMath>
      <w:r>
        <w:t xml:space="preserve"> is the noise on the measurement vector.</w:t>
      </w:r>
    </w:p>
    <w:p w:rsidR="00137C9B" w:rsidRDefault="00137C9B"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xml:space="preserve">, 2007; 2012b). This inversion algorithm, which is applied from the tropopause to 30 km altitude, assumes log-normal distributed hydrated </w:t>
      </w:r>
      <w:proofErr w:type="spellStart"/>
      <w:r>
        <w:t>sulphuric</w:t>
      </w:r>
      <w:proofErr w:type="spellEnd"/>
      <w:r>
        <w:t xml:space="preserve">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2015).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665EF4"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137C9B" w:rsidRDefault="00137C9B" w:rsidP="00EF6254">
            <w:pPr>
              <w:pStyle w:val="BodyText"/>
              <w:ind w:firstLine="0"/>
              <w:jc w:val="right"/>
            </w:pPr>
            <w:r>
              <w:t>(5.5)</w:t>
            </w:r>
          </w:p>
        </w:tc>
      </w:tr>
    </w:tbl>
    <w:p w:rsidR="00137C9B" w:rsidRDefault="00137C9B"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1F388D" w:rsidRDefault="001F388D" w:rsidP="001F388D">
      <w:pPr>
        <w:pStyle w:val="BodyText"/>
        <w:keepNext/>
        <w:ind w:firstLine="0"/>
        <w:jc w:val="center"/>
      </w:pPr>
      <w:r>
        <w:rPr>
          <w:noProof/>
        </w:rPr>
        <w:drawing>
          <wp:inline distT="0" distB="0" distL="0" distR="0" wp14:anchorId="4A05EF5C" wp14:editId="60BC822C">
            <wp:extent cx="5943600" cy="2408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1F388D" w:rsidRDefault="001F388D" w:rsidP="001F388D">
      <w:pPr>
        <w:pStyle w:val="Caption"/>
        <w:jc w:val="center"/>
      </w:pPr>
      <w:bookmarkStart w:id="31" w:name="_Ref435791797"/>
      <w:bookmarkStart w:id="32" w:name="_Toc442188835"/>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2"/>
      <w:r>
        <w:t xml:space="preserve"> </w:t>
      </w:r>
    </w:p>
    <w:p w:rsidR="001F388D" w:rsidRPr="001F388D" w:rsidRDefault="001F388D" w:rsidP="001F388D"/>
    <w:p w:rsidR="00137C9B" w:rsidRDefault="00137C9B"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137C9B" w:rsidTr="00305B19">
        <w:tc>
          <w:tcPr>
            <w:tcW w:w="6804" w:type="dxa"/>
            <w:tcBorders>
              <w:top w:val="nil"/>
              <w:left w:val="nil"/>
              <w:bottom w:val="nil"/>
              <w:right w:val="nil"/>
            </w:tcBorders>
          </w:tcPr>
          <w:p w:rsidR="00137C9B" w:rsidRPr="00C40C6B" w:rsidRDefault="00137C9B"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137C9B" w:rsidRDefault="00137C9B" w:rsidP="00AB2010">
            <w:pPr>
              <w:pStyle w:val="BodyText"/>
              <w:ind w:firstLine="0"/>
              <w:jc w:val="right"/>
            </w:pPr>
            <w:r>
              <w:t>(5.6)</w:t>
            </w:r>
          </w:p>
        </w:tc>
      </w:tr>
    </w:tbl>
    <w:p w:rsidR="00137C9B" w:rsidRDefault="00137C9B" w:rsidP="001F388D">
      <w:pPr>
        <w:pStyle w:val="BodyText"/>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rsidR="001F388D">
        <w:t xml:space="preserve"> and typical values </w:t>
      </w:r>
      <w:proofErr w:type="gramStart"/>
      <w:r w:rsidR="001F388D">
        <w:t xml:space="preserve">for </w:t>
      </w:r>
      <w:proofErr w:type="gramEnd"/>
      <m:oMath>
        <m:sSub>
          <m:sSubPr>
            <m:ctrlPr>
              <w:rPr>
                <w:rFonts w:ascii="Cambria Math" w:hAnsi="Cambria Math"/>
                <w:i/>
              </w:rPr>
            </m:ctrlPr>
          </m:sSubPr>
          <m:e>
            <m:r>
              <w:rPr>
                <w:rFonts w:ascii="Cambria Math" w:hAnsi="Cambria Math"/>
              </w:rPr>
              <m:t>z</m:t>
            </m:r>
          </m:e>
          <m:sub>
            <m:r>
              <w:rPr>
                <w:rFonts w:ascii="Cambria Math" w:hAnsi="Cambria Math"/>
              </w:rPr>
              <m:t>ref</m:t>
            </m:r>
          </m:sub>
        </m:sSub>
      </m:oMath>
      <w:r w:rsidR="001F388D">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BE7897">
        <w:t>Figure 5-9</w:t>
      </w:r>
      <w:r w:rsidRPr="00305B19">
        <w:fldChar w:fldCharType="end"/>
      </w:r>
      <w:r>
        <w:t xml:space="preserve">a shows the </w:t>
      </w:r>
      <w:r>
        <w:lastRenderedPageBreak/>
        <w:t>measurement vector from a 750 nm image (number 208) from the center 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BE7897">
        <w:t>Figure 5-9</w:t>
      </w:r>
      <w:r w:rsidRPr="00057372">
        <w:fldChar w:fldCharType="end"/>
      </w:r>
      <w:r>
        <w:t>b.</w:t>
      </w:r>
    </w:p>
    <w:p w:rsidR="00137C9B" w:rsidRDefault="00137C9B"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665EF4"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137C9B" w:rsidRDefault="00137C9B" w:rsidP="00FE362A">
            <w:pPr>
              <w:pStyle w:val="BodyText"/>
              <w:ind w:firstLine="0"/>
              <w:jc w:val="right"/>
            </w:pPr>
            <w:r>
              <w:t>(5.7)</w:t>
            </w:r>
          </w:p>
        </w:tc>
      </w:tr>
    </w:tbl>
    <w:p w:rsidR="00137C9B" w:rsidRDefault="00137C9B"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process is run until the solution has converged and the value of the summation is approximately one and the final aerosol state is determined.</w:t>
      </w:r>
    </w:p>
    <w:p w:rsidR="00137C9B" w:rsidRDefault="00137C9B" w:rsidP="00451BF6">
      <w:pPr>
        <w:pStyle w:val="BodyText"/>
        <w:jc w:val="both"/>
      </w:pPr>
      <w:r>
        <w:t>In order to determine the precision on the retrieved aerosol profiles, an error estimate on the measurement vector is performed. To yield the error on the measurement vector at a specific tangent altitude</w:t>
      </w:r>
      <w:proofErr w:type="gramStart"/>
      <w:r>
        <w:t xml:space="preserve">, </w:t>
      </w:r>
      <w:proofErr w:type="gramEnd"/>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137C9B" w:rsidTr="00A747D1">
        <w:tc>
          <w:tcPr>
            <w:tcW w:w="8364" w:type="dxa"/>
            <w:tcBorders>
              <w:top w:val="nil"/>
              <w:left w:val="nil"/>
              <w:bottom w:val="nil"/>
              <w:right w:val="nil"/>
            </w:tcBorders>
          </w:tcPr>
          <w:p w:rsidR="00137C9B" w:rsidRPr="00C40C6B" w:rsidRDefault="00137C9B"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137C9B" w:rsidRDefault="00137C9B" w:rsidP="00451BF6">
            <w:pPr>
              <w:pStyle w:val="BodyText"/>
              <w:ind w:firstLine="0"/>
              <w:jc w:val="right"/>
            </w:pPr>
            <w:r>
              <w:t>(5.8)</w:t>
            </w:r>
          </w:p>
        </w:tc>
      </w:tr>
    </w:tbl>
    <w:p w:rsidR="00137C9B" w:rsidRDefault="00137C9B" w:rsidP="00A747D1">
      <w:pPr>
        <w:pStyle w:val="BodyText"/>
        <w:ind w:firstLine="0"/>
        <w:jc w:val="both"/>
      </w:pPr>
      <w:r>
        <w:lastRenderedPageBreak/>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665EF4"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137C9B" w:rsidRDefault="00137C9B" w:rsidP="000921FA">
            <w:pPr>
              <w:pStyle w:val="BodyText"/>
              <w:ind w:firstLine="0"/>
              <w:jc w:val="right"/>
            </w:pPr>
            <w:r>
              <w:t>(5.9)</w:t>
            </w:r>
          </w:p>
        </w:tc>
      </w:tr>
    </w:tbl>
    <w:p w:rsidR="00137C9B" w:rsidRPr="00813314" w:rsidRDefault="00137C9B" w:rsidP="001F388D">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BE7897">
        <w:t>Figure 5-9</w:t>
      </w:r>
      <w:r w:rsidRPr="000921FA">
        <w:fldChar w:fldCharType="end"/>
      </w:r>
      <w:r>
        <w:t>c.</w:t>
      </w:r>
    </w:p>
    <w:p w:rsidR="00137C9B" w:rsidRDefault="00137C9B"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450CAC" w:rsidRDefault="00137C9B"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137C9B" w:rsidRDefault="00137C9B" w:rsidP="00450CAC">
            <w:pPr>
              <w:pStyle w:val="BodyText"/>
              <w:ind w:firstLine="0"/>
              <w:jc w:val="right"/>
            </w:pPr>
            <w:r>
              <w:t>(5.10)</w:t>
            </w:r>
          </w:p>
        </w:tc>
      </w:tr>
    </w:tbl>
    <w:p w:rsidR="00137C9B" w:rsidRDefault="00137C9B"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137C9B"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137C9B" w:rsidRDefault="00137C9B" w:rsidP="00450CAC">
            <w:pPr>
              <w:pStyle w:val="BodyText"/>
              <w:ind w:firstLine="0"/>
              <w:jc w:val="right"/>
            </w:pPr>
            <w:r>
              <w:t>(5.11)</w:t>
            </w:r>
          </w:p>
        </w:tc>
      </w:tr>
    </w:tbl>
    <w:p w:rsidR="00137C9B" w:rsidRDefault="00137C9B"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665EF4"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137C9B" w:rsidRDefault="00137C9B" w:rsidP="003A2911">
            <w:pPr>
              <w:pStyle w:val="BodyText"/>
              <w:ind w:firstLine="0"/>
              <w:jc w:val="right"/>
            </w:pPr>
            <w:r>
              <w:t>(5.12)</w:t>
            </w:r>
          </w:p>
        </w:tc>
      </w:tr>
    </w:tbl>
    <w:p w:rsidR="00137C9B" w:rsidRDefault="00137C9B" w:rsidP="00813314">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137C9B" w:rsidTr="003A2911">
        <w:tc>
          <w:tcPr>
            <w:tcW w:w="6804" w:type="dxa"/>
            <w:tcBorders>
              <w:top w:val="nil"/>
              <w:left w:val="nil"/>
              <w:bottom w:val="nil"/>
              <w:right w:val="nil"/>
            </w:tcBorders>
          </w:tcPr>
          <w:p w:rsidR="00137C9B" w:rsidRPr="00C40C6B" w:rsidRDefault="00665EF4"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137C9B" w:rsidRDefault="00137C9B" w:rsidP="00D85B74">
            <w:pPr>
              <w:pStyle w:val="BodyText"/>
              <w:ind w:firstLine="0"/>
              <w:jc w:val="right"/>
            </w:pPr>
            <w:r>
              <w:t>(5.13)</w:t>
            </w:r>
          </w:p>
        </w:tc>
      </w:tr>
    </w:tbl>
    <w:p w:rsidR="00137C9B" w:rsidRPr="00222E24" w:rsidRDefault="00137C9B"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137C9B" w:rsidRDefault="00137C9B" w:rsidP="00450CAC">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137C9B" w:rsidRDefault="00137C9B" w:rsidP="00395867">
      <w:pPr>
        <w:pStyle w:val="Heading2"/>
      </w:pPr>
      <w:bookmarkStart w:id="33" w:name="_Toc442187691"/>
      <w:r>
        <w:t>5.3.2 Aerosol Extinction Retrievals</w:t>
      </w:r>
      <w:bookmarkEnd w:id="33"/>
    </w:p>
    <w:p w:rsidR="00137C9B" w:rsidRDefault="00137C9B"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for particle size distribution was used with a mode radius of </w:t>
      </w:r>
      <w:r>
        <w:lastRenderedPageBreak/>
        <w:t>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is the received aerosol profiles in blue with the associated error calculated using the method described in the previous section.</w:t>
      </w:r>
    </w:p>
    <w:p w:rsidR="00137C9B" w:rsidRDefault="00137C9B"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note the log scale. For the full r</w:t>
      </w:r>
      <w:r w:rsidR="00665EF4">
        <w:t>ange of</w:t>
      </w:r>
      <w:r>
        <w:t xml:space="preserv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137C9B" w:rsidRDefault="00137C9B" w:rsidP="003A2911">
      <w:pPr>
        <w:pStyle w:val="BodyText"/>
        <w:keepNext/>
        <w:ind w:firstLine="0"/>
        <w:jc w:val="center"/>
      </w:pPr>
      <w:r>
        <w:rPr>
          <w:noProof/>
        </w:rPr>
        <w:lastRenderedPageBreak/>
        <w:drawing>
          <wp:inline distT="0" distB="0" distL="0" distR="0" wp14:anchorId="435B0BB0" wp14:editId="16DC2EE4">
            <wp:extent cx="5943600" cy="594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37C9B" w:rsidRDefault="00137C9B" w:rsidP="003A2911">
      <w:pPr>
        <w:pStyle w:val="Caption"/>
        <w:jc w:val="center"/>
      </w:pPr>
      <w:bookmarkStart w:id="34" w:name="_Ref435868320"/>
      <w:bookmarkStart w:id="35" w:name="_Toc442188836"/>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4"/>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5"/>
    </w:p>
    <w:p w:rsidR="00137C9B" w:rsidRDefault="00665EF4" w:rsidP="001D40D3">
      <w:pPr>
        <w:pStyle w:val="BodyText"/>
        <w:keepNext/>
        <w:ind w:firstLine="0"/>
        <w:jc w:val="center"/>
      </w:pPr>
      <w:r>
        <w:rPr>
          <w:noProof/>
        </w:rPr>
        <w:lastRenderedPageBreak/>
        <w:drawing>
          <wp:inline distT="0" distB="0" distL="0" distR="0">
            <wp:extent cx="5943600" cy="3967480"/>
            <wp:effectExtent l="0" t="0" r="0" b="0"/>
            <wp:docPr id="2" name="Picture 2" descr="C:\Users\bje035.USASK\AppData\Local\Microsoft\Windows\INetCache\Content.Word\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e035.USASK\AppData\Local\Microsoft\Windows\INetCache\Content.Word\5-3-FullAerosolCycle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rsidR="00137C9B" w:rsidRDefault="00137C9B" w:rsidP="001D40D3">
      <w:pPr>
        <w:pStyle w:val="Caption"/>
        <w:jc w:val="center"/>
      </w:pPr>
      <w:bookmarkStart w:id="36" w:name="_Ref435869209"/>
      <w:bookmarkStart w:id="37" w:name="_Toc442188837"/>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6"/>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rsidR="00665EF4">
        <w:t xml:space="preserve">red </w:t>
      </w:r>
      <w:r w:rsidR="00665EF4" w:rsidRPr="00222E24">
        <w:t xml:space="preserve">with its error represented by the </w:t>
      </w:r>
      <w:proofErr w:type="gramStart"/>
      <w:r w:rsidR="00665EF4" w:rsidRPr="00222E24">
        <w:t>shading</w:t>
      </w:r>
      <w:r>
        <w:t>.</w:t>
      </w:r>
      <w:bookmarkEnd w:id="37"/>
      <w:proofErr w:type="gramEnd"/>
    </w:p>
    <w:p w:rsidR="00137C9B" w:rsidRPr="001D40D3" w:rsidRDefault="00137C9B" w:rsidP="001D40D3"/>
    <w:p w:rsidR="00137C9B" w:rsidRDefault="00137C9B"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rsidR="00665EF4">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Aerosol is notoriously difficult to validate in remote sensing with various technique and instrument geometries, and yet the SAGE II, SAGE </w:t>
      </w:r>
      <w:r>
        <w:lastRenderedPageBreak/>
        <w:t>III and OSIRIS differences are generally 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137C9B" w:rsidRDefault="00137C9B" w:rsidP="00853EC2">
      <w:pPr>
        <w:pStyle w:val="BodyText"/>
        <w:keepNext/>
        <w:ind w:firstLine="0"/>
        <w:jc w:val="center"/>
      </w:pPr>
      <w:r>
        <w:rPr>
          <w:noProof/>
        </w:rPr>
        <w:drawing>
          <wp:inline distT="0" distB="0" distL="0" distR="0" wp14:anchorId="418174B9" wp14:editId="1E67AD75">
            <wp:extent cx="5943600" cy="396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37C9B" w:rsidRDefault="00137C9B" w:rsidP="00853EC2">
      <w:pPr>
        <w:pStyle w:val="Caption"/>
        <w:jc w:val="center"/>
      </w:pPr>
      <w:bookmarkStart w:id="38" w:name="_Ref435877839"/>
      <w:bookmarkStart w:id="39" w:name="_Toc442188838"/>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8"/>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9"/>
    </w:p>
    <w:p w:rsidR="00137C9B" w:rsidRPr="00853EC2" w:rsidRDefault="00137C9B" w:rsidP="00853EC2"/>
    <w:p w:rsidR="00137C9B" w:rsidRDefault="00137C9B" w:rsidP="004702F4">
      <w:pPr>
        <w:pStyle w:val="BodyText"/>
        <w:jc w:val="both"/>
      </w:pPr>
      <w:r>
        <w:t xml:space="preserve">As a further note, other issues may have resulted in the disagreement between OSIRIS and ALI, mainly the estimation of the albedo and the pointing inaccuracies. For the albedo, as noted in TODO: ADD </w:t>
      </w:r>
      <w:proofErr w:type="gramStart"/>
      <w:r>
        <w:t>SECTION</w:t>
      </w:r>
      <w:r w:rsidR="00964731">
        <w:t>(</w:t>
      </w:r>
      <w:proofErr w:type="gramEnd"/>
      <w:r w:rsidR="00964731">
        <w:t>CH4)</w:t>
      </w:r>
      <w:r>
        <w:t xml:space="preserve">, linear polarized aerosol retrievals have a much larger sensitivity to albedo. For a scalar retrieval, changing the albedo from zero to one results in approximately a 30% increase in the aerosol extinction, but for a linear polarized measurement this change in albedo </w:t>
      </w:r>
      <w:r>
        <w:lastRenderedPageBreak/>
        <w:t xml:space="preserve">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BE7897">
        <w:t>Figure 5-12</w:t>
      </w:r>
      <w:r w:rsidRPr="00891729">
        <w:fldChar w:fldCharType="end"/>
      </w:r>
      <w:r>
        <w:t>a. Once again, note the log scale</w:t>
      </w:r>
      <w:r w:rsidR="00964731">
        <w:t>,</w:t>
      </w:r>
      <w:r>
        <w:t xml:space="preserv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BE7897">
        <w:t>Figure 5-12</w:t>
      </w:r>
      <w:r w:rsidRPr="004702F4">
        <w:fldChar w:fldCharType="end"/>
      </w:r>
      <w:r>
        <w:t xml:space="preserve">b. From decreasing the zenith angle, the aerosol extinction is increased which could account for the </w:t>
      </w:r>
      <w:r w:rsidR="00964731">
        <w:t xml:space="preserve">largest </w:t>
      </w:r>
      <w:r>
        <w:t>discrepancies between the OSIRIS and ALI results at the 20 km range but moves the aerosol peak to a higher altitude causing a further discrepancy with OSIRIS</w:t>
      </w:r>
      <w:r w:rsidR="00964731">
        <w:t xml:space="preserve"> at lower tangent altitudes</w:t>
      </w:r>
      <w:r>
        <w:t>. However, due to a lack of pointing information from the gondola this is the best estimation that could be performed. Furthermore, there may be further issues to explore with the polarized measurement</w:t>
      </w:r>
      <w:r w:rsidR="00964731">
        <w:t>s</w:t>
      </w:r>
      <w:r>
        <w:t xml:space="preserve"> and forward model.  Regardless, the results are encouraging.</w:t>
      </w:r>
    </w:p>
    <w:p w:rsidR="00137C9B" w:rsidRDefault="00137C9B" w:rsidP="00395867">
      <w:pPr>
        <w:pStyle w:val="Heading2"/>
      </w:pPr>
      <w:bookmarkStart w:id="40" w:name="_Toc442187692"/>
      <w:r>
        <w:t>5.3.3 Particle Size Retrieval Methodology</w:t>
      </w:r>
      <w:bookmarkEnd w:id="40"/>
    </w:p>
    <w:p w:rsidR="00137C9B" w:rsidRDefault="00137C9B" w:rsidP="009E3AB6">
      <w:pPr>
        <w:pStyle w:val="BodyText"/>
        <w:jc w:val="both"/>
      </w:pPr>
      <w:r>
        <w:t xml:space="preserve"> Work done by </w:t>
      </w:r>
      <w:proofErr w:type="spellStart"/>
      <w:r w:rsidRPr="008D458D">
        <w:rPr>
          <w:i/>
        </w:rPr>
        <w:t>R</w:t>
      </w:r>
      <w:r>
        <w:rPr>
          <w:i/>
        </w:rPr>
        <w:t>ie</w:t>
      </w:r>
      <w:r w:rsidRPr="008D458D">
        <w:rPr>
          <w:i/>
        </w:rPr>
        <w:t>ger</w:t>
      </w:r>
      <w:proofErr w:type="spellEnd"/>
      <w:r w:rsidRPr="008D458D">
        <w:rPr>
          <w:i/>
        </w:rPr>
        <w:t xml:space="preserve"> et al.</w:t>
      </w:r>
      <w:r>
        <w:t xml:space="preserve"> (2014) has shown that different particle size distributions can affect the aerosol measurement vector</w:t>
      </w:r>
      <w:r w:rsidR="00276A4D">
        <w:t>s</w:t>
      </w:r>
      <w:r>
        <w:t xml:space="preserve"> to yield some sensitivity. In his study, he uses an OSIRIS geometry and calculates the respective measurement vectors for a series of particle sizes which can be seen </w:t>
      </w:r>
      <w:r w:rsidR="00276A4D">
        <w:t xml:space="preserve">recreated </w:t>
      </w:r>
      <w:r>
        <w:t xml:space="preserve">in </w:t>
      </w:r>
      <w:r w:rsidRPr="00984538">
        <w:fldChar w:fldCharType="begin"/>
      </w:r>
      <w:r w:rsidRPr="00984538">
        <w:instrText xml:space="preserve"> REF _Ref437456251 \h </w:instrText>
      </w:r>
      <w:r w:rsidR="00984538" w:rsidRPr="00984538">
        <w:instrText xml:space="preserve"> \* MERGEFORMAT </w:instrText>
      </w:r>
      <w:r w:rsidRPr="00984538">
        <w:fldChar w:fldCharType="separate"/>
      </w:r>
      <w:r w:rsidRPr="00984538">
        <w:t>Figure 5-</w:t>
      </w:r>
      <w:r w:rsidRPr="00984538">
        <w:rPr>
          <w:noProof/>
        </w:rPr>
        <w:t>13</w:t>
      </w:r>
      <w:r w:rsidRPr="00984538">
        <w:fldChar w:fldCharType="end"/>
      </w:r>
      <w:r>
        <w:t xml:space="preserve">.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w:t>
      </w:r>
      <w:r>
        <w:lastRenderedPageBreak/>
        <w:t xml:space="preserve">difference of the measurement vectors compared to the bimodal distribution. Sensitivity to particle size is only seen past 800 nm measurements but great sensitivity does not occur until measurement </w:t>
      </w:r>
      <w:r w:rsidR="00276A4D">
        <w:t>are</w:t>
      </w:r>
      <w:r>
        <w:t xml:space="preserve"> recorded out to 1200 nm. Furthermore, a 1% error in the radiance yields a relative error in the bimodal distribution measurement vector shown by the gray shading.</w:t>
      </w:r>
    </w:p>
    <w:p w:rsidR="00137C9B" w:rsidRDefault="00137C9B" w:rsidP="00F038D8">
      <w:pPr>
        <w:pStyle w:val="BodyText"/>
        <w:keepNext/>
        <w:ind w:firstLine="0"/>
      </w:pPr>
      <w:r>
        <w:rPr>
          <w:noProof/>
        </w:rPr>
        <w:drawing>
          <wp:inline distT="0" distB="0" distL="0" distR="0" wp14:anchorId="0A762997" wp14:editId="72262F4A">
            <wp:extent cx="5903366" cy="223689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137C9B" w:rsidRDefault="00137C9B" w:rsidP="00A66D86">
      <w:pPr>
        <w:pStyle w:val="Caption"/>
        <w:jc w:val="center"/>
      </w:pPr>
      <w:bookmarkStart w:id="41" w:name="_Ref437456251"/>
      <w:bookmarkStart w:id="42" w:name="_Toc44218883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1"/>
      <w:r w:rsidRPr="00F038D8">
        <w:rPr>
          <w:b/>
        </w:rPr>
        <w:t>:</w:t>
      </w:r>
      <w:r>
        <w:t xml:space="preserve"> Reproduced from Figure 4 of </w:t>
      </w:r>
      <w:proofErr w:type="spellStart"/>
      <w:r w:rsidRPr="00F038D8">
        <w:rPr>
          <w:i/>
        </w:rPr>
        <w:t>Rieger</w:t>
      </w:r>
      <w:proofErr w:type="spellEnd"/>
      <w:r w:rsidRPr="00F038D8">
        <w:rPr>
          <w:i/>
        </w:rPr>
        <w:t xml:space="preserve"> et al.</w:t>
      </w:r>
      <w:r>
        <w:t xml:space="preserve"> (2014). For OSIRIS scan 6432001 aerosol measurement vectors were calculated at 22.5 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2"/>
    </w:p>
    <w:p w:rsidR="00137C9B" w:rsidRPr="00A66D86" w:rsidRDefault="00137C9B" w:rsidP="00A66D86"/>
    <w:p w:rsidR="00137C9B" w:rsidRDefault="00137C9B" w:rsidP="005F1347">
      <w:pPr>
        <w:pStyle w:val="BodyText"/>
        <w:jc w:val="both"/>
      </w:pPr>
      <w:r>
        <w:t>For ALI, measurements were only gathered between 650 and 950 nm in wavelength, due to the low sensitivity of the CCD camera in the NIR. ALI only has sensitivity to particle size from the longer wavelengths and only a small amount. As such, it will not be possible to determine both the mode radius and mode width. Instead, the data from ALI will be used to determine an Angström exponent. The Angström exponent is an approximation to Mie scattering since the value of the Angström exponent</w:t>
      </w:r>
      <w:proofErr w:type="gramStart"/>
      <w:r>
        <w:t xml:space="preserve">, </w:t>
      </w:r>
      <w:proofErr w:type="gramEnd"/>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137C9B" w:rsidTr="00C500DC">
        <w:tc>
          <w:tcPr>
            <w:tcW w:w="6804" w:type="dxa"/>
            <w:tcBorders>
              <w:top w:val="nil"/>
              <w:left w:val="nil"/>
              <w:bottom w:val="nil"/>
              <w:right w:val="nil"/>
            </w:tcBorders>
          </w:tcPr>
          <w:p w:rsidR="00137C9B" w:rsidRPr="00C40C6B" w:rsidRDefault="00665EF4"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137C9B" w:rsidRDefault="00137C9B" w:rsidP="00B12AEA">
            <w:pPr>
              <w:pStyle w:val="BodyText"/>
              <w:ind w:firstLine="0"/>
              <w:jc w:val="right"/>
            </w:pPr>
            <w:r>
              <w:t>(5.14)</w:t>
            </w:r>
          </w:p>
        </w:tc>
      </w:tr>
    </w:tbl>
    <w:p w:rsidR="00137C9B" w:rsidRDefault="00137C9B" w:rsidP="00B12AEA">
      <w:pPr>
        <w:pStyle w:val="BodyText"/>
        <w:ind w:firstLine="0"/>
        <w:jc w:val="both"/>
      </w:pPr>
      <w:proofErr w:type="gramStart"/>
      <w:r>
        <w:t>the</w:t>
      </w:r>
      <w:proofErr w:type="gramEnd"/>
      <w:r>
        <w:t xml:space="preserv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w:t>
      </w:r>
      <w:bookmarkStart w:id="43" w:name="_GoBack"/>
      <w:bookmarkEnd w:id="43"/>
      <w:r>
        <w:t xml:space="preserve">centration, and </w:t>
      </w:r>
      <m:oMath>
        <m:r>
          <w:rPr>
            <w:rFonts w:ascii="Cambria Math" w:hAnsi="Cambria Math"/>
          </w:rPr>
          <m:t>σ</m:t>
        </m:r>
      </m:oMath>
      <w:r>
        <w:t xml:space="preserve"> is the scattering cross section</w:t>
      </w:r>
      <w:r w:rsidR="00276A4D">
        <w:t>. S</w:t>
      </w:r>
      <w:r>
        <w:t xml:space="preserve">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BE7897">
        <w:t>Figure 5-14</w:t>
      </w:r>
      <w:r w:rsidRPr="001D6561">
        <w:fldChar w:fldCharType="end"/>
      </w:r>
      <w:r w:rsidRPr="001D6561">
        <w:t>.</w:t>
      </w:r>
      <w:r>
        <w:t xml:space="preserve"> </w:t>
      </w:r>
    </w:p>
    <w:p w:rsidR="00137C9B" w:rsidRDefault="00137C9B" w:rsidP="00A66D86">
      <w:pPr>
        <w:pStyle w:val="BodyText"/>
        <w:keepNext/>
        <w:ind w:firstLine="0"/>
        <w:jc w:val="center"/>
      </w:pPr>
      <w:r>
        <w:rPr>
          <w:noProof/>
        </w:rPr>
        <w:drawing>
          <wp:inline distT="0" distB="0" distL="0" distR="0" wp14:anchorId="3DF114E2" wp14:editId="64BAE443">
            <wp:extent cx="5050434" cy="325526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137C9B" w:rsidRDefault="00137C9B" w:rsidP="00A66D86">
      <w:pPr>
        <w:pStyle w:val="Caption"/>
        <w:jc w:val="center"/>
      </w:pPr>
      <w:bookmarkStart w:id="44" w:name="_Ref437458419"/>
      <w:bookmarkStart w:id="45" w:name="_Toc44218884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4"/>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5"/>
    </w:p>
    <w:p w:rsidR="00137C9B" w:rsidRPr="00A66D86" w:rsidRDefault="00137C9B" w:rsidP="00A66D86"/>
    <w:p w:rsidR="00137C9B" w:rsidRDefault="00137C9B"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137C9B" w:rsidTr="00C500DC">
        <w:tc>
          <w:tcPr>
            <w:tcW w:w="6804" w:type="dxa"/>
            <w:tcBorders>
              <w:top w:val="nil"/>
              <w:left w:val="nil"/>
              <w:bottom w:val="nil"/>
              <w:right w:val="nil"/>
            </w:tcBorders>
          </w:tcPr>
          <w:p w:rsidR="00137C9B" w:rsidRPr="00DE6648" w:rsidRDefault="00137C9B" w:rsidP="00DE6648">
            <w:pPr>
              <w:pStyle w:val="BodyText"/>
              <w:ind w:firstLine="289"/>
              <w:jc w:val="right"/>
              <w:rPr>
                <w:i/>
              </w:rPr>
            </w:pPr>
            <m:oMathPara>
              <m:oMath>
                <m:r>
                  <w:rPr>
                    <w:rFonts w:ascii="Cambria Math" w:hAnsi="Cambria Math"/>
                  </w:rPr>
                  <w:lastRenderedPageBreak/>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137C9B" w:rsidRDefault="00137C9B" w:rsidP="00DE6648">
            <w:pPr>
              <w:pStyle w:val="BodyText"/>
              <w:ind w:firstLine="0"/>
              <w:jc w:val="right"/>
            </w:pPr>
            <w:r>
              <w:t>(5.15)</w:t>
            </w:r>
          </w:p>
        </w:tc>
      </w:tr>
    </w:tbl>
    <w:p w:rsidR="00137C9B" w:rsidRDefault="00137C9B" w:rsidP="00E3749D">
      <w:pPr>
        <w:pStyle w:val="BodyText"/>
        <w:ind w:firstLine="0"/>
        <w:jc w:val="both"/>
      </w:pPr>
      <w:r>
        <w:t>The rearranging demonstrates that the Angström exponent is the simple slope of the log of the extinction over the log of the wavelengths.</w:t>
      </w:r>
    </w:p>
    <w:p w:rsidR="00137C9B" w:rsidRDefault="00137C9B"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137C9B" w:rsidRDefault="00137C9B"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137C9B" w:rsidTr="00D674B9">
        <w:tc>
          <w:tcPr>
            <w:tcW w:w="6804" w:type="dxa"/>
            <w:tcBorders>
              <w:top w:val="nil"/>
              <w:left w:val="nil"/>
              <w:bottom w:val="nil"/>
              <w:right w:val="nil"/>
            </w:tcBorders>
          </w:tcPr>
          <w:p w:rsidR="00137C9B" w:rsidRPr="00DE6648" w:rsidRDefault="00137C9B"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137C9B" w:rsidRDefault="00137C9B" w:rsidP="00D674B9">
            <w:pPr>
              <w:pStyle w:val="BodyText"/>
              <w:ind w:firstLine="0"/>
              <w:jc w:val="right"/>
            </w:pPr>
            <w:r>
              <w:t>(5.16)</w:t>
            </w:r>
          </w:p>
        </w:tc>
      </w:tr>
    </w:tbl>
    <w:p w:rsidR="00137C9B" w:rsidRDefault="00137C9B" w:rsidP="00DB1708">
      <w:pPr>
        <w:pStyle w:val="BodyText"/>
        <w:ind w:firstLine="0"/>
      </w:pPr>
      <w:proofErr w:type="gramStart"/>
      <w:r>
        <w:t>where</w:t>
      </w:r>
      <w:proofErr w:type="gramEnd"/>
      <w:r>
        <w:t xml:space="preserv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137C9B" w:rsidTr="00D674B9">
        <w:tc>
          <w:tcPr>
            <w:tcW w:w="6804" w:type="dxa"/>
            <w:tcBorders>
              <w:top w:val="nil"/>
              <w:left w:val="nil"/>
              <w:bottom w:val="nil"/>
              <w:right w:val="nil"/>
            </w:tcBorders>
          </w:tcPr>
          <w:p w:rsidR="00137C9B" w:rsidRPr="00DE6648" w:rsidRDefault="00137C9B"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137C9B" w:rsidRDefault="00137C9B" w:rsidP="00DB1708">
            <w:pPr>
              <w:pStyle w:val="BodyText"/>
              <w:ind w:firstLine="0"/>
              <w:jc w:val="right"/>
            </w:pPr>
            <w:r>
              <w:t>(5.17)</w:t>
            </w:r>
          </w:p>
        </w:tc>
      </w:tr>
    </w:tbl>
    <w:p w:rsidR="00137C9B" w:rsidRDefault="00137C9B" w:rsidP="00E3749D">
      <w:pPr>
        <w:pStyle w:val="BodyText"/>
        <w:jc w:val="both"/>
      </w:pPr>
      <w:proofErr w:type="gramStart"/>
      <w:r>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w:t>
      </w:r>
      <w:r>
        <w:lastRenderedPageBreak/>
        <w:t>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137C9B" w:rsidRDefault="00137C9B" w:rsidP="00395867">
      <w:pPr>
        <w:pStyle w:val="Heading2"/>
      </w:pPr>
      <w:bookmarkStart w:id="46" w:name="_Toc442187693"/>
      <w:r>
        <w:t>5.3.4 A Sample Particle Size Retrieval</w:t>
      </w:r>
      <w:bookmarkEnd w:id="46"/>
    </w:p>
    <w:p w:rsidR="00137C9B" w:rsidRDefault="00137C9B"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rsidR="00137C9B" w:rsidRDefault="00137C9B" w:rsidP="00D75E6E">
      <w:pPr>
        <w:pStyle w:val="BodyText"/>
        <w:keepNext/>
        <w:ind w:firstLine="0"/>
        <w:jc w:val="center"/>
      </w:pPr>
      <w:r>
        <w:rPr>
          <w:noProof/>
        </w:rPr>
        <w:lastRenderedPageBreak/>
        <w:drawing>
          <wp:inline distT="0" distB="0" distL="0" distR="0" wp14:anchorId="70D3C716" wp14:editId="078994A7">
            <wp:extent cx="2855112" cy="60269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137C9B" w:rsidRDefault="00137C9B" w:rsidP="005606C3">
      <w:pPr>
        <w:pStyle w:val="Caption"/>
        <w:jc w:val="center"/>
      </w:pPr>
      <w:bookmarkStart w:id="47" w:name="_Ref437539159"/>
      <w:bookmarkStart w:id="48" w:name="_Toc442188841"/>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7"/>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8"/>
    </w:p>
    <w:p w:rsidR="00137C9B" w:rsidRPr="005606C3" w:rsidRDefault="00137C9B" w:rsidP="005606C3"/>
    <w:p w:rsidR="00137C9B" w:rsidRDefault="00137C9B" w:rsidP="00395867">
      <w:pPr>
        <w:pStyle w:val="Heading1"/>
      </w:pPr>
      <w:bookmarkStart w:id="49" w:name="_Toc442187694"/>
      <w:r>
        <w:lastRenderedPageBreak/>
        <w:t>5.4 Results</w:t>
      </w:r>
      <w:bookmarkEnd w:id="49"/>
    </w:p>
    <w:p w:rsidR="00137C9B" w:rsidRDefault="00137C9B"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137C9B" w:rsidRPr="00395867" w:rsidRDefault="00137C9B"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137C9B" w:rsidRDefault="00137C9B" w:rsidP="00395867">
      <w:pPr>
        <w:pStyle w:val="BodyText"/>
        <w:sectPr w:rsidR="00137C9B"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B6E" w:rsidRDefault="00931B6E">
      <w:r>
        <w:separator/>
      </w:r>
    </w:p>
  </w:endnote>
  <w:endnote w:type="continuationSeparator" w:id="0">
    <w:p w:rsidR="00931B6E" w:rsidRDefault="00931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EF4" w:rsidRDefault="00665EF4">
    <w:pPr>
      <w:pStyle w:val="Footer"/>
    </w:pPr>
    <w:r>
      <w:rPr>
        <w:rStyle w:val="PageNumber"/>
      </w:rPr>
      <w:fldChar w:fldCharType="begin"/>
    </w:r>
    <w:r>
      <w:rPr>
        <w:rStyle w:val="PageNumber"/>
      </w:rPr>
      <w:instrText xml:space="preserve"> PAGE </w:instrText>
    </w:r>
    <w:r>
      <w:rPr>
        <w:rStyle w:val="PageNumber"/>
      </w:rPr>
      <w:fldChar w:fldCharType="separate"/>
    </w:r>
    <w:r w:rsidR="00964731">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EF4" w:rsidRDefault="00665EF4">
    <w:pPr>
      <w:pStyle w:val="Footer"/>
    </w:pPr>
    <w:r>
      <w:rPr>
        <w:rStyle w:val="PageNumber"/>
      </w:rPr>
      <w:fldChar w:fldCharType="begin"/>
    </w:r>
    <w:r>
      <w:rPr>
        <w:rStyle w:val="PageNumber"/>
      </w:rPr>
      <w:instrText xml:space="preserve"> PAGE </w:instrText>
    </w:r>
    <w:r>
      <w:rPr>
        <w:rStyle w:val="PageNumber"/>
      </w:rPr>
      <w:fldChar w:fldCharType="separate"/>
    </w:r>
    <w:r w:rsidR="00276A4D">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B6E" w:rsidRDefault="00931B6E">
      <w:r>
        <w:separator/>
      </w:r>
    </w:p>
  </w:footnote>
  <w:footnote w:type="continuationSeparator" w:id="0">
    <w:p w:rsidR="00931B6E" w:rsidRDefault="00931B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EF4" w:rsidRDefault="00665EF4">
    <w:pPr>
      <w:pStyle w:val="Header"/>
    </w:pPr>
    <w:r>
      <w:rPr>
        <w:rStyle w:val="PageNumber"/>
      </w:rPr>
      <w:fldChar w:fldCharType="begin"/>
    </w:r>
    <w:r>
      <w:rPr>
        <w:rStyle w:val="PageNumber"/>
      </w:rPr>
      <w:instrText xml:space="preserve"> PAGE </w:instrText>
    </w:r>
    <w:r>
      <w:rPr>
        <w:rStyle w:val="PageNumber"/>
      </w:rPr>
      <w:fldChar w:fldCharType="separate"/>
    </w:r>
    <w:r w:rsidR="00276A4D">
      <w:rPr>
        <w:rStyle w:val="PageNumber"/>
        <w:noProof/>
      </w:rPr>
      <w:t>29</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EF4" w:rsidRDefault="00665EF4">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37C9B"/>
    <w:rsid w:val="00152F8F"/>
    <w:rsid w:val="00160C26"/>
    <w:rsid w:val="001837A4"/>
    <w:rsid w:val="001A1A60"/>
    <w:rsid w:val="001A3348"/>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534DD"/>
    <w:rsid w:val="0025439D"/>
    <w:rsid w:val="00276A4D"/>
    <w:rsid w:val="00282137"/>
    <w:rsid w:val="0028482A"/>
    <w:rsid w:val="00286BE8"/>
    <w:rsid w:val="00292AD8"/>
    <w:rsid w:val="00293638"/>
    <w:rsid w:val="002B085C"/>
    <w:rsid w:val="002B150E"/>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50DAD"/>
    <w:rsid w:val="005606C3"/>
    <w:rsid w:val="00563BF8"/>
    <w:rsid w:val="00590655"/>
    <w:rsid w:val="00595777"/>
    <w:rsid w:val="005B755D"/>
    <w:rsid w:val="005C75D2"/>
    <w:rsid w:val="005D7BE8"/>
    <w:rsid w:val="005E5BCC"/>
    <w:rsid w:val="005F1347"/>
    <w:rsid w:val="00604F05"/>
    <w:rsid w:val="00621860"/>
    <w:rsid w:val="00627E31"/>
    <w:rsid w:val="00630AA1"/>
    <w:rsid w:val="0064352E"/>
    <w:rsid w:val="00665EF4"/>
    <w:rsid w:val="006B03E2"/>
    <w:rsid w:val="006B5E7C"/>
    <w:rsid w:val="006B708C"/>
    <w:rsid w:val="006C2AF7"/>
    <w:rsid w:val="006C43D1"/>
    <w:rsid w:val="006E0CE1"/>
    <w:rsid w:val="006F26BE"/>
    <w:rsid w:val="006F52F6"/>
    <w:rsid w:val="00706EEF"/>
    <w:rsid w:val="0071354A"/>
    <w:rsid w:val="00751102"/>
    <w:rsid w:val="00784CED"/>
    <w:rsid w:val="00793FC3"/>
    <w:rsid w:val="00796578"/>
    <w:rsid w:val="007A4E1D"/>
    <w:rsid w:val="007B4C3F"/>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1785"/>
    <w:rsid w:val="0090199B"/>
    <w:rsid w:val="00903243"/>
    <w:rsid w:val="00914979"/>
    <w:rsid w:val="009209E4"/>
    <w:rsid w:val="00926ABD"/>
    <w:rsid w:val="00931B6E"/>
    <w:rsid w:val="00931E05"/>
    <w:rsid w:val="00933DB1"/>
    <w:rsid w:val="00946035"/>
    <w:rsid w:val="0094787D"/>
    <w:rsid w:val="00954377"/>
    <w:rsid w:val="00960C5C"/>
    <w:rsid w:val="00961690"/>
    <w:rsid w:val="0096283B"/>
    <w:rsid w:val="00964731"/>
    <w:rsid w:val="00970687"/>
    <w:rsid w:val="009718A5"/>
    <w:rsid w:val="00975A2C"/>
    <w:rsid w:val="00984538"/>
    <w:rsid w:val="009A7A57"/>
    <w:rsid w:val="009B68DA"/>
    <w:rsid w:val="009D786C"/>
    <w:rsid w:val="009E3AB6"/>
    <w:rsid w:val="009E7189"/>
    <w:rsid w:val="009F05B9"/>
    <w:rsid w:val="009F3EE8"/>
    <w:rsid w:val="00A11105"/>
    <w:rsid w:val="00A2218B"/>
    <w:rsid w:val="00A25D0C"/>
    <w:rsid w:val="00A27E22"/>
    <w:rsid w:val="00A365E7"/>
    <w:rsid w:val="00A36F69"/>
    <w:rsid w:val="00A404F3"/>
    <w:rsid w:val="00A422BD"/>
    <w:rsid w:val="00A432B3"/>
    <w:rsid w:val="00A44AD9"/>
    <w:rsid w:val="00A562AA"/>
    <w:rsid w:val="00A6500D"/>
    <w:rsid w:val="00A66D86"/>
    <w:rsid w:val="00A747D1"/>
    <w:rsid w:val="00A81D55"/>
    <w:rsid w:val="00A9480C"/>
    <w:rsid w:val="00A95F7B"/>
    <w:rsid w:val="00AB2010"/>
    <w:rsid w:val="00AC0D69"/>
    <w:rsid w:val="00AD56B6"/>
    <w:rsid w:val="00AD67E9"/>
    <w:rsid w:val="00AE09C4"/>
    <w:rsid w:val="00AE4782"/>
    <w:rsid w:val="00AF0528"/>
    <w:rsid w:val="00AF395D"/>
    <w:rsid w:val="00B101D6"/>
    <w:rsid w:val="00B10302"/>
    <w:rsid w:val="00B12AEA"/>
    <w:rsid w:val="00B13F82"/>
    <w:rsid w:val="00B43245"/>
    <w:rsid w:val="00B54ABB"/>
    <w:rsid w:val="00B62416"/>
    <w:rsid w:val="00B661D8"/>
    <w:rsid w:val="00B7041C"/>
    <w:rsid w:val="00B73D80"/>
    <w:rsid w:val="00BA0898"/>
    <w:rsid w:val="00BB608B"/>
    <w:rsid w:val="00BB7972"/>
    <w:rsid w:val="00BC0948"/>
    <w:rsid w:val="00BD1AA9"/>
    <w:rsid w:val="00BE7348"/>
    <w:rsid w:val="00BF4C14"/>
    <w:rsid w:val="00C13BA2"/>
    <w:rsid w:val="00C15D29"/>
    <w:rsid w:val="00C31226"/>
    <w:rsid w:val="00C500DC"/>
    <w:rsid w:val="00C76EA9"/>
    <w:rsid w:val="00C91751"/>
    <w:rsid w:val="00C922A2"/>
    <w:rsid w:val="00CB094C"/>
    <w:rsid w:val="00CB2E74"/>
    <w:rsid w:val="00CC09BC"/>
    <w:rsid w:val="00CD3D90"/>
    <w:rsid w:val="00D24EFC"/>
    <w:rsid w:val="00D47E5C"/>
    <w:rsid w:val="00D5185E"/>
    <w:rsid w:val="00D674B9"/>
    <w:rsid w:val="00D75E6E"/>
    <w:rsid w:val="00D826F6"/>
    <w:rsid w:val="00D85B74"/>
    <w:rsid w:val="00DA1125"/>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69AC"/>
    <w:rsid w:val="00EA3586"/>
    <w:rsid w:val="00EB5A2B"/>
    <w:rsid w:val="00EC081B"/>
    <w:rsid w:val="00EC250F"/>
    <w:rsid w:val="00ED6DE1"/>
    <w:rsid w:val="00EF6254"/>
    <w:rsid w:val="00F038D8"/>
    <w:rsid w:val="00F117A6"/>
    <w:rsid w:val="00F12987"/>
    <w:rsid w:val="00F16917"/>
    <w:rsid w:val="00F26F15"/>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77D39-343E-4C28-964B-8587C0E5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32</Pages>
  <Words>6963</Words>
  <Characters>39690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128</cp:revision>
  <cp:lastPrinted>1999-05-26T15:06:00Z</cp:lastPrinted>
  <dcterms:created xsi:type="dcterms:W3CDTF">2015-08-27T21:14:00Z</dcterms:created>
  <dcterms:modified xsi:type="dcterms:W3CDTF">2016-02-15T18:06:00Z</dcterms:modified>
</cp:coreProperties>
</file>