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D31" w:rsidRPr="008359F9" w:rsidRDefault="006B2D31"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6B2D31" w:rsidRDefault="006B2D31">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55582633"/>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r>
        <w:rPr>
          <w:rStyle w:val="FootnoteReference"/>
          <w:sz w:val="36"/>
          <w:szCs w:val="36"/>
        </w:rPr>
        <w:footnoteReference w:id="1"/>
      </w:r>
      <w:bookmarkEnd w:id="7"/>
    </w:p>
    <w:p w:rsidR="006B2D31" w:rsidRDefault="006B2D31" w:rsidP="007C6C0E">
      <w:pPr>
        <w:pStyle w:val="Heading1"/>
      </w:pPr>
      <w:bookmarkStart w:id="8" w:name="_Toc455582634"/>
      <w:r>
        <w:t>5.1 Stratospheric Balloon Flight</w:t>
      </w:r>
      <w:bookmarkEnd w:id="8"/>
    </w:p>
    <w:p w:rsidR="006B2D31" w:rsidRPr="007C6C0E" w:rsidRDefault="006B2D31" w:rsidP="002F1C15">
      <w:pPr>
        <w:pStyle w:val="BodyText"/>
        <w:jc w:val="both"/>
      </w:pPr>
      <w:r>
        <w:t>After the completion of the ALI system tests on August 18, 2014, the instrument was transported to Timmins, Ontario and preparations were underwent for the balloon launch from August 25, 2014 until September 18, 2014. During this balloon campaign, there were seven balloon launches with ALI being a part of the seventh balloon. The flight of ALI took place on September 19, 2014.</w:t>
      </w:r>
    </w:p>
    <w:p w:rsidR="006B2D31" w:rsidRDefault="006B2D31" w:rsidP="00901785">
      <w:pPr>
        <w:pStyle w:val="Heading2"/>
      </w:pPr>
      <w:bookmarkStart w:id="9" w:name="_Toc455582635"/>
      <w:r>
        <w:t>5.1.1 Preflight Preparations</w:t>
      </w:r>
      <w:bookmarkEnd w:id="9"/>
    </w:p>
    <w:p w:rsidR="006B2D31" w:rsidRDefault="006B2D31" w:rsidP="002F1C15">
      <w:pPr>
        <w:pStyle w:val="BodyText"/>
        <w:jc w:val="both"/>
      </w:pPr>
      <w:r>
        <w:t>The Canadian Space Agency (CSA) balloon launch facility in Timmins, Ontario is located at the Victor M. Power Airport (48.47</w:t>
      </w:r>
      <w:r>
        <w:rPr>
          <w:vertAlign w:val="superscript"/>
        </w:rPr>
        <w:t>◦</w:t>
      </w:r>
      <w:r>
        <w:t>N 81.33</w:t>
      </w:r>
      <w:r>
        <w:rPr>
          <w:vertAlign w:val="superscript"/>
        </w:rPr>
        <w:t>◦</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Centre National d'Etudes Spatiales</w:t>
      </w:r>
      <w:r>
        <w:t xml:space="preserve"> (CNES) CARMEN-2 gondola. </w:t>
      </w:r>
    </w:p>
    <w:p w:rsidR="006B2D31" w:rsidRDefault="006B2D31"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of automated startup, establishment of telemetry connection, ensuring that the system powered on correctly with no errors and that the science operation program functioned. With this test it was verified that no functional problems occurred to the device during transportation, and all temperature and voltage sensors, GPS module, and CCD camera were reporting valid diagnostic values. </w:t>
      </w:r>
    </w:p>
    <w:p w:rsidR="006B2D31" w:rsidRDefault="006B2D31" w:rsidP="002F1C15">
      <w:pPr>
        <w:pStyle w:val="BodyText"/>
        <w:jc w:val="both"/>
      </w:pPr>
      <w:r>
        <w:t>Once the ALI system was verified to be operational, an imaging check was performed to verify that no optical components suffered damage or slippage during transportation. An EIA 1956 resolution target was illuminated by a 250 W tungsten halogen light source and was imaged by ALI to verify the optical layout. The recorded images were very similar to the ones taken in the laboratory before leaving Saskatoon.</w:t>
      </w:r>
    </w:p>
    <w:p w:rsidR="006B2D31" w:rsidRDefault="006B2D31" w:rsidP="00903243">
      <w:pPr>
        <w:pStyle w:val="BodyText"/>
        <w:jc w:val="both"/>
      </w:pPr>
      <w:r>
        <w:t xml:space="preserve">Following the successful test of ALI, final preparations were needed prior to beginning integration with CARMEN-2.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which could cause permanent catastrophic damage to the CCD detector. At the launch facility, ALI was taken to a semi-clean area to unseal the CCD chamber. A panel was removed on the side of the camera and the seal to be removed can be seen in </w:t>
      </w:r>
      <w:r w:rsidRPr="00903243">
        <w:fldChar w:fldCharType="begin"/>
      </w:r>
      <w:r w:rsidRPr="00903243">
        <w:instrText xml:space="preserve"> REF _Ref443295095 \h  \* MERGEFORMAT </w:instrText>
      </w:r>
      <w:r w:rsidRPr="00903243">
        <w:fldChar w:fldCharType="separate"/>
      </w:r>
      <w:r w:rsidRPr="00DB0B24">
        <w:t>Figure 5-1</w:t>
      </w:r>
      <w:r w:rsidRPr="00903243">
        <w:fldChar w:fldCharType="end"/>
      </w:r>
      <w:r>
        <w:t>. The orange o-ring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6B2D31" w:rsidRDefault="006B2D31" w:rsidP="0085229E">
      <w:pPr>
        <w:pStyle w:val="BodyText"/>
        <w:keepNext/>
        <w:ind w:firstLine="0"/>
        <w:jc w:val="center"/>
      </w:pPr>
      <w:r>
        <w:rPr>
          <w:noProof/>
          <w:lang w:val="en-CA" w:eastAsia="en-CA"/>
        </w:rPr>
        <w:drawing>
          <wp:inline distT="0" distB="0" distL="0" distR="0" wp14:anchorId="7C8F3169" wp14:editId="1C67957D">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6B2D31" w:rsidRDefault="006B2D31" w:rsidP="00370E18">
      <w:pPr>
        <w:pStyle w:val="Caption"/>
        <w:jc w:val="both"/>
      </w:pPr>
      <w:bookmarkStart w:id="10" w:name="_Ref434413730"/>
      <w:bookmarkStart w:id="11" w:name="_Ref443295095"/>
      <w:bookmarkStart w:id="12" w:name="_Toc455582767"/>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A25D0C">
        <w:rPr>
          <w:b/>
        </w:rPr>
        <w:t>:</w:t>
      </w:r>
      <w:r>
        <w:t xml:space="preserve"> Side of the QSI CCD with the panel that contains the vacuum seal opened. The orange o-ring seen in the cavity is removed from the chamber to open the vacuum seal to the camera's CCD chip.</w:t>
      </w:r>
      <w:bookmarkEnd w:id="12"/>
    </w:p>
    <w:p w:rsidR="006B2D31" w:rsidRPr="0085229E" w:rsidRDefault="006B2D31" w:rsidP="0085229E"/>
    <w:p w:rsidR="006B2D31" w:rsidRDefault="006B2D31" w:rsidP="00A11105">
      <w:pPr>
        <w:pStyle w:val="BodyText"/>
        <w:jc w:val="both"/>
      </w:pPr>
      <w:r>
        <w:t>The next step before ALI could be integrated was to add thermal shielding in order to protect ALI from the thermal environment at approximately 35 km. The first thermal concern was the instrument temperature falling to a point where the electronics were too cold to function. The instrument would have to be in complete darkness during the assent which would result in little to no solar heating. Furthermore, ALI passed through the tropopause where temperatures can be as cold as -70</w:t>
      </w:r>
      <w:r>
        <w:rPr>
          <w:vertAlign w:val="superscript"/>
        </w:rPr>
        <w:t>◦</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adding a thermal reflector to the outside of the thermal insulation which would reflect a portion of the incoming solar radiation away from ALI. </w:t>
      </w:r>
    </w:p>
    <w:p w:rsidR="006B2D31" w:rsidRDefault="006B2D31"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DB0B24">
        <w:t>Figure 5-2</w:t>
      </w:r>
      <w:r w:rsidRPr="00C31226">
        <w:fldChar w:fldCharType="end"/>
      </w:r>
      <w:r>
        <w:t xml:space="preserve"> and ALI used the power and communication subsystems of CARMEN-2. Testing was performed with collaboration from the CARMEN-2 team to verify that there were no issues between ALI and CARMEN-2</w:t>
      </w:r>
      <w:r>
        <w:rPr>
          <w:lang w:val="en-CA"/>
        </w:rPr>
        <w:t>’s</w:t>
      </w:r>
      <w:r>
        <w:t xml:space="preserve"> systems. A problem was found in the communication module, named Siren, between ALI and the ground station computer. With assistance from the CARMEN-2 team, the correct Ethernet settings were determined and a patch to the ALI operation code was applied. </w:t>
      </w:r>
    </w:p>
    <w:p w:rsidR="006B2D31" w:rsidRDefault="006B2D31" w:rsidP="00A11105">
      <w:pPr>
        <w:pStyle w:val="BodyText"/>
        <w:jc w:val="both"/>
      </w:pPr>
      <w:r>
        <w:t>During the integration phase, it should be noted that several instruments were also being verified with the CARMEN-2 systems alongside ALI for integration onto the gondola including four other Canadian instruments, such as the OSRIS development model (</w:t>
      </w:r>
      <w:r>
        <w:rPr>
          <w:i/>
        </w:rPr>
        <w:t>Kozun</w:t>
      </w:r>
      <w:r>
        <w:t xml:space="preserve">, 2015; </w:t>
      </w:r>
      <w:r>
        <w:rPr>
          <w:i/>
        </w:rPr>
        <w:t>Taylor</w:t>
      </w:r>
      <w:r>
        <w:t>, 2015) and SHOW which measures water vapour.</w:t>
      </w:r>
    </w:p>
    <w:p w:rsidR="006B2D31" w:rsidRDefault="006B2D31"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w:t>
      </w:r>
      <w:r w:rsidRPr="00222E24">
        <w:t xml:space="preserve"> from the azimuthal direction of the sun</w:t>
      </w:r>
      <w:r>
        <w:t>,</w:t>
      </w:r>
      <w:r w:rsidRPr="00222E24">
        <w:t xml:space="preserve"> with an overall southern </w:t>
      </w:r>
      <w:r>
        <w:t>FOV</w:t>
      </w:r>
      <w:r w:rsidRPr="00222E24">
        <w:t xml:space="preserve"> during the mission.</w:t>
      </w:r>
    </w:p>
    <w:p w:rsidR="006B2D31" w:rsidRDefault="006B2D31" w:rsidP="00A9480C">
      <w:pPr>
        <w:pStyle w:val="BodyText"/>
        <w:keepNext/>
        <w:ind w:firstLine="0"/>
        <w:jc w:val="center"/>
      </w:pPr>
      <w:r>
        <w:rPr>
          <w:noProof/>
          <w:lang w:val="en-CA" w:eastAsia="en-CA"/>
        </w:rPr>
        <w:drawing>
          <wp:inline distT="0" distB="0" distL="0" distR="0" wp14:anchorId="4CDE9821" wp14:editId="127EFAEA">
            <wp:extent cx="3360578" cy="34855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6B2D31" w:rsidRDefault="006B2D31" w:rsidP="00370E18">
      <w:pPr>
        <w:pStyle w:val="Caption"/>
        <w:jc w:val="both"/>
      </w:pPr>
      <w:bookmarkStart w:id="13" w:name="_Ref434414795"/>
      <w:bookmarkStart w:id="14" w:name="_Toc455582768"/>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t>
      </w:r>
      <w:r>
        <w:t>is</w:t>
      </w:r>
      <w:r w:rsidRPr="00A9480C">
        <w:t xml:space="preserve"> on the side of SHOW. Some of the reflective layer was blacked out to not cause additional stray light into SHOW optical path.</w:t>
      </w:r>
      <w:bookmarkEnd w:id="14"/>
      <w:r w:rsidRPr="00A9480C">
        <w:t xml:space="preserve"> </w:t>
      </w:r>
    </w:p>
    <w:p w:rsidR="006B2D31" w:rsidRPr="00903243" w:rsidRDefault="006B2D31" w:rsidP="00903243"/>
    <w:p w:rsidR="006B2D31" w:rsidRDefault="006B2D31" w:rsidP="00901785">
      <w:pPr>
        <w:pStyle w:val="Heading2"/>
      </w:pPr>
      <w:bookmarkStart w:id="15" w:name="_Toc455582636"/>
      <w:r>
        <w:t>5.1.2 Balloon Flight</w:t>
      </w:r>
      <w:bookmarkEnd w:id="15"/>
    </w:p>
    <w:p w:rsidR="006B2D31" w:rsidRDefault="006B2D31" w:rsidP="003D11DD">
      <w:pPr>
        <w:pStyle w:val="BodyText"/>
        <w:jc w:val="both"/>
      </w:pPr>
      <w:r>
        <w:t>The flight plan for the CARMEN-2 gondola was once float altitude was reached and the sun had risen ALI, OSIRIS, and SHOW would perform their operational missions for the first four hours of the campaign. The operational objectives for ALI included a dark imaging suite for calibration purposes and an aerosol imaging suite for aerosol measurements. A secondary goal was to test the sensitivity to aerosol of ALI with respect to SSA by recording images at various azimuth directions as well as attempt an O</w:t>
      </w:r>
      <w:r>
        <w:rPr>
          <w:vertAlign w:val="subscript"/>
        </w:rPr>
        <w:t>2</w:t>
      </w:r>
      <w:r>
        <w:t xml:space="preserve"> and water vapour imaging suite. After the end of the ALI mission, the instrument was to be powered off and other instruments on CARMEN-2 were to gather measurements.</w:t>
      </w:r>
    </w:p>
    <w:p w:rsidR="006B2D31" w:rsidRDefault="006B2D31" w:rsidP="003D11DD">
      <w:pPr>
        <w:pStyle w:val="BodyText"/>
        <w:jc w:val="both"/>
      </w:pPr>
      <w:r>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6B2D31" w:rsidRDefault="006B2D31" w:rsidP="003439E1">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DB0B24">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DB0B24">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6B2D31" w:rsidRDefault="006B2D31" w:rsidP="00BD1AA9">
      <w:pPr>
        <w:pStyle w:val="BodyText"/>
        <w:keepNext/>
        <w:ind w:firstLine="0"/>
      </w:pPr>
      <w:r>
        <w:rPr>
          <w:noProof/>
          <w:lang w:val="en-CA" w:eastAsia="en-CA"/>
        </w:rPr>
        <w:drawing>
          <wp:inline distT="0" distB="0" distL="0" distR="0" wp14:anchorId="2C6C9D14" wp14:editId="5DD2D956">
            <wp:extent cx="5935980" cy="2534285"/>
            <wp:effectExtent l="0" t="0" r="7620" b="0"/>
            <wp:docPr id="49" name="Picture 49" descr="C:\Users\bje035.USASK\AppData\Local\Microsoft\Windows\INetCache\Content.Word\5-1-AliGpsAndTherma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USASK\AppData\Local\Microsoft\Windows\INetCache\Content.Word\5-1-AliGpsAndThermalDat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534285"/>
                    </a:xfrm>
                    <a:prstGeom prst="rect">
                      <a:avLst/>
                    </a:prstGeom>
                    <a:noFill/>
                    <a:ln>
                      <a:noFill/>
                    </a:ln>
                  </pic:spPr>
                </pic:pic>
              </a:graphicData>
            </a:graphic>
          </wp:inline>
        </w:drawing>
      </w:r>
    </w:p>
    <w:p w:rsidR="006B2D31" w:rsidRDefault="006B2D31" w:rsidP="00370E18">
      <w:pPr>
        <w:pStyle w:val="Caption"/>
        <w:jc w:val="both"/>
      </w:pPr>
      <w:bookmarkStart w:id="16" w:name="_Ref434434702"/>
      <w:bookmarkStart w:id="17" w:name="_Toc455582769"/>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w:t>
      </w:r>
      <w:r>
        <w:t xml:space="preserve"> </w:t>
      </w:r>
      <w:r w:rsidRPr="00DA1125">
        <w:t>and</w:t>
      </w:r>
      <w:r>
        <w:t xml:space="preserve"> the blue, green, red colours represent speeds</w:t>
      </w:r>
      <w:r w:rsidRPr="00DA1125">
        <w:t xml:space="preserve"> of approximately</w:t>
      </w:r>
      <w:r>
        <w:t xml:space="preserve"> 10, 70, and 140 </w:t>
      </w:r>
      <w:r w:rsidRPr="00DA1125">
        <w:t>km/h.</w:t>
      </w:r>
      <w:r w:rsidRPr="00222E24">
        <w:t>.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 xml:space="preserve">s at the magenta vertical line. Originally published as Figure 8 in </w:t>
      </w:r>
      <w:r>
        <w:rPr>
          <w:i/>
        </w:rPr>
        <w:t>Elash et al.</w:t>
      </w:r>
      <w:r>
        <w:t xml:space="preserve"> (2016).</w:t>
      </w:r>
      <w:bookmarkEnd w:id="17"/>
    </w:p>
    <w:p w:rsidR="006B2D31" w:rsidRPr="00BD1AA9" w:rsidRDefault="006B2D31" w:rsidP="00BD1AA9"/>
    <w:p w:rsidR="006B2D31" w:rsidRDefault="006B2D31"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aerosol mode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6B2D31" w:rsidRDefault="006B2D31"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DB0B24">
        <w:t>Figure 5-4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scalar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DB0B24">
        <w:t>Figure 5-4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6B2D31" w:rsidTr="00ED6DE1">
        <w:tc>
          <w:tcPr>
            <w:tcW w:w="6804" w:type="dxa"/>
            <w:tcBorders>
              <w:top w:val="nil"/>
              <w:left w:val="nil"/>
              <w:bottom w:val="nil"/>
              <w:right w:val="nil"/>
            </w:tcBorders>
          </w:tcPr>
          <w:p w:rsidR="006B2D31" w:rsidRPr="00C40C6B" w:rsidRDefault="006B2D31"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6B2D31" w:rsidRDefault="006B2D31" w:rsidP="00BB608B">
            <w:pPr>
              <w:pStyle w:val="BodyText"/>
              <w:ind w:firstLine="0"/>
              <w:jc w:val="right"/>
            </w:pPr>
            <w:r>
              <w:t>(5.1)</w:t>
            </w:r>
          </w:p>
        </w:tc>
      </w:tr>
    </w:tbl>
    <w:p w:rsidR="006B2D31" w:rsidRDefault="006B2D31" w:rsidP="006B708C">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6B2D31" w:rsidRDefault="006B2D31" w:rsidP="00DA1125">
      <w:pPr>
        <w:pStyle w:val="BodyText"/>
        <w:keepNext/>
        <w:ind w:firstLine="0"/>
        <w:jc w:val="center"/>
      </w:pPr>
      <w:r>
        <w:rPr>
          <w:noProof/>
          <w:lang w:val="en-CA" w:eastAsia="en-CA"/>
        </w:rPr>
        <w:drawing>
          <wp:inline distT="0" distB="0" distL="0" distR="0" wp14:anchorId="7CE8A69C" wp14:editId="044C9DDF">
            <wp:extent cx="5489043" cy="2730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6B2D31" w:rsidRDefault="006B2D31" w:rsidP="00370E18">
      <w:pPr>
        <w:pStyle w:val="Caption"/>
        <w:jc w:val="both"/>
      </w:pPr>
      <w:bookmarkStart w:id="18" w:name="_Ref434494474"/>
      <w:bookmarkStart w:id="19" w:name="_Toc455582770"/>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rsidR="006B2D31" w:rsidRPr="004A1F42" w:rsidRDefault="006B2D31" w:rsidP="006B708C">
      <w:pPr>
        <w:pStyle w:val="BodyText"/>
        <w:ind w:firstLine="0"/>
        <w:jc w:val="both"/>
      </w:pPr>
    </w:p>
    <w:p w:rsidR="006B2D31" w:rsidRPr="009D786C" w:rsidRDefault="006B2D31" w:rsidP="00DA1125">
      <w:pPr>
        <w:pStyle w:val="BodyText"/>
        <w:jc w:val="both"/>
      </w:pPr>
      <w:r>
        <w:t>The Nimbus 7 flight lasted for 16 hours 19 minutes with a successful landing at 21:54 UTC. During the flight, ALI successfully gathered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measurements could be verified and processed.</w:t>
      </w:r>
    </w:p>
    <w:p w:rsidR="006B2D31" w:rsidRDefault="006B2D31" w:rsidP="00901785">
      <w:pPr>
        <w:pStyle w:val="Heading1"/>
      </w:pPr>
      <w:bookmarkStart w:id="20" w:name="_Toc455582637"/>
      <w:r>
        <w:t>5.2 Limb Measurements</w:t>
      </w:r>
      <w:bookmarkEnd w:id="20"/>
    </w:p>
    <w:p w:rsidR="006B2D31" w:rsidRDefault="006B2D31"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image</w:t>
      </w:r>
      <w:r>
        <w:t xml:space="preserve"> pair</w:t>
      </w:r>
      <w:r w:rsidRPr="00222E24">
        <w:t xml:space="preserve">s were </w:t>
      </w:r>
      <w:r>
        <w:t>obtained from the flight a</w:t>
      </w:r>
      <w:r w:rsidRPr="00222E24">
        <w:t>nd calibrat</w:t>
      </w:r>
      <w:r>
        <w:t>ion was performed including pointing alignment and the calibrations</w:t>
      </w:r>
      <w:r w:rsidRPr="00222E24">
        <w:t xml:space="preserve"> </w:t>
      </w:r>
      <w:r>
        <w:t>as detailed in section 4.4</w:t>
      </w:r>
      <w:r w:rsidRPr="00222E24">
        <w:t xml:space="preserve">. </w:t>
      </w:r>
    </w:p>
    <w:p w:rsidR="006B2D31" w:rsidRDefault="006B2D31"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Solar Azimuth Angle (SAA) information from the flight and was correlated to the images using GPS time. However, no information was supplied about the zenith direction of the gondola, we were just notified that the gondola was zenithally stable throughout the majority of the flight. So some manual calibration of the zenith angle occurred. ALI was tilted at </w:t>
      </w:r>
      <w:r w:rsidRPr="00C922A2">
        <w:t>3</w:t>
      </w:r>
      <w:r>
        <w:rPr>
          <w:vertAlign w:val="superscript"/>
        </w:rPr>
        <w:t>◦</w:t>
      </w:r>
      <w:r>
        <w:t xml:space="preserve"> so the zenith as assumed to be 93</w:t>
      </w:r>
      <w:r>
        <w:rPr>
          <w:vertAlign w:val="superscript"/>
        </w:rPr>
        <w:t>◦</w:t>
      </w:r>
      <w:r>
        <w:t xml:space="preserve"> for ALI. This starting guess and was not accurate enough since features in the radiance profiles did not retain the same altitude over the course of a few images. To determine a more precise zenith angle, the zenith angle was varied from 92</w:t>
      </w:r>
      <w:r>
        <w:rPr>
          <w:vertAlign w:val="superscript"/>
        </w:rPr>
        <w:t>◦</w:t>
      </w:r>
      <w:r>
        <w:t xml:space="preserve"> to 94</w:t>
      </w:r>
      <w:r>
        <w:rPr>
          <w:vertAlign w:val="superscript"/>
          <w:lang w:val="en-CA"/>
        </w:rPr>
        <w:t>◦</w:t>
      </w:r>
      <w:r>
        <w:t xml:space="preserve"> in 0.1</w:t>
      </w:r>
      <w:r>
        <w:rPr>
          <w:vertAlign w:val="superscript"/>
        </w:rPr>
        <w:t>◦</w:t>
      </w:r>
      <w:r>
        <w:t xml:space="preserve"> intervals and the tangent altitude was calculated for each case. Then the radiance profiles for each zenith angle was compared to find zeniths where the features were aligned. The zenith angle with the optimal alignment was determined to be 92.6</w:t>
      </w:r>
      <w:r>
        <w:rPr>
          <w:vertAlign w:val="superscript"/>
        </w:rPr>
        <w:t>◦</w:t>
      </w:r>
      <w:r>
        <w:t xml:space="preserve"> with an uncertainty of 0.1</w:t>
      </w:r>
      <w:r>
        <w:rPr>
          <w:vertAlign w:val="superscript"/>
        </w:rPr>
        <w:t>◦</w:t>
      </w:r>
      <w:r>
        <w:t xml:space="preserve">. </w:t>
      </w:r>
    </w:p>
    <w:p w:rsidR="006B2D31" w:rsidRDefault="006B2D31"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w:t>
      </w:r>
      <w:r w:rsidRPr="00222E24">
        <w:t xml:space="preserve"> and 98</w:t>
      </w:r>
      <w:r>
        <w:rPr>
          <w:vertAlign w:val="superscript"/>
        </w:rPr>
        <w:t>◦</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DB0B24">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DB0B24">
        <w:t>Figure 5-6</w:t>
      </w:r>
      <w:r w:rsidRPr="0028482A">
        <w:fldChar w:fldCharType="end"/>
      </w:r>
      <w:r>
        <w:t xml:space="preserve">a. Remember that no absolute calibration was performed on ALI, so the radiance are relative radiance in arbitrary units to the 775 nm laboratory calibration. </w:t>
      </w:r>
      <w:r>
        <w:rPr>
          <w:lang w:val="en-CA"/>
        </w:rPr>
        <w:t xml:space="preserve">The error, </w:t>
      </w:r>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6B2D31" w:rsidTr="00ED6DE1">
        <w:tc>
          <w:tcPr>
            <w:tcW w:w="6804" w:type="dxa"/>
            <w:tcBorders>
              <w:top w:val="nil"/>
              <w:left w:val="nil"/>
              <w:bottom w:val="nil"/>
              <w:right w:val="nil"/>
            </w:tcBorders>
          </w:tcPr>
          <w:p w:rsidR="006B2D31" w:rsidRPr="00C40C6B" w:rsidRDefault="006B2D31" w:rsidP="00627E31">
            <w:pPr>
              <w:pStyle w:val="BodyText"/>
              <w:ind w:firstLine="289"/>
              <w:jc w:val="right"/>
            </w:pPr>
            <m:oMathPara>
              <m:oMath>
                <m:sSup>
                  <m:sSupPr>
                    <m:ctrlPr>
                      <w:rPr>
                        <w:rFonts w:ascii="Cambria Math" w:hAnsi="Cambria Math"/>
                        <w:i/>
                        <w:lang w:val="en-CA"/>
                      </w:rPr>
                    </m:ctrlPr>
                  </m:sSupPr>
                  <m:e>
                    <m:r>
                      <w:rPr>
                        <w:rFonts w:ascii="Cambria Math" w:hAnsi="Cambria Math"/>
                        <w:lang w:val="en-CA"/>
                      </w:rPr>
                      <m:t>ϵ</m:t>
                    </m:r>
                  </m:e>
                  <m:sup>
                    <m:r>
                      <w:rPr>
                        <w:rFonts w:ascii="Cambria Math" w:hAnsi="Cambria Math"/>
                        <w:lang w:val="en-CA"/>
                      </w:rPr>
                      <m:t>2</m:t>
                    </m:r>
                  </m:sup>
                </m:s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read</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DC</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dark</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stray</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ff</m:t>
                    </m:r>
                  </m:sub>
                  <m:sup>
                    <m:r>
                      <w:rPr>
                        <w:rFonts w:ascii="Cambria Math" w:hAnsi="Cambria Math"/>
                        <w:lang w:val="en-CA"/>
                      </w:rPr>
                      <m:t>2</m:t>
                    </m:r>
                  </m:sup>
                </m:sSubSup>
                <m:r>
                  <w:rPr>
                    <w:rFonts w:ascii="Cambria Math" w:hAnsi="Cambria Math"/>
                  </w:rPr>
                  <m:t>,</m:t>
                </m:r>
              </m:oMath>
            </m:oMathPara>
          </w:p>
        </w:tc>
        <w:tc>
          <w:tcPr>
            <w:tcW w:w="1246" w:type="dxa"/>
            <w:tcBorders>
              <w:top w:val="nil"/>
              <w:left w:val="nil"/>
              <w:bottom w:val="nil"/>
              <w:right w:val="nil"/>
            </w:tcBorders>
            <w:vAlign w:val="center"/>
          </w:tcPr>
          <w:p w:rsidR="006B2D31" w:rsidRDefault="006B2D31" w:rsidP="0028482A">
            <w:pPr>
              <w:pStyle w:val="BodyText"/>
              <w:ind w:firstLine="0"/>
              <w:jc w:val="right"/>
            </w:pPr>
            <w:r>
              <w:t>(5.2)</w:t>
            </w:r>
          </w:p>
        </w:tc>
      </w:tr>
    </w:tbl>
    <w:p w:rsidR="006B2D31" w:rsidRPr="0028482A" w:rsidRDefault="006B2D31" w:rsidP="0028482A">
      <w:pPr>
        <w:pStyle w:val="BodyText"/>
        <w:ind w:firstLine="0"/>
        <w:jc w:val="both"/>
        <w:rPr>
          <w:lang w:val="en-CA"/>
        </w:rPr>
      </w:pPr>
      <w:r>
        <w:rPr>
          <w:lang w:val="en-CA"/>
        </w:rPr>
        <w:t xml:space="preserve">where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at worst,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6B2D31" w:rsidRDefault="006B2D31" w:rsidP="00CC09BC">
      <w:pPr>
        <w:pStyle w:val="BodyText"/>
        <w:keepNext/>
        <w:ind w:firstLine="0"/>
        <w:jc w:val="center"/>
      </w:pPr>
      <w:r>
        <w:rPr>
          <w:noProof/>
          <w:lang w:val="en-CA" w:eastAsia="en-CA"/>
        </w:rPr>
        <w:drawing>
          <wp:inline distT="0" distB="0" distL="0" distR="0" wp14:anchorId="0A511668" wp14:editId="63D55591">
            <wp:extent cx="3319385" cy="5810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6B2D31" w:rsidRPr="001A3348" w:rsidRDefault="006B2D31" w:rsidP="00370E18">
      <w:pPr>
        <w:pStyle w:val="Caption"/>
        <w:jc w:val="both"/>
      </w:pPr>
      <w:bookmarkStart w:id="21" w:name="_Ref434856870"/>
      <w:bookmarkStart w:id="22" w:name="_Toc455582771"/>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rsidR="006B2D31" w:rsidRDefault="006B2D31" w:rsidP="00CC09BC">
      <w:pPr>
        <w:pStyle w:val="BodyText"/>
        <w:keepNext/>
        <w:ind w:firstLine="0"/>
        <w:jc w:val="center"/>
      </w:pPr>
      <w:r>
        <w:rPr>
          <w:noProof/>
          <w:lang w:val="en-CA" w:eastAsia="en-CA"/>
        </w:rPr>
        <w:drawing>
          <wp:inline distT="0" distB="0" distL="0" distR="0" wp14:anchorId="0A4087F3" wp14:editId="68AC3ACF">
            <wp:extent cx="3618728" cy="49625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6B2D31" w:rsidRDefault="006B2D31" w:rsidP="00370E18">
      <w:pPr>
        <w:pStyle w:val="Caption"/>
        <w:jc w:val="both"/>
      </w:pPr>
      <w:bookmarkStart w:id="23" w:name="_Ref434857421"/>
      <w:bookmarkStart w:id="24" w:name="_Toc455582772"/>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Pr>
          <w:b/>
        </w:rPr>
        <w:t>:</w:t>
      </w:r>
      <w:r>
        <w:t xml:space="preserve"> (a) Final calibrated 750 </w:t>
      </w:r>
      <w:r w:rsidRPr="00CC09BC">
        <w:t>nm image, taken at 13:57 UTC located at 48.55</w:t>
      </w:r>
      <w:r>
        <w:rPr>
          <w:vertAlign w:val="superscript"/>
        </w:rPr>
        <w:t>◦</w:t>
      </w:r>
      <w:r w:rsidRPr="00CC09BC">
        <w:t>N, 80.00</w:t>
      </w:r>
      <w:r>
        <w:rPr>
          <w:vertAlign w:val="superscript"/>
        </w:rPr>
        <w:t>◦</w:t>
      </w:r>
      <w:r w:rsidRPr="00CC09BC">
        <w:t xml:space="preserve">W with a </w:t>
      </w:r>
      <w:r>
        <w:t>SZA</w:t>
      </w:r>
      <w:r w:rsidRPr="00CC09BC">
        <w:t xml:space="preserve"> and </w:t>
      </w:r>
      <w:r>
        <w:t>SSA</w:t>
      </w:r>
      <w:r w:rsidRPr="00CC09BC">
        <w:t xml:space="preserve"> of 63</w:t>
      </w:r>
      <w:r>
        <w:rPr>
          <w:vertAlign w:val="superscript"/>
        </w:rPr>
        <w:t>◦</w:t>
      </w:r>
      <w:r w:rsidRPr="00CC09BC">
        <w:t xml:space="preserve"> and 98</w:t>
      </w:r>
      <w:r>
        <w:rPr>
          <w:vertAlign w:val="superscript"/>
        </w:rPr>
        <w:t>◦</w:t>
      </w:r>
      <w:r w:rsidRPr="00CC09BC">
        <w:t xml:space="preserve"> respectively. (b) The same 750</w:t>
      </w:r>
      <w:r>
        <w:t> </w:t>
      </w:r>
      <w:r w:rsidRPr="00CC09BC">
        <w:t>nm image with the mean of the profile removed from the image leaving the residual signal that shows thin clouds in the troposphere.</w:t>
      </w:r>
      <w:r>
        <w:t xml:space="preserve"> Originally published as Figure 9 in </w:t>
      </w:r>
      <w:r>
        <w:rPr>
          <w:i/>
        </w:rPr>
        <w:t>Elash et al.</w:t>
      </w:r>
      <w:r>
        <w:t xml:space="preserve"> (2016).</w:t>
      </w:r>
      <w:bookmarkEnd w:id="24"/>
    </w:p>
    <w:p w:rsidR="006B2D31" w:rsidRPr="007B4C3F" w:rsidRDefault="006B2D31" w:rsidP="007B4C3F"/>
    <w:p w:rsidR="006B2D31" w:rsidRDefault="006B2D31"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DB0B24">
        <w:t>Figure 5-6</w:t>
      </w:r>
      <w:r w:rsidRPr="0028482A">
        <w:fldChar w:fldCharType="end"/>
      </w:r>
      <w:r>
        <w:t xml:space="preserve">b, where thin clouds (2 km vertical extent or less) are clearly seen near and below the tropopause level, with substantial variation in tangent altitude across the horizontal FOV.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w:t>
      </w:r>
      <w:r>
        <w:t>N, 95.25</w:t>
      </w:r>
      <w:r>
        <w:rPr>
          <w:vertAlign w:val="superscript"/>
        </w:rPr>
        <w:t>◦</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For the high altitudes in the range of 27 to 20 km the expected ratio of signal to stray light was estimated to be inbetween 2-3 but for the campaign the ratio of signal to stray light for some regions dropped down to slightly below one. This may be due to contamination from scattering from a baffle vein or a nearby component of the gondola, although the true cause is unknown at this point.</w:t>
      </w:r>
    </w:p>
    <w:p w:rsidR="006B2D31" w:rsidRDefault="006B2D31" w:rsidP="0028482A">
      <w:pPr>
        <w:pStyle w:val="BodyText"/>
        <w:jc w:val="both"/>
      </w:pPr>
      <w:r>
        <w:t>For ease of further analysis, and t</w:t>
      </w:r>
      <w:r w:rsidRPr="00222E24">
        <w:t>o increase the precision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6B2D31" w:rsidTr="00ED6DE1">
        <w:tc>
          <w:tcPr>
            <w:tcW w:w="6804" w:type="dxa"/>
            <w:tcBorders>
              <w:top w:val="nil"/>
              <w:left w:val="nil"/>
              <w:bottom w:val="nil"/>
              <w:right w:val="nil"/>
            </w:tcBorders>
          </w:tcPr>
          <w:p w:rsidR="006B2D31" w:rsidRPr="00C40C6B" w:rsidRDefault="006B2D31"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6B2D31" w:rsidRDefault="006B2D31" w:rsidP="00BA0898">
            <w:pPr>
              <w:pStyle w:val="BodyText"/>
              <w:ind w:firstLine="0"/>
              <w:jc w:val="right"/>
            </w:pPr>
            <w:r>
              <w:t>(5.3)</w:t>
            </w:r>
          </w:p>
        </w:tc>
      </w:tr>
    </w:tbl>
    <w:p w:rsidR="006B2D31" w:rsidRDefault="006B2D31"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DB0B24">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6B2D31" w:rsidRDefault="006B2D31" w:rsidP="007A4E1D">
      <w:pPr>
        <w:pStyle w:val="BodyText"/>
        <w:keepNext/>
        <w:ind w:firstLine="0"/>
        <w:jc w:val="center"/>
      </w:pPr>
      <w:r>
        <w:rPr>
          <w:noProof/>
          <w:lang w:val="en-CA" w:eastAsia="en-CA"/>
        </w:rPr>
        <w:drawing>
          <wp:inline distT="0" distB="0" distL="0" distR="0" wp14:anchorId="3259069E" wp14:editId="1C5FB910">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6B2D31" w:rsidRDefault="006B2D31" w:rsidP="00370E18">
      <w:pPr>
        <w:pStyle w:val="Caption"/>
        <w:jc w:val="both"/>
      </w:pPr>
      <w:bookmarkStart w:id="25" w:name="_Ref434859826"/>
      <w:bookmarkStart w:id="26" w:name="_Toc455582773"/>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Pr>
          <w:vertAlign w:val="superscript"/>
        </w:rPr>
        <w:t>◦</w:t>
      </w:r>
      <w:r w:rsidRPr="000E75D4">
        <w:t xml:space="preserve"> and solid lines are profile where the </w:t>
      </w:r>
      <w:r>
        <w:t>SZA</w:t>
      </w:r>
      <w:r w:rsidRPr="000E75D4">
        <w:t xml:space="preserve"> is less than 90</w:t>
      </w:r>
      <w:r>
        <w:rPr>
          <w:vertAlign w:val="superscript"/>
        </w:rPr>
        <w:t>◦</w:t>
      </w:r>
      <w:r w:rsidRPr="000E75D4">
        <w:t>.</w:t>
      </w:r>
      <w:r>
        <w:t xml:space="preserve"> Originally published as Figure 10 in </w:t>
      </w:r>
      <w:r>
        <w:rPr>
          <w:i/>
        </w:rPr>
        <w:t>Elash et al.</w:t>
      </w:r>
      <w:r>
        <w:t xml:space="preserve"> (2016).</w:t>
      </w:r>
      <w:bookmarkEnd w:id="26"/>
    </w:p>
    <w:p w:rsidR="006B2D31" w:rsidRPr="000E4898" w:rsidRDefault="006B2D31" w:rsidP="000E4898"/>
    <w:p w:rsidR="006B2D31" w:rsidRDefault="006B2D31"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DB0B24">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6B2D31" w:rsidRDefault="006B2D31" w:rsidP="00F91C97">
      <w:pPr>
        <w:pStyle w:val="BodyText"/>
        <w:keepNext/>
        <w:ind w:firstLine="0"/>
        <w:jc w:val="center"/>
      </w:pPr>
      <w:r>
        <w:rPr>
          <w:noProof/>
          <w:lang w:val="en-CA" w:eastAsia="en-CA"/>
        </w:rPr>
        <w:drawing>
          <wp:inline distT="0" distB="0" distL="0" distR="0" wp14:anchorId="1F4B503D" wp14:editId="2751FB32">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6B2D31" w:rsidRDefault="006B2D31" w:rsidP="00370E18">
      <w:pPr>
        <w:pStyle w:val="Caption"/>
        <w:jc w:val="both"/>
      </w:pPr>
      <w:bookmarkStart w:id="27" w:name="_Ref434859797"/>
      <w:bookmarkStart w:id="28" w:name="_Toc455582774"/>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w:t>
      </w:r>
      <w:r w:rsidRPr="00222E24">
        <w:t xml:space="preserve"> in the azimuth from the sun facing southwards. These spectral profiles are presented at several tangent altitudes with a horizontal look direction of 0</w:t>
      </w:r>
      <w:r>
        <w:rPr>
          <w:vertAlign w:val="superscript"/>
        </w:rPr>
        <w:t>◦</w:t>
      </w:r>
      <w:r w:rsidRPr="00222E24">
        <w:t>. The shading represen</w:t>
      </w:r>
      <w:r>
        <w:t xml:space="preserve">ts the error on the radiances. Originally published as Figure 11 in </w:t>
      </w:r>
      <w:r>
        <w:rPr>
          <w:i/>
        </w:rPr>
        <w:t>Elash et al.</w:t>
      </w:r>
      <w:r>
        <w:t xml:space="preserve"> (2016).</w:t>
      </w:r>
      <w:bookmarkEnd w:id="28"/>
    </w:p>
    <w:p w:rsidR="006B2D31" w:rsidRPr="00C13BA2" w:rsidRDefault="006B2D31" w:rsidP="00C13BA2"/>
    <w:p w:rsidR="006B2D31" w:rsidRDefault="006B2D31" w:rsidP="00961690">
      <w:pPr>
        <w:pStyle w:val="Heading1"/>
      </w:pPr>
      <w:bookmarkStart w:id="29" w:name="_Toc455582638"/>
      <w:r>
        <w:t>5.3 Aerosol Retrievals</w:t>
      </w:r>
      <w:bookmarkEnd w:id="29"/>
    </w:p>
    <w:p w:rsidR="006B2D31" w:rsidRDefault="006B2D31"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The retrieved aerosol profile</w:t>
      </w:r>
      <w:r w:rsidRPr="00375F45">
        <w:t xml:space="preserve"> from </w:t>
      </w:r>
      <w:r>
        <w:t xml:space="preserve">ALI </w:t>
      </w:r>
      <w:r w:rsidRPr="00375F45">
        <w:t xml:space="preserve">using the MART method </w:t>
      </w:r>
      <w:r>
        <w:t>is presented</w:t>
      </w:r>
      <w:r w:rsidRPr="00375F45">
        <w:t xml:space="preserve"> and </w:t>
      </w:r>
      <w:r>
        <w:t>is compared</w:t>
      </w:r>
      <w:r w:rsidRPr="00375F45">
        <w:t xml:space="preserve"> to the OSIRIS version 5.07 aerosol</w:t>
      </w:r>
      <w:r>
        <w:t xml:space="preserve"> extinction</w:t>
      </w:r>
      <w:r w:rsidRPr="00375F45">
        <w:t xml:space="preserve"> product.</w:t>
      </w:r>
      <w:r>
        <w:t xml:space="preserve"> Following, a cycle of aerosol measurements are used to determine a particle size distribution estimate and is contrasted with particle size parameters from other instruments. </w:t>
      </w:r>
    </w:p>
    <w:p w:rsidR="006B2D31" w:rsidRDefault="006B2D31" w:rsidP="00395867">
      <w:pPr>
        <w:pStyle w:val="Heading2"/>
      </w:pPr>
      <w:bookmarkStart w:id="30" w:name="_Toc455582639"/>
      <w:r>
        <w:t>5.3.1 Aerosol Extinction Retrieval Methodology</w:t>
      </w:r>
      <w:bookmarkEnd w:id="30"/>
    </w:p>
    <w:p w:rsidR="006B2D31" w:rsidRDefault="006B2D31" w:rsidP="001D1577">
      <w:pPr>
        <w:pStyle w:val="BodyText"/>
        <w:jc w:val="both"/>
      </w:pPr>
      <w:r>
        <w:t xml:space="preserve">A measurement inversion technique is a method used on a measured value and can be converted into a wanted usable physical quantity via an iterative method. A measurement vector, </w:t>
      </w:r>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6B2D31" w:rsidTr="00305B19">
        <w:tc>
          <w:tcPr>
            <w:tcW w:w="6804" w:type="dxa"/>
            <w:tcBorders>
              <w:top w:val="nil"/>
              <w:left w:val="nil"/>
              <w:bottom w:val="nil"/>
              <w:right w:val="nil"/>
            </w:tcBorders>
          </w:tcPr>
          <w:p w:rsidR="006B2D31" w:rsidRPr="00C40C6B" w:rsidRDefault="006B2D31"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6B2D31" w:rsidRDefault="006B2D31" w:rsidP="00305B19">
            <w:pPr>
              <w:pStyle w:val="BodyText"/>
              <w:ind w:firstLine="0"/>
              <w:jc w:val="right"/>
            </w:pPr>
            <w:r>
              <w:t>(5.4)</w:t>
            </w:r>
          </w:p>
        </w:tc>
      </w:tr>
    </w:tbl>
    <w:p w:rsidR="006B2D31" w:rsidRDefault="006B2D31" w:rsidP="001D1577">
      <w:pPr>
        <w:pStyle w:val="BodyText"/>
        <w:ind w:firstLine="0"/>
      </w:pPr>
      <w:r>
        <w:t xml:space="preserve">where </w:t>
      </w:r>
      <m:oMath>
        <m:r>
          <m:rPr>
            <m:sty m:val="bi"/>
          </m:rPr>
          <w:rPr>
            <w:rFonts w:ascii="Cambria Math" w:hAnsi="Cambria Math"/>
          </w:rPr>
          <m:t>ϵ</m:t>
        </m:r>
      </m:oMath>
      <w:r>
        <w:t xml:space="preserve"> is the noise on the measurement vector.</w:t>
      </w:r>
    </w:p>
    <w:p w:rsidR="006B2D31" w:rsidRDefault="006B2D31"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2016).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6B2D31" w:rsidTr="00305B19">
        <w:tc>
          <w:tcPr>
            <w:tcW w:w="6804" w:type="dxa"/>
            <w:tcBorders>
              <w:top w:val="nil"/>
              <w:left w:val="nil"/>
              <w:bottom w:val="nil"/>
              <w:right w:val="nil"/>
            </w:tcBorders>
          </w:tcPr>
          <w:p w:rsidR="006B2D31" w:rsidRPr="00C40C6B" w:rsidRDefault="006B2D31"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6B2D31" w:rsidRDefault="006B2D31" w:rsidP="00EF6254">
            <w:pPr>
              <w:pStyle w:val="BodyText"/>
              <w:ind w:firstLine="0"/>
              <w:jc w:val="right"/>
            </w:pPr>
            <w:r>
              <w:t>(5.5)</w:t>
            </w:r>
          </w:p>
        </w:tc>
      </w:tr>
    </w:tbl>
    <w:p w:rsidR="006B2D31" w:rsidRDefault="006B2D31" w:rsidP="00EF6254">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6B2D31" w:rsidRDefault="006B2D31" w:rsidP="001F388D">
      <w:pPr>
        <w:pStyle w:val="BodyText"/>
        <w:keepNext/>
        <w:ind w:firstLine="0"/>
        <w:jc w:val="center"/>
      </w:pPr>
      <w:r>
        <w:rPr>
          <w:noProof/>
          <w:lang w:val="en-CA" w:eastAsia="en-CA"/>
        </w:rPr>
        <w:drawing>
          <wp:inline distT="0" distB="0" distL="0" distR="0" wp14:anchorId="0F1E6823" wp14:editId="1C8DB852">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6B2D31" w:rsidRDefault="006B2D31" w:rsidP="00370E18">
      <w:pPr>
        <w:pStyle w:val="Caption"/>
        <w:jc w:val="both"/>
      </w:pPr>
      <w:bookmarkStart w:id="31" w:name="_Ref435791797"/>
      <w:bookmarkStart w:id="32" w:name="_Toc455582775"/>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(a) The black, blue, red curves represent the measurement vector, first term of Equation 5.6, and second term of Equation 5.6 using image 208 (b) A collection of all of the measurement vectors at 750 nm during the mission with a SZA greater than 90</w:t>
      </w:r>
      <w:r>
        <w:rPr>
          <w:vertAlign w:val="superscript"/>
        </w:rPr>
        <w:t>◦</w:t>
      </w:r>
      <w:r>
        <w:t>. (c) Image 208 measurement vector with associated error represented by the shading.</w:t>
      </w:r>
      <w:bookmarkEnd w:id="32"/>
      <w:r>
        <w:t xml:space="preserve"> </w:t>
      </w:r>
    </w:p>
    <w:p w:rsidR="006B2D31" w:rsidRPr="001F388D" w:rsidRDefault="006B2D31" w:rsidP="001F388D"/>
    <w:p w:rsidR="006B2D31" w:rsidRDefault="006B2D31" w:rsidP="00AB2010">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6B2D31" w:rsidTr="00305B19">
        <w:tc>
          <w:tcPr>
            <w:tcW w:w="6804" w:type="dxa"/>
            <w:tcBorders>
              <w:top w:val="nil"/>
              <w:left w:val="nil"/>
              <w:bottom w:val="nil"/>
              <w:right w:val="nil"/>
            </w:tcBorders>
          </w:tcPr>
          <w:p w:rsidR="006B2D31" w:rsidRPr="00C40C6B" w:rsidRDefault="006B2D31"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6B2D31" w:rsidRDefault="006B2D31" w:rsidP="00AB2010">
            <w:pPr>
              <w:pStyle w:val="BodyText"/>
              <w:ind w:firstLine="0"/>
              <w:jc w:val="right"/>
            </w:pPr>
            <w:r>
              <w:t>(5.6)</w:t>
            </w:r>
          </w:p>
        </w:tc>
      </w:tr>
    </w:tbl>
    <w:p w:rsidR="006B2D31" w:rsidRDefault="006B2D31" w:rsidP="001F388D">
      <w:pPr>
        <w:pStyle w:val="BodyText"/>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and30 km</w:t>
      </w:r>
      <w:r w:rsidRPr="00222E24">
        <w:t xml:space="preserve">.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DB0B24">
        <w:t>Figure 5-9</w:t>
      </w:r>
      <w:r w:rsidRPr="00305B19">
        <w:fldChar w:fldCharType="end"/>
      </w:r>
      <w:r>
        <w:t xml:space="preserve">a shows the measurement vector from a 750 nm image (number 208) from the center of the CCD. The final measurement vector, </w:t>
      </w:r>
      <m:oMath>
        <m:r>
          <m:rPr>
            <m:sty m:val="bi"/>
          </m:rPr>
          <w:rPr>
            <w:rFonts w:ascii="Cambria Math" w:hAnsi="Cambria Math"/>
          </w:rPr>
          <m:t>y</m:t>
        </m:r>
      </m:oMath>
      <w:r>
        <w:rPr>
          <w:b/>
        </w:rPr>
        <w:t>,</w:t>
      </w:r>
      <w:r>
        <w:t xml:space="preserve"> is shown in the black, with the first term of Equation 5.6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DB0B24">
        <w:t>Figure 5-9</w:t>
      </w:r>
      <w:r w:rsidRPr="00057372">
        <w:fldChar w:fldCharType="end"/>
      </w:r>
      <w:r>
        <w:t>b.</w:t>
      </w:r>
    </w:p>
    <w:p w:rsidR="006B2D31" w:rsidRDefault="006B2D31" w:rsidP="00AC0D69">
      <w:pPr>
        <w:spacing w:line="480" w:lineRule="auto"/>
        <w:ind w:firstLine="720"/>
        <w:jc w:val="both"/>
      </w:pP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6B2D31" w:rsidTr="003A2911">
        <w:tc>
          <w:tcPr>
            <w:tcW w:w="6804" w:type="dxa"/>
            <w:tcBorders>
              <w:top w:val="nil"/>
              <w:left w:val="nil"/>
              <w:bottom w:val="nil"/>
              <w:right w:val="nil"/>
            </w:tcBorders>
          </w:tcPr>
          <w:p w:rsidR="006B2D31" w:rsidRPr="00C40C6B" w:rsidRDefault="006B2D31"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6B2D31" w:rsidRDefault="006B2D31" w:rsidP="00FE362A">
            <w:pPr>
              <w:pStyle w:val="BodyText"/>
              <w:ind w:firstLine="0"/>
              <w:jc w:val="right"/>
            </w:pPr>
            <w:r>
              <w:t>(5.7)</w:t>
            </w:r>
          </w:p>
        </w:tc>
      </w:tr>
    </w:tbl>
    <w:p w:rsidR="006B2D31" w:rsidRDefault="006B2D31" w:rsidP="00926ABD">
      <w:pPr>
        <w:pStyle w:val="BodyText"/>
        <w:ind w:firstLine="0"/>
        <w:jc w:val="both"/>
      </w:pPr>
      <w:r w:rsidRPr="00222E24">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w:t>
      </w:r>
      <w:r>
        <w:t xml:space="preserve"> The forward model result is defined by </w:t>
      </w:r>
      <m:oMath>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oMath>
      <w:r>
        <w:t xml:space="preserve"> and t</w:t>
      </w:r>
      <w:r w:rsidRPr="00222E24">
        <w:t>he weighting matrix</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w:t>
      </w:r>
      <w:r w:rsidRPr="00222E24">
        <w:t xml:space="preserve">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rsidR="006B2D31" w:rsidRDefault="006B2D31" w:rsidP="00451BF6">
      <w:pPr>
        <w:pStyle w:val="BodyText"/>
        <w:jc w:val="both"/>
      </w:pPr>
      <w:r>
        <w:t xml:space="preserve">A precision estimate is also required for the retrieved aerosol profiles, an uncertainty estimate on the measurement vector is performed. To yield the uncertainty on the measurement vector at a specific tangent altitude, </w:t>
      </w:r>
      <m:oMath>
        <m:r>
          <w:rPr>
            <w:rFonts w:ascii="Cambria Math" w:hAnsi="Cambria Math"/>
          </w:rPr>
          <m:t>j</m:t>
        </m:r>
      </m:oMath>
      <w:r>
        <w:t>, Equation 5.6 is differentiated and summed in quadrature yielding the following result</w:t>
      </w:r>
    </w:p>
    <w:tbl>
      <w:tblPr>
        <w:tblStyle w:val="TableGrid"/>
        <w:tblW w:w="9498" w:type="dxa"/>
        <w:tblLook w:val="04A0" w:firstRow="1" w:lastRow="0" w:firstColumn="1" w:lastColumn="0" w:noHBand="0" w:noVBand="1"/>
      </w:tblPr>
      <w:tblGrid>
        <w:gridCol w:w="8364"/>
        <w:gridCol w:w="1134"/>
      </w:tblGrid>
      <w:tr w:rsidR="006B2D31" w:rsidTr="00A747D1">
        <w:tc>
          <w:tcPr>
            <w:tcW w:w="8364" w:type="dxa"/>
            <w:tcBorders>
              <w:top w:val="nil"/>
              <w:left w:val="nil"/>
              <w:bottom w:val="nil"/>
              <w:right w:val="nil"/>
            </w:tcBorders>
          </w:tcPr>
          <w:p w:rsidR="006B2D31" w:rsidRPr="00C40C6B" w:rsidRDefault="006B2D31"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6B2D31" w:rsidRDefault="006B2D31" w:rsidP="00451BF6">
            <w:pPr>
              <w:pStyle w:val="BodyText"/>
              <w:ind w:firstLine="0"/>
              <w:jc w:val="right"/>
            </w:pPr>
            <w:r>
              <w:t>(5.8)</w:t>
            </w:r>
          </w:p>
        </w:tc>
      </w:tr>
    </w:tbl>
    <w:p w:rsidR="006B2D31" w:rsidRDefault="006B2D31" w:rsidP="00A747D1">
      <w:pPr>
        <w:pStyle w:val="BodyText"/>
        <w:ind w:firstLine="0"/>
        <w:jc w:val="both"/>
      </w:pPr>
      <w:r>
        <w:t>However, the only uncertainty that is considered is due to the instrument measurement and calibrations, inaccuracies in the SASKTRAN-HR model are ignored. Since the Rayleigh components are modeled, they are dropped from the uncertainty, simplifying the above result to</w:t>
      </w:r>
    </w:p>
    <w:tbl>
      <w:tblPr>
        <w:tblStyle w:val="TableGrid"/>
        <w:tblW w:w="8050" w:type="dxa"/>
        <w:tblInd w:w="1418" w:type="dxa"/>
        <w:tblLook w:val="04A0" w:firstRow="1" w:lastRow="0" w:firstColumn="1" w:lastColumn="0" w:noHBand="0" w:noVBand="1"/>
      </w:tblPr>
      <w:tblGrid>
        <w:gridCol w:w="6804"/>
        <w:gridCol w:w="1246"/>
      </w:tblGrid>
      <w:tr w:rsidR="006B2D31" w:rsidTr="003A2911">
        <w:tc>
          <w:tcPr>
            <w:tcW w:w="6804" w:type="dxa"/>
            <w:tcBorders>
              <w:top w:val="nil"/>
              <w:left w:val="nil"/>
              <w:bottom w:val="nil"/>
              <w:right w:val="nil"/>
            </w:tcBorders>
          </w:tcPr>
          <w:p w:rsidR="006B2D31" w:rsidRPr="00C40C6B" w:rsidRDefault="006B2D31"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6B2D31" w:rsidRDefault="006B2D31" w:rsidP="000921FA">
            <w:pPr>
              <w:pStyle w:val="BodyText"/>
              <w:ind w:firstLine="0"/>
              <w:jc w:val="right"/>
            </w:pPr>
            <w:r>
              <w:t>(5.9)</w:t>
            </w:r>
          </w:p>
        </w:tc>
      </w:tr>
    </w:tbl>
    <w:p w:rsidR="006B2D31" w:rsidRPr="00813314" w:rsidRDefault="006B2D31" w:rsidP="001F388D">
      <w:pPr>
        <w:pStyle w:val="BodyText"/>
        <w:ind w:firstLine="0"/>
        <w:jc w:val="both"/>
      </w:pPr>
      <w:r>
        <w:t xml:space="preserve">An example of the uncertainty on a measurement vector for image 208 is located on </w:t>
      </w:r>
      <w:r w:rsidRPr="000921FA">
        <w:fldChar w:fldCharType="begin"/>
      </w:r>
      <w:r w:rsidRPr="000921FA">
        <w:instrText xml:space="preserve"> REF _Ref435791797 \h  \* MERGEFORMAT </w:instrText>
      </w:r>
      <w:r w:rsidRPr="000921FA">
        <w:fldChar w:fldCharType="separate"/>
      </w:r>
      <w:r w:rsidRPr="00DB0B24">
        <w:t>Figure 5-9</w:t>
      </w:r>
      <w:r w:rsidRPr="000921FA">
        <w:fldChar w:fldCharType="end"/>
      </w:r>
      <w:r>
        <w:t>c.</w:t>
      </w:r>
    </w:p>
    <w:p w:rsidR="006B2D31" w:rsidRDefault="006B2D31" w:rsidP="00813314">
      <w:pPr>
        <w:spacing w:line="480" w:lineRule="auto"/>
        <w:ind w:firstLine="720"/>
        <w:jc w:val="both"/>
      </w:pPr>
      <w:r>
        <w:t xml:space="preserve">The uncertainty on the measurement vector is used to determine the precision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w:t>
      </w:r>
      <w:r>
        <w:t xml:space="preserve">uncertainty </w:t>
      </w:r>
      <w:r w:rsidRPr="00222E24">
        <w:t xml:space="preserve">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6B2D31" w:rsidTr="003A2911">
        <w:tc>
          <w:tcPr>
            <w:tcW w:w="6804" w:type="dxa"/>
            <w:tcBorders>
              <w:top w:val="nil"/>
              <w:left w:val="nil"/>
              <w:bottom w:val="nil"/>
              <w:right w:val="nil"/>
            </w:tcBorders>
          </w:tcPr>
          <w:p w:rsidR="006B2D31" w:rsidRPr="00450CAC" w:rsidRDefault="006B2D31"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6B2D31" w:rsidRDefault="006B2D31" w:rsidP="00450CAC">
            <w:pPr>
              <w:pStyle w:val="BodyText"/>
              <w:ind w:firstLine="0"/>
              <w:jc w:val="right"/>
            </w:pPr>
            <w:r>
              <w:t>(5.10)</w:t>
            </w:r>
          </w:p>
        </w:tc>
      </w:tr>
    </w:tbl>
    <w:p w:rsidR="006B2D31" w:rsidRDefault="006B2D31" w:rsidP="00450CAC">
      <w:pPr>
        <w:spacing w:line="480" w:lineRule="auto"/>
        <w:jc w:val="both"/>
      </w:pPr>
      <w:r>
        <w:t xml:space="preserve">where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but makes an assumption that the gain matrix is equal to the inverse of the Jacobian, as typically the averaging kernel is close to the identity matrix. However, this method adds additional uncertainty to the precision estimate and was deemed unsuitable for the balloon campaign. Instead, with a limited set of balloon data, it is feasible to calculate the gain matrix directly. </w:t>
      </w:r>
      <w:r w:rsidRPr="00222E24">
        <w:t xml:space="preserve">The </w:t>
      </w:r>
      <w:r>
        <w:t xml:space="preserve">uncertainty </w:t>
      </w:r>
      <w:r w:rsidRPr="00222E24">
        <w:t>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6B2D31" w:rsidTr="003A2911">
        <w:tc>
          <w:tcPr>
            <w:tcW w:w="6804" w:type="dxa"/>
            <w:tcBorders>
              <w:top w:val="nil"/>
              <w:left w:val="nil"/>
              <w:bottom w:val="nil"/>
              <w:right w:val="nil"/>
            </w:tcBorders>
          </w:tcPr>
          <w:p w:rsidR="006B2D31" w:rsidRPr="00C40C6B" w:rsidRDefault="006B2D31"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6B2D31" w:rsidRDefault="006B2D31" w:rsidP="00450CAC">
            <w:pPr>
              <w:pStyle w:val="BodyText"/>
              <w:ind w:firstLine="0"/>
              <w:jc w:val="right"/>
            </w:pPr>
            <w:r>
              <w:t>(5.11)</w:t>
            </w:r>
          </w:p>
        </w:tc>
      </w:tr>
    </w:tbl>
    <w:p w:rsidR="006B2D31" w:rsidRDefault="006B2D31" w:rsidP="00813314">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6B2D31" w:rsidTr="003A2911">
        <w:tc>
          <w:tcPr>
            <w:tcW w:w="6804" w:type="dxa"/>
            <w:tcBorders>
              <w:top w:val="nil"/>
              <w:left w:val="nil"/>
              <w:bottom w:val="nil"/>
              <w:right w:val="nil"/>
            </w:tcBorders>
          </w:tcPr>
          <w:p w:rsidR="006B2D31" w:rsidRPr="00C40C6B" w:rsidRDefault="006B2D31"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6B2D31" w:rsidRDefault="006B2D31" w:rsidP="003A2911">
            <w:pPr>
              <w:pStyle w:val="BodyText"/>
              <w:ind w:firstLine="0"/>
              <w:jc w:val="right"/>
            </w:pPr>
            <w:r>
              <w:t>(5.12)</w:t>
            </w:r>
          </w:p>
        </w:tc>
      </w:tr>
    </w:tbl>
    <w:p w:rsidR="006B2D31" w:rsidRDefault="006B2D31" w:rsidP="00813314">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6B2D31" w:rsidTr="003A2911">
        <w:tc>
          <w:tcPr>
            <w:tcW w:w="6804" w:type="dxa"/>
            <w:tcBorders>
              <w:top w:val="nil"/>
              <w:left w:val="nil"/>
              <w:bottom w:val="nil"/>
              <w:right w:val="nil"/>
            </w:tcBorders>
          </w:tcPr>
          <w:p w:rsidR="006B2D31" w:rsidRPr="00C40C6B" w:rsidRDefault="006B2D31" w:rsidP="00B97E48">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6B2D31" w:rsidRDefault="006B2D31" w:rsidP="00D85B74">
            <w:pPr>
              <w:pStyle w:val="BodyText"/>
              <w:ind w:firstLine="0"/>
              <w:jc w:val="right"/>
            </w:pPr>
            <w:r>
              <w:t>(5.13)</w:t>
            </w:r>
          </w:p>
        </w:tc>
      </w:tr>
    </w:tbl>
    <w:p w:rsidR="006B2D31" w:rsidRPr="00222E24" w:rsidRDefault="006B2D31"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6B2D31" w:rsidRDefault="006B2D31" w:rsidP="00450CAC">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rsidR="006B2D31" w:rsidRDefault="006B2D31" w:rsidP="00395867">
      <w:pPr>
        <w:pStyle w:val="Heading2"/>
      </w:pPr>
      <w:bookmarkStart w:id="33" w:name="_Toc455582640"/>
      <w:r>
        <w:t>5.3.2 Aerosol Extinction Retrievals</w:t>
      </w:r>
      <w:bookmarkEnd w:id="33"/>
    </w:p>
    <w:p w:rsidR="006B2D31" w:rsidRDefault="006B2D31"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an </w:t>
      </w:r>
      <w:r w:rsidRPr="003A2911">
        <w:rPr>
          <w:i/>
        </w:rPr>
        <w:t>a priori</w:t>
      </w:r>
      <w:r>
        <w:t xml:space="preserve"> for particle size distribution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DB0B24">
        <w:t>Figure</w:t>
      </w:r>
      <w:r w:rsidRPr="00931E05">
        <w:rPr>
          <w:b/>
        </w:rPr>
        <w:t xml:space="preserve"> </w:t>
      </w:r>
      <w:r w:rsidRPr="00370E18">
        <w:t>5-</w:t>
      </w:r>
      <w:r w:rsidRPr="00370E18">
        <w:rPr>
          <w:noProof/>
        </w:rPr>
        <w:t>10</w:t>
      </w:r>
      <w:r w:rsidRPr="00933DB1">
        <w:fldChar w:fldCharType="end"/>
      </w:r>
      <w:r>
        <w:t xml:space="preserve"> which highlights the 750, 850, and 950 nm retrievals. The left panels show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w:t>
      </w:r>
      <m:oMath>
        <m:r>
          <w:rPr>
            <w:rFonts w:ascii="Cambria Math" w:hAnsi="Cambria Math"/>
          </w:rPr>
          <m:t>α</m:t>
        </m:r>
      </m:oMath>
      <w:r>
        <w:t xml:space="preserve">, given by the summation term in Equation 5.7 is scaled to the aerosol profile above and below the last retrieved point to keep the aerosol profile smooth, as discontinuities are nonphysical and can lead to a nonphysical result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DB0B24">
        <w:t>Figure 5-10</w:t>
      </w:r>
      <w:r w:rsidRPr="00933DB1">
        <w:fldChar w:fldCharType="end"/>
      </w:r>
      <w:r>
        <w:t xml:space="preserve"> is the retrieved aerosol profiles in blue with the associated uncertainty calculated using the method described in the previous section.</w:t>
      </w:r>
    </w:p>
    <w:p w:rsidR="006B2D31" w:rsidRDefault="006B2D31" w:rsidP="00665EF4">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DB0B24">
        <w:t>Figure 5-11</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6B2D31" w:rsidRDefault="006B2D31" w:rsidP="003A2911">
      <w:pPr>
        <w:pStyle w:val="BodyText"/>
        <w:keepNext/>
        <w:ind w:firstLine="0"/>
        <w:jc w:val="center"/>
      </w:pPr>
      <w:r>
        <w:rPr>
          <w:noProof/>
          <w:lang w:val="en-CA" w:eastAsia="en-CA"/>
        </w:rPr>
        <w:drawing>
          <wp:inline distT="0" distB="0" distL="0" distR="0" wp14:anchorId="03E4DEB6" wp14:editId="7E409314">
            <wp:extent cx="5943600" cy="5943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6B2D31" w:rsidRDefault="006B2D31" w:rsidP="00370E18">
      <w:pPr>
        <w:pStyle w:val="Caption"/>
        <w:jc w:val="both"/>
      </w:pPr>
      <w:bookmarkStart w:id="34" w:name="_Ref435868320"/>
      <w:bookmarkStart w:id="35" w:name="_Toc455582776"/>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4"/>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35"/>
    </w:p>
    <w:p w:rsidR="006B2D31" w:rsidRDefault="006B2D31" w:rsidP="001D40D3">
      <w:pPr>
        <w:pStyle w:val="BodyText"/>
        <w:keepNext/>
        <w:ind w:firstLine="0"/>
        <w:jc w:val="center"/>
      </w:pPr>
      <w:r>
        <w:rPr>
          <w:noProof/>
          <w:lang w:val="en-CA" w:eastAsia="en-CA"/>
        </w:rPr>
        <w:drawing>
          <wp:inline distT="0" distB="0" distL="0" distR="0" wp14:anchorId="0E57517E" wp14:editId="46DDFF8D">
            <wp:extent cx="5934075" cy="3962400"/>
            <wp:effectExtent l="0" t="0" r="9525" b="0"/>
            <wp:docPr id="37" name="Picture 37" descr="C:\Users\bje035\Documents\MATLAB\ALI\ThesisFigures\5-3-FullAerosolCycleComparison\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FullAerosolCycleComparison\5-3-FullAerosolCycleComparis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6B2D31" w:rsidRDefault="006B2D31" w:rsidP="00370E18">
      <w:pPr>
        <w:pStyle w:val="Caption"/>
        <w:jc w:val="both"/>
      </w:pPr>
      <w:bookmarkStart w:id="36" w:name="_Ref435869209"/>
      <w:bookmarkStart w:id="37" w:name="_Toc455582777"/>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6"/>
      <w:r w:rsidRPr="001D40D3">
        <w:rPr>
          <w:b/>
        </w:rPr>
        <w:t>:</w:t>
      </w:r>
      <w:r>
        <w:t xml:space="preserve"> </w:t>
      </w:r>
      <w:r w:rsidRPr="00222E24">
        <w:t>Left is the retrieved aerosol extinction profiles from the last complete imaging cycle consisting of images 205 to 216 from the 0.0</w:t>
      </w:r>
      <w:r>
        <w:rPr>
          <w:vertAlign w:val="superscript"/>
        </w:rPr>
        <w:t>◦</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with its error represented by the shading</w:t>
      </w:r>
      <w:r>
        <w:t xml:space="preserve">. Originally published as Figure 12 in </w:t>
      </w:r>
      <w:r>
        <w:rPr>
          <w:i/>
        </w:rPr>
        <w:t>Elash et al.</w:t>
      </w:r>
      <w:r>
        <w:t xml:space="preserve"> (2016).</w:t>
      </w:r>
      <w:bookmarkEnd w:id="37"/>
    </w:p>
    <w:p w:rsidR="006B2D31" w:rsidRPr="001D40D3" w:rsidRDefault="006B2D31" w:rsidP="001D40D3"/>
    <w:p w:rsidR="006B2D31" w:rsidRDefault="006B2D31"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DB0B24">
        <w:t>Figure 5-11</w:t>
      </w:r>
      <w:r w:rsidRPr="0064352E">
        <w:fldChar w:fldCharType="end"/>
      </w:r>
      <w:r>
        <w:t xml:space="preserve"> </w:t>
      </w:r>
      <w:r w:rsidRPr="00222E24">
        <w:t>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w:t>
      </w:r>
      <w:r w:rsidRPr="00222E24">
        <w:t>.</w:t>
      </w:r>
      <w:r>
        <w:t xml:space="preserve"> It is encouraging, however, that </w:t>
      </w:r>
      <w:r w:rsidRPr="00222E24">
        <w:t xml:space="preserve">the instruments follow the same overall profile shape </w:t>
      </w:r>
      <w:r>
        <w:t>including the stratospheric layer and the steep increase below 15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xml:space="preserve">, 2015) There are also several possible systematic errors not accounted for in the inversion including the choice of retrieval altitude ranges, particle size composition and distributions, stray light, and the high altitude aerosol load. </w:t>
      </w:r>
    </w:p>
    <w:p w:rsidR="006B2D31" w:rsidRDefault="006B2D31" w:rsidP="00853EC2">
      <w:pPr>
        <w:pStyle w:val="BodyText"/>
        <w:keepNext/>
        <w:ind w:firstLine="0"/>
        <w:jc w:val="center"/>
      </w:pPr>
      <w:r>
        <w:rPr>
          <w:noProof/>
          <w:lang w:val="en-CA" w:eastAsia="en-CA"/>
        </w:rPr>
        <w:drawing>
          <wp:inline distT="0" distB="0" distL="0" distR="0" wp14:anchorId="4DA1A794" wp14:editId="4DA6AD0F">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B2D31" w:rsidRDefault="006B2D31" w:rsidP="00370E18">
      <w:pPr>
        <w:pStyle w:val="Caption"/>
        <w:jc w:val="both"/>
      </w:pPr>
      <w:bookmarkStart w:id="38" w:name="_Ref435877839"/>
      <w:bookmarkStart w:id="39" w:name="_Toc455582778"/>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8"/>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9"/>
    </w:p>
    <w:p w:rsidR="006B2D31" w:rsidRPr="00853EC2" w:rsidRDefault="006B2D31" w:rsidP="00853EC2"/>
    <w:p w:rsidR="006B2D31" w:rsidRDefault="006B2D31" w:rsidP="004702F4">
      <w:pPr>
        <w:pStyle w:val="BodyText"/>
        <w:jc w:val="both"/>
      </w:pPr>
      <w:r>
        <w:t xml:space="preserve">As a further note, other issues may have resulted in the disagreement between OSIRIS and ALI, mainly the estimation of the albedo and the pointing inaccuracies. For the albedo, vertically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Image 208 from the ALI campaign was rerun using an albedo of zero and one and the outcome of the retrieval can be seen in </w:t>
      </w:r>
      <w:r w:rsidRPr="00891729">
        <w:fldChar w:fldCharType="begin"/>
      </w:r>
      <w:r w:rsidRPr="00891729">
        <w:instrText xml:space="preserve"> REF _Ref435877839 \h  \* MERGEFORMAT </w:instrText>
      </w:r>
      <w:r w:rsidRPr="00891729">
        <w:fldChar w:fldCharType="separate"/>
      </w:r>
      <w:r w:rsidRPr="00DB0B24">
        <w:t>Figure 5-12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in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DB0B24">
        <w:t>Figure 5-12</w:t>
      </w:r>
      <w:r w:rsidRPr="004702F4">
        <w:fldChar w:fldCharType="end"/>
      </w:r>
      <w:r>
        <w:t>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For the ALI image the solar scattering angle is 98</w:t>
      </w:r>
      <w:r>
        <w:rPr>
          <w:vertAlign w:val="superscript"/>
        </w:rPr>
        <w:t>◦</w:t>
      </w:r>
      <w:r>
        <w:t xml:space="preserve"> and for the five OSIRIS scans they are 77</w:t>
      </w:r>
      <w:r>
        <w:rPr>
          <w:vertAlign w:val="superscript"/>
        </w:rPr>
        <w:t>◦</w:t>
      </w:r>
      <w:r>
        <w:t>, 89</w:t>
      </w:r>
      <w:r>
        <w:rPr>
          <w:vertAlign w:val="superscript"/>
        </w:rPr>
        <w:t>◦</w:t>
      </w:r>
      <w:r>
        <w:t>, 90</w:t>
      </w:r>
      <w:r>
        <w:rPr>
          <w:vertAlign w:val="superscript"/>
        </w:rPr>
        <w:t>◦</w:t>
      </w:r>
      <w:r>
        <w:t>, 91</w:t>
      </w:r>
      <w:r>
        <w:rPr>
          <w:vertAlign w:val="superscript"/>
        </w:rPr>
        <w:t>◦</w:t>
      </w:r>
      <w:r>
        <w:t>, 92</w:t>
      </w:r>
      <w:r>
        <w:rPr>
          <w:vertAlign w:val="superscript"/>
        </w:rPr>
        <w:t>◦</w:t>
      </w:r>
      <w:r>
        <w:t>, and 93</w:t>
      </w:r>
      <w:r>
        <w:rPr>
          <w:vertAlign w:val="superscript"/>
        </w:rPr>
        <w:t>◦</w:t>
      </w:r>
      <w:r>
        <w:t>. With the exception of the forward scatter angles of 77</w:t>
      </w:r>
      <w:r>
        <w:rPr>
          <w:vertAlign w:val="superscript"/>
        </w:rPr>
        <w:t>◦</w:t>
      </w:r>
      <w:r>
        <w:t xml:space="preserve"> and 89</w:t>
      </w:r>
      <w:r>
        <w:rPr>
          <w:vertAlign w:val="superscript"/>
        </w:rPr>
        <w:t>◦</w:t>
      </w:r>
      <w:r>
        <w:t xml:space="preserve"> from OSIRIS, the scattering angles between OSIRIS and ALI are similar and should not cause a large effect on the retrieved profiles. However from the study performed in Chpater 6 a strong sensitivity to particle size distribution occurs near solar scattering angles of 90 degrees for the vertical polarization which can greatly bias the received aerosol profile Furthermore, there may be further issues to explore with the polarized measurements and forward model.  Finally, Regardless, the results are encouraging.</w:t>
      </w:r>
    </w:p>
    <w:p w:rsidR="006B2D31" w:rsidRDefault="006B2D31" w:rsidP="00395867">
      <w:pPr>
        <w:pStyle w:val="Heading2"/>
      </w:pPr>
      <w:bookmarkStart w:id="40" w:name="_Toc455582641"/>
      <w:r>
        <w:t>5.3.3 Particle Size Retrieval Methodology</w:t>
      </w:r>
      <w:bookmarkEnd w:id="40"/>
    </w:p>
    <w:p w:rsidR="006B2D31" w:rsidRDefault="006B2D31" w:rsidP="009E3AB6">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vectors to yield some sensitivity. In his study, he uses an OSIRIS geometry and calculates the respective measurement vectors for a series of particle sizes which can be seen recreated in </w:t>
      </w:r>
      <w:r w:rsidRPr="00984538">
        <w:fldChar w:fldCharType="begin"/>
      </w:r>
      <w:r w:rsidRPr="00984538">
        <w:instrText xml:space="preserve"> REF _Ref437456251 \h  \* MERGEFORMAT </w:instrText>
      </w:r>
      <w:r w:rsidRPr="00984538">
        <w:fldChar w:fldCharType="separate"/>
      </w:r>
      <w:r w:rsidRPr="00DB0B24">
        <w:t>Figure 5-13</w:t>
      </w:r>
      <w:r w:rsidRPr="00984538">
        <w:fldChar w:fldCharType="end"/>
      </w:r>
      <w:r>
        <w:t>.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are recorded out to 1200 nm. Furthermore, a 1% error in the radiance yields a relative error in the bimodal distribution measurement vector shown by the gray shading.</w:t>
      </w:r>
    </w:p>
    <w:p w:rsidR="006B2D31" w:rsidRDefault="006B2D31" w:rsidP="00F038D8">
      <w:pPr>
        <w:pStyle w:val="BodyText"/>
        <w:keepNext/>
        <w:ind w:firstLine="0"/>
      </w:pPr>
      <w:r>
        <w:rPr>
          <w:noProof/>
          <w:lang w:val="en-CA" w:eastAsia="en-CA"/>
        </w:rPr>
        <w:drawing>
          <wp:inline distT="0" distB="0" distL="0" distR="0" wp14:anchorId="0E49FF8E" wp14:editId="47DD9BAA">
            <wp:extent cx="5903366" cy="2236899"/>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6B2D31" w:rsidRDefault="006B2D31" w:rsidP="00370E18">
      <w:pPr>
        <w:pStyle w:val="Caption"/>
        <w:jc w:val="both"/>
      </w:pPr>
      <w:bookmarkStart w:id="41" w:name="_Ref437456251"/>
      <w:bookmarkStart w:id="42" w:name="_Toc455582779"/>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13</w:t>
      </w:r>
      <w:r w:rsidRPr="00F038D8">
        <w:rPr>
          <w:b/>
        </w:rPr>
        <w:fldChar w:fldCharType="end"/>
      </w:r>
      <w:bookmarkEnd w:id="41"/>
      <w:r w:rsidRPr="00F038D8">
        <w:rPr>
          <w:b/>
        </w:rPr>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42"/>
    </w:p>
    <w:p w:rsidR="006B2D31" w:rsidRPr="00A66D86" w:rsidRDefault="006B2D31" w:rsidP="00A66D86"/>
    <w:p w:rsidR="006B2D31" w:rsidRDefault="006B2D31" w:rsidP="005F1347">
      <w:pPr>
        <w:pStyle w:val="BodyText"/>
        <w:jc w:val="both"/>
      </w:pPr>
      <w:r>
        <w:t xml:space="preserve">For ALI, measurements were only gathered between 650 and 950 nm in wavelength, due to the low sensitivity of the CCD camera in the NIR. ALI only has sensitivity to particle size from the longer wavelengths and only a small amount. As such, it is not be possible to determine both the mode radius and mode width. Instead, the data from ALI is used to determine an Angström exponent. The Angström exponent is an approximation to Mie scattering since the value of the Angström exponent, </w:t>
      </w:r>
      <m:oMath>
        <m:r>
          <w:rPr>
            <w:rFonts w:ascii="Cambria Math" w:hAnsi="Cambria Math"/>
          </w:rPr>
          <m:t>α</m:t>
        </m:r>
      </m:oMath>
      <w:r>
        <w:t xml:space="preserve">, is an analogy to particle size. The scattering cross section for aerosol is dependent on 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6B2D31" w:rsidTr="00C500DC">
        <w:tc>
          <w:tcPr>
            <w:tcW w:w="6804" w:type="dxa"/>
            <w:tcBorders>
              <w:top w:val="nil"/>
              <w:left w:val="nil"/>
              <w:bottom w:val="nil"/>
              <w:right w:val="nil"/>
            </w:tcBorders>
          </w:tcPr>
          <w:p w:rsidR="006B2D31" w:rsidRPr="00C40C6B" w:rsidRDefault="006B2D31"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6B2D31" w:rsidRDefault="006B2D31" w:rsidP="00B12AEA">
            <w:pPr>
              <w:pStyle w:val="BodyText"/>
              <w:ind w:firstLine="0"/>
              <w:jc w:val="right"/>
            </w:pPr>
            <w:r>
              <w:t>(5.14)</w:t>
            </w:r>
          </w:p>
        </w:tc>
      </w:tr>
    </w:tbl>
    <w:p w:rsidR="006B2D31" w:rsidRDefault="006B2D31" w:rsidP="00B12AEA">
      <w:pPr>
        <w:pStyle w:val="BodyText"/>
        <w:ind w:firstLine="0"/>
        <w:jc w:val="both"/>
      </w:pPr>
      <w:r>
        <w:t xml:space="preserve">the particle size profile from a series of wavelengths can be determined from the Angström exponent. Lower Angström exponents correspond to larger particle sizes and vice versa for small particle sizes.  The differences between extinction ratios at the different wavelengths can be used to gather an understanding of aerosol particle size in the form of Equation 5.14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Since the measurements observe relatively the same atmosphere over the time of one complete aerosol cycle the retrieved number densities should be similar. However, the retrievals at each wavelength are determined independently so the number density cannot be cancelled from the equation. For the 750 nm wavelength, the Mie scattering cross section was calculated for a variety of mode radii and widths and a change in the cross section can be observed in </w:t>
      </w:r>
      <w:r w:rsidRPr="001D6561">
        <w:fldChar w:fldCharType="begin"/>
      </w:r>
      <w:r w:rsidRPr="001D6561">
        <w:instrText xml:space="preserve"> REF _Ref437458419 \h  \* MERGEFORMAT </w:instrText>
      </w:r>
      <w:r w:rsidRPr="001D6561">
        <w:fldChar w:fldCharType="separate"/>
      </w:r>
      <w:r w:rsidRPr="00DB0B24">
        <w:t>Figure 5-14</w:t>
      </w:r>
      <w:r w:rsidRPr="001D6561">
        <w:fldChar w:fldCharType="end"/>
      </w:r>
      <w:r w:rsidRPr="001D6561">
        <w:t>.</w:t>
      </w:r>
      <w:r>
        <w:t xml:space="preserve"> </w:t>
      </w:r>
    </w:p>
    <w:p w:rsidR="006B2D31" w:rsidRDefault="006B2D31" w:rsidP="00A66D86">
      <w:pPr>
        <w:pStyle w:val="BodyText"/>
        <w:keepNext/>
        <w:ind w:firstLine="0"/>
        <w:jc w:val="center"/>
      </w:pPr>
      <w:r>
        <w:rPr>
          <w:noProof/>
          <w:lang w:val="en-CA" w:eastAsia="en-CA"/>
        </w:rPr>
        <w:drawing>
          <wp:inline distT="0" distB="0" distL="0" distR="0" wp14:anchorId="1BA9A1A0" wp14:editId="55AA3AEF">
            <wp:extent cx="5050434" cy="3255264"/>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6B2D31" w:rsidRDefault="006B2D31" w:rsidP="00370E18">
      <w:pPr>
        <w:pStyle w:val="Caption"/>
        <w:jc w:val="both"/>
      </w:pPr>
      <w:bookmarkStart w:id="43" w:name="_Ref437458419"/>
      <w:bookmarkStart w:id="44" w:name="_Toc455582780"/>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14</w:t>
      </w:r>
      <w:r w:rsidRPr="00A66D86">
        <w:rPr>
          <w:b/>
        </w:rPr>
        <w:fldChar w:fldCharType="end"/>
      </w:r>
      <w:bookmarkEnd w:id="43"/>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bookmarkEnd w:id="44"/>
    </w:p>
    <w:p w:rsidR="006B2D31" w:rsidRPr="00A66D86" w:rsidRDefault="006B2D31" w:rsidP="00A66D86"/>
    <w:p w:rsidR="006B2D31" w:rsidRDefault="006B2D31" w:rsidP="005C75D2">
      <w:pPr>
        <w:pStyle w:val="BodyText"/>
        <w:jc w:val="both"/>
      </w:pPr>
      <w:r>
        <w:t>The Angström exponent can be determine by fitting a line through a series of spectral points by rearranging Equation 5.14 into the following</w:t>
      </w:r>
    </w:p>
    <w:tbl>
      <w:tblPr>
        <w:tblStyle w:val="TableGrid"/>
        <w:tblW w:w="8050" w:type="dxa"/>
        <w:tblInd w:w="1418" w:type="dxa"/>
        <w:tblLook w:val="04A0" w:firstRow="1" w:lastRow="0" w:firstColumn="1" w:lastColumn="0" w:noHBand="0" w:noVBand="1"/>
      </w:tblPr>
      <w:tblGrid>
        <w:gridCol w:w="6804"/>
        <w:gridCol w:w="1246"/>
      </w:tblGrid>
      <w:tr w:rsidR="006B2D31" w:rsidTr="00C500DC">
        <w:tc>
          <w:tcPr>
            <w:tcW w:w="6804" w:type="dxa"/>
            <w:tcBorders>
              <w:top w:val="nil"/>
              <w:left w:val="nil"/>
              <w:bottom w:val="nil"/>
              <w:right w:val="nil"/>
            </w:tcBorders>
          </w:tcPr>
          <w:p w:rsidR="006B2D31" w:rsidRPr="00DE6648" w:rsidRDefault="006B2D31"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6B2D31" w:rsidRDefault="006B2D31" w:rsidP="00DE6648">
            <w:pPr>
              <w:pStyle w:val="BodyText"/>
              <w:ind w:firstLine="0"/>
              <w:jc w:val="right"/>
            </w:pPr>
            <w:r>
              <w:t>(5.15)</w:t>
            </w:r>
          </w:p>
        </w:tc>
      </w:tr>
    </w:tbl>
    <w:p w:rsidR="006B2D31" w:rsidRDefault="006B2D31" w:rsidP="00E3749D">
      <w:pPr>
        <w:pStyle w:val="BodyText"/>
        <w:ind w:firstLine="0"/>
        <w:jc w:val="both"/>
      </w:pPr>
      <w:r>
        <w:t>The rearranging demonstrates that the Angström exponent is the simple slope of the log of the extinction over the log of the wavelengths.</w:t>
      </w:r>
    </w:p>
    <w:p w:rsidR="006B2D31" w:rsidRDefault="006B2D31"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and is found using a least squares fit.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rsidR="006B2D31" w:rsidRDefault="006B2D31" w:rsidP="00B7041C">
      <w:pPr>
        <w:pStyle w:val="BodyText"/>
        <w:jc w:val="both"/>
      </w:pPr>
      <w:r>
        <w:t>A precision estimate was also required for the Angström exponent. The method used to determine the precision is the standard way to calculate uncertainty from the least squares fit.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6B2D31" w:rsidTr="00D674B9">
        <w:tc>
          <w:tcPr>
            <w:tcW w:w="6804" w:type="dxa"/>
            <w:tcBorders>
              <w:top w:val="nil"/>
              <w:left w:val="nil"/>
              <w:bottom w:val="nil"/>
              <w:right w:val="nil"/>
            </w:tcBorders>
          </w:tcPr>
          <w:p w:rsidR="006B2D31" w:rsidRPr="00DE6648" w:rsidRDefault="006B2D31"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6B2D31" w:rsidRDefault="006B2D31" w:rsidP="00D674B9">
            <w:pPr>
              <w:pStyle w:val="BodyText"/>
              <w:ind w:firstLine="0"/>
              <w:jc w:val="right"/>
            </w:pPr>
            <w:r>
              <w:t>(5.16)</w:t>
            </w:r>
          </w:p>
        </w:tc>
      </w:tr>
    </w:tbl>
    <w:p w:rsidR="006B2D31" w:rsidRDefault="006B2D31" w:rsidP="00DB1708">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6B2D31" w:rsidTr="00D674B9">
        <w:tc>
          <w:tcPr>
            <w:tcW w:w="6804" w:type="dxa"/>
            <w:tcBorders>
              <w:top w:val="nil"/>
              <w:left w:val="nil"/>
              <w:bottom w:val="nil"/>
              <w:right w:val="nil"/>
            </w:tcBorders>
          </w:tcPr>
          <w:p w:rsidR="006B2D31" w:rsidRPr="00DE6648" w:rsidRDefault="006B2D31"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6B2D31" w:rsidRDefault="006B2D31" w:rsidP="00DB1708">
            <w:pPr>
              <w:pStyle w:val="BodyText"/>
              <w:ind w:firstLine="0"/>
              <w:jc w:val="right"/>
            </w:pPr>
            <w:r>
              <w:t>(5.17)</w:t>
            </w:r>
          </w:p>
        </w:tc>
      </w:tr>
    </w:tbl>
    <w:p w:rsidR="006B2D31" w:rsidRDefault="006B2D31" w:rsidP="00E3749D">
      <w:pPr>
        <w:pStyle w:val="BodyText"/>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rsidR="006B2D31" w:rsidRDefault="006B2D31" w:rsidP="00395867">
      <w:pPr>
        <w:pStyle w:val="Heading2"/>
      </w:pPr>
      <w:bookmarkStart w:id="45" w:name="_Toc455582642"/>
      <w:r>
        <w:t>5.3.4 A Sample Particle Size Retrieval</w:t>
      </w:r>
      <w:bookmarkEnd w:id="45"/>
    </w:p>
    <w:p w:rsidR="006B2D31" w:rsidRDefault="006B2D31"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Pr="005606C3">
        <w:fldChar w:fldCharType="begin"/>
      </w:r>
      <w:r w:rsidRPr="005606C3">
        <w:instrText xml:space="preserve"> REF _Ref437539159 \h  \* MERGEFORMAT </w:instrText>
      </w:r>
      <w:r w:rsidRPr="005606C3">
        <w:fldChar w:fldCharType="separate"/>
      </w:r>
      <w:r w:rsidRPr="00DB0B24">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rsidRPr="009004A8">
        <w:fldChar w:fldCharType="begin"/>
      </w:r>
      <w:r w:rsidRPr="009004A8">
        <w:instrText xml:space="preserve"> REF _Ref437539159 \h  \* MERGEFORMAT </w:instrText>
      </w:r>
      <w:r w:rsidRPr="009004A8">
        <w:fldChar w:fldCharType="separate"/>
      </w:r>
      <w:r w:rsidRPr="009004A8">
        <w:t>Figure 5-</w:t>
      </w:r>
      <w:r w:rsidRPr="009004A8">
        <w:rPr>
          <w:noProof/>
        </w:rPr>
        <w:t>15</w:t>
      </w:r>
      <w:r w:rsidRPr="009004A8">
        <w:fldChar w:fldCharType="end"/>
      </w:r>
      <w:r w:rsidRPr="009004A8">
        <w:t xml:space="preserve"> </w:t>
      </w:r>
      <w:r w:rsidRPr="00222E24">
        <w:t>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rsidRPr="00AF5955">
        <w:fldChar w:fldCharType="begin"/>
      </w:r>
      <w:r w:rsidRPr="00AF5955">
        <w:instrText xml:space="preserve"> REF _Ref437539159 \h  \* MERGEFORMAT </w:instrText>
      </w:r>
      <w:r w:rsidRPr="00AF5955">
        <w:fldChar w:fldCharType="separate"/>
      </w:r>
      <w:r w:rsidRPr="00DB0B24">
        <w:t>Figure 5-15</w:t>
      </w:r>
      <w:r w:rsidRPr="00AF5955">
        <w:fldChar w:fldCharType="end"/>
      </w:r>
      <w:r>
        <w:t xml:space="preserve">,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rsidR="006B2D31" w:rsidRDefault="006B2D31" w:rsidP="00D75E6E">
      <w:pPr>
        <w:pStyle w:val="BodyText"/>
        <w:keepNext/>
        <w:ind w:firstLine="0"/>
        <w:jc w:val="center"/>
      </w:pPr>
      <w:r>
        <w:rPr>
          <w:noProof/>
          <w:lang w:val="en-CA" w:eastAsia="en-CA"/>
        </w:rPr>
        <w:drawing>
          <wp:inline distT="0" distB="0" distL="0" distR="0" wp14:anchorId="7EA3CB6C" wp14:editId="6CBFDDF3">
            <wp:extent cx="2277258" cy="4810125"/>
            <wp:effectExtent l="0" t="0" r="8890" b="0"/>
            <wp:docPr id="38" name="Picture 38" descr="C:\Users\bje035\Documents\GitHub\Thesis\Figures\5-3-Partical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GitHub\Thesis\Figures\5-3-ParticalSiz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4822" cy="4826103"/>
                    </a:xfrm>
                    <a:prstGeom prst="rect">
                      <a:avLst/>
                    </a:prstGeom>
                    <a:noFill/>
                    <a:ln>
                      <a:noFill/>
                    </a:ln>
                  </pic:spPr>
                </pic:pic>
              </a:graphicData>
            </a:graphic>
          </wp:inline>
        </w:drawing>
      </w:r>
    </w:p>
    <w:p w:rsidR="006B2D31" w:rsidRDefault="006B2D31" w:rsidP="00370E18">
      <w:pPr>
        <w:pStyle w:val="Caption"/>
        <w:jc w:val="both"/>
      </w:pPr>
      <w:bookmarkStart w:id="46" w:name="_Ref437539159"/>
      <w:bookmarkStart w:id="47" w:name="_Toc455582781"/>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6"/>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 Originally published as Figure 13 in </w:t>
      </w:r>
      <w:r>
        <w:rPr>
          <w:i/>
        </w:rPr>
        <w:t>Elash et al.</w:t>
      </w:r>
      <w:r>
        <w:t xml:space="preserve"> (2016).</w:t>
      </w:r>
      <w:bookmarkEnd w:id="47"/>
    </w:p>
    <w:p w:rsidR="006B2D31" w:rsidRPr="005606C3" w:rsidRDefault="006B2D31" w:rsidP="005606C3"/>
    <w:p w:rsidR="006B2D31" w:rsidRDefault="006B2D31" w:rsidP="00395867">
      <w:pPr>
        <w:pStyle w:val="Heading1"/>
      </w:pPr>
      <w:bookmarkStart w:id="48" w:name="_Toc455582643"/>
      <w:r>
        <w:t>5.4 Results and Future Improvements</w:t>
      </w:r>
      <w:bookmarkEnd w:id="48"/>
    </w:p>
    <w:p w:rsidR="006B2D31" w:rsidRDefault="006B2D31" w:rsidP="005606C3">
      <w:pPr>
        <w:spacing w:line="480" w:lineRule="auto"/>
        <w:ind w:firstLine="720"/>
        <w:jc w:val="both"/>
      </w:pPr>
      <w:r>
        <w:t xml:space="preserve">The </w:t>
      </w:r>
      <w:r w:rsidRPr="00222E24">
        <w:t xml:space="preserve">ALI </w:t>
      </w:r>
      <w:r>
        <w:t xml:space="preserve">prototype, which is a telescopic acousto-optic imager, has been used to </w:t>
      </w:r>
      <w:r w:rsidRPr="00222E24">
        <w:t>success</w:t>
      </w:r>
      <w:r>
        <w:t xml:space="preserve">fully measure two dimensional spectral images of the atmospheric limb from a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that show reasonable agreement with OSIRIS satellite measurements. Furthermore rudimentary particle size microphysics information was also retrieved from the ALI mission. Due to the limited spectral range of the prototype these retrieval was noisy but would still yield sensitivity to large particle size perturbation seen after a volcanic eruption similar to OSRIS or SAGE products and with the extended wavelength range into the NIR the precision could be increased. A satellite version of the ALI instrument would be able to supply global distribution of aerosol extinction and microphysics and assist in continuing the global aerosol record.</w:t>
      </w:r>
    </w:p>
    <w:p w:rsidR="006B2D31" w:rsidRDefault="006B2D31" w:rsidP="00A94DCF">
      <w:pPr>
        <w:pStyle w:val="BodyText"/>
        <w:jc w:val="both"/>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effective of albedo directly, as is done with OSIRIS.  This would remove</w:t>
      </w:r>
      <w:r w:rsidRPr="00222E24">
        <w:t xml:space="preserve"> some</w:t>
      </w:r>
      <w:r>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and preforming the necessary experiments.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 An issue to be tackled in a second generation instrument is added a telescope back end to the imager to be able to help remove reflection the zero order beams from contaminating the final image from internal stray light as occurred in the prototype version of ALI. Also to further reduce this problem Glan-Taylor prism polarizer should replace the nanoparticle linear polarizers. The advantage to the Glan-Taylor prism is rather than attenuate the unwanted polarization have unabsorbed it is reflected though total internal reflection approximately 90 degrees from the optical axis where it can be absorbed away from  imaging plane reducing the stray light contamination improving the imaging quality. A camera with faster readout would also greatly increase the number of measurements that can be made with the system and increase the amount of scientific information that could be acquired in a space mission.</w:t>
      </w:r>
    </w:p>
    <w:p w:rsidR="006B2D31" w:rsidRDefault="006B2D31" w:rsidP="00370E18">
      <w:pPr>
        <w:pStyle w:val="BodyText"/>
        <w:jc w:val="both"/>
        <w:sectPr w:rsidR="006B2D31" w:rsidSect="007E2ADC">
          <w:headerReference w:type="default" r:id="rId23"/>
          <w:footerReference w:type="first" r:id="rId24"/>
          <w:pgSz w:w="12240" w:h="15840" w:code="1"/>
          <w:pgMar w:top="1440" w:right="1440" w:bottom="1440" w:left="1440" w:header="720" w:footer="720" w:gutter="0"/>
          <w:cols w:space="720"/>
          <w:titlePg/>
        </w:sectPr>
      </w:pPr>
      <w:r>
        <w:t xml:space="preserve">Apart from aerosol future iteration of ALI could be used to possibly measure additional atmospheric species with modifications to the possible wavelength range. The current version of ALI was able to measure from 650-950 nm, and expanding out to the NIR and selecting an AOTF with a narrower bandpass the possibility of retrieving a water vapour profile using the water absorption bands around 930 nm. Further if the AOTF is replaced with a dual octave filter the wavelength range of the device could be expanded, for example 450-1800 nm, and replace the camera with an extended InGa array would allow the addition of an ozone retrieval while still maintaining the ability to retrieve high quality aerosol profiles. Furthermore, the addition of an ozone retrieval has an effect on aerosol retrievals at the shorter wavelengths which would improve the aerosol product at these wavelengths. Lastly, using an extended range AOTF would also allow a short wavelength normalization to the measurement vector like OSIRIS and SCIAMACHY for easier and consistent comparison between various instruments. </w:t>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F92" w:rsidRDefault="00E44F92">
      <w:r>
        <w:separator/>
      </w:r>
    </w:p>
  </w:endnote>
  <w:endnote w:type="continuationSeparator" w:id="0">
    <w:p w:rsidR="00E44F92" w:rsidRDefault="00E44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D31" w:rsidRDefault="006B2D3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104</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E79" w:rsidRDefault="004F4E79">
    <w:pPr>
      <w:pStyle w:val="Footer"/>
    </w:pPr>
    <w:r>
      <w:rPr>
        <w:rStyle w:val="PageNumber"/>
      </w:rPr>
      <w:fldChar w:fldCharType="begin"/>
    </w:r>
    <w:r>
      <w:rPr>
        <w:rStyle w:val="PageNumber"/>
      </w:rPr>
      <w:instrText xml:space="preserve"> PAGE </w:instrText>
    </w:r>
    <w:r>
      <w:rPr>
        <w:rStyle w:val="PageNumber"/>
      </w:rPr>
      <w:fldChar w:fldCharType="separate"/>
    </w:r>
    <w:r w:rsidR="002665C6">
      <w:rPr>
        <w:rStyle w:val="PageNumber"/>
        <w:noProof/>
      </w:rPr>
      <w:t>34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F92" w:rsidRDefault="00E44F92">
      <w:r>
        <w:separator/>
      </w:r>
    </w:p>
  </w:footnote>
  <w:footnote w:type="continuationSeparator" w:id="0">
    <w:p w:rsidR="00E44F92" w:rsidRDefault="00E44F92">
      <w:r>
        <w:continuationSeparator/>
      </w:r>
    </w:p>
  </w:footnote>
  <w:footnote w:id="1">
    <w:p w:rsidR="006B2D31" w:rsidRPr="00370E18" w:rsidRDefault="006B2D31">
      <w:pPr>
        <w:pStyle w:val="FootnoteText"/>
        <w:rPr>
          <w:lang w:val="en-CA"/>
        </w:rPr>
      </w:pPr>
      <w:r>
        <w:rPr>
          <w:rStyle w:val="FootnoteReference"/>
        </w:rPr>
        <w:footnoteRef/>
      </w:r>
      <w:r>
        <w:t xml:space="preserve"> Portion of sections 5.1.1, 5.2, 5.3.1, 5.3.2, 5.3.4 and 5.4 as well </w:t>
      </w:r>
      <w:r w:rsidRPr="008B70B8">
        <w:t xml:space="preserve">as </w:t>
      </w:r>
      <w:r w:rsidRPr="008B70B8">
        <w:fldChar w:fldCharType="begin"/>
      </w:r>
      <w:r w:rsidRPr="008B70B8">
        <w:instrText xml:space="preserve"> REF _Ref434434702 \h  \* MERGEFORMAT </w:instrText>
      </w:r>
      <w:r w:rsidRPr="008B70B8">
        <w:fldChar w:fldCharType="separate"/>
      </w:r>
      <w:r w:rsidRPr="008B70B8">
        <w:t>Figure 5-</w:t>
      </w:r>
      <w:r w:rsidRPr="008B70B8">
        <w:rPr>
          <w:noProof/>
        </w:rPr>
        <w:t>3</w:t>
      </w:r>
      <w:r w:rsidRPr="008B70B8">
        <w:fldChar w:fldCharType="end"/>
      </w:r>
      <w:r w:rsidRPr="008B70B8">
        <w:t xml:space="preserve">, </w:t>
      </w:r>
      <w:r w:rsidRPr="008B70B8">
        <w:fldChar w:fldCharType="begin"/>
      </w:r>
      <w:r w:rsidRPr="008B70B8">
        <w:instrText xml:space="preserve"> REF _Ref434857421 \h  \* MERGEFORMAT </w:instrText>
      </w:r>
      <w:r w:rsidRPr="008B70B8">
        <w:fldChar w:fldCharType="separate"/>
      </w:r>
      <w:r w:rsidRPr="008B70B8">
        <w:t>5-</w:t>
      </w:r>
      <w:r w:rsidRPr="008B70B8">
        <w:rPr>
          <w:noProof/>
        </w:rPr>
        <w:t>6</w:t>
      </w:r>
      <w:r w:rsidRPr="008B70B8">
        <w:fldChar w:fldCharType="end"/>
      </w:r>
      <w:r w:rsidRPr="008B70B8">
        <w:t xml:space="preserve">, </w:t>
      </w:r>
      <w:r w:rsidRPr="008B70B8">
        <w:fldChar w:fldCharType="begin"/>
      </w:r>
      <w:r w:rsidRPr="008B70B8">
        <w:instrText xml:space="preserve"> REF _Ref434859826 \h  \* MERGEFORMAT </w:instrText>
      </w:r>
      <w:r w:rsidRPr="008B70B8">
        <w:fldChar w:fldCharType="separate"/>
      </w:r>
      <w:r w:rsidRPr="008B70B8">
        <w:t>5-</w:t>
      </w:r>
      <w:r w:rsidRPr="008B70B8">
        <w:rPr>
          <w:noProof/>
        </w:rPr>
        <w:t>7</w:t>
      </w:r>
      <w:r w:rsidRPr="008B70B8">
        <w:fldChar w:fldCharType="end"/>
      </w:r>
      <w:r w:rsidRPr="008B70B8">
        <w:t xml:space="preserve">, </w:t>
      </w:r>
      <w:r w:rsidRPr="008B70B8">
        <w:fldChar w:fldCharType="begin"/>
      </w:r>
      <w:r w:rsidRPr="008B70B8">
        <w:instrText xml:space="preserve"> REF _Ref434859797 \h  \* MERGEFORMAT </w:instrText>
      </w:r>
      <w:r w:rsidRPr="008B70B8">
        <w:fldChar w:fldCharType="separate"/>
      </w:r>
      <w:r w:rsidRPr="008B70B8">
        <w:t>5-</w:t>
      </w:r>
      <w:r w:rsidRPr="008B70B8">
        <w:rPr>
          <w:noProof/>
        </w:rPr>
        <w:t>8</w:t>
      </w:r>
      <w:r w:rsidRPr="008B70B8">
        <w:fldChar w:fldCharType="end"/>
      </w:r>
      <w:r w:rsidRPr="008B70B8">
        <w:t xml:space="preserve">, </w:t>
      </w:r>
      <w:r w:rsidRPr="008B70B8">
        <w:fldChar w:fldCharType="begin"/>
      </w:r>
      <w:r w:rsidRPr="008B70B8">
        <w:instrText xml:space="preserve"> REF _Ref435869209 \h  \* MERGEFORMAT </w:instrText>
      </w:r>
      <w:r w:rsidRPr="008B70B8">
        <w:fldChar w:fldCharType="separate"/>
      </w:r>
      <w:r w:rsidRPr="008B70B8">
        <w:t>5-</w:t>
      </w:r>
      <w:r w:rsidRPr="008B70B8">
        <w:rPr>
          <w:noProof/>
        </w:rPr>
        <w:t>11</w:t>
      </w:r>
      <w:r w:rsidRPr="008B70B8">
        <w:fldChar w:fldCharType="end"/>
      </w:r>
      <w:r w:rsidRPr="008B70B8">
        <w:t xml:space="preserve">, and </w:t>
      </w:r>
      <w:r w:rsidRPr="008B70B8">
        <w:fldChar w:fldCharType="begin"/>
      </w:r>
      <w:r w:rsidRPr="008B70B8">
        <w:instrText xml:space="preserve"> REF _Ref437539159 \h  \* MERGEFORMAT </w:instrText>
      </w:r>
      <w:r w:rsidRPr="008B70B8">
        <w:fldChar w:fldCharType="separate"/>
      </w:r>
      <w:r w:rsidRPr="008B70B8">
        <w:t>5-</w:t>
      </w:r>
      <w:r w:rsidRPr="008B70B8">
        <w:rPr>
          <w:noProof/>
        </w:rPr>
        <w:t>15</w:t>
      </w:r>
      <w:r w:rsidRPr="008B70B8">
        <w:fldChar w:fldCharType="end"/>
      </w:r>
      <w:r>
        <w:t xml:space="preserve"> </w:t>
      </w:r>
      <w:r w:rsidRPr="008B70B8">
        <w:t>were</w:t>
      </w:r>
      <w:r>
        <w:t xml:space="preserv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D31" w:rsidRDefault="006B2D31">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136</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E79" w:rsidRDefault="004F4E7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26DB"/>
    <w:rsid w:val="00016618"/>
    <w:rsid w:val="00040CC4"/>
    <w:rsid w:val="0004208D"/>
    <w:rsid w:val="00057372"/>
    <w:rsid w:val="00064E57"/>
    <w:rsid w:val="00066807"/>
    <w:rsid w:val="00075A91"/>
    <w:rsid w:val="00081150"/>
    <w:rsid w:val="00085A94"/>
    <w:rsid w:val="00085D71"/>
    <w:rsid w:val="000921FA"/>
    <w:rsid w:val="000A4134"/>
    <w:rsid w:val="000A4DF8"/>
    <w:rsid w:val="000A6D22"/>
    <w:rsid w:val="000B10B1"/>
    <w:rsid w:val="000B4417"/>
    <w:rsid w:val="000B76FB"/>
    <w:rsid w:val="000E4898"/>
    <w:rsid w:val="000E75D4"/>
    <w:rsid w:val="00100A4E"/>
    <w:rsid w:val="00107A09"/>
    <w:rsid w:val="00127771"/>
    <w:rsid w:val="00133ABD"/>
    <w:rsid w:val="00137C9B"/>
    <w:rsid w:val="0015241F"/>
    <w:rsid w:val="00152F8F"/>
    <w:rsid w:val="00160C26"/>
    <w:rsid w:val="001837A4"/>
    <w:rsid w:val="001A1A60"/>
    <w:rsid w:val="001A3348"/>
    <w:rsid w:val="001A430E"/>
    <w:rsid w:val="001B22B0"/>
    <w:rsid w:val="001C7FAA"/>
    <w:rsid w:val="001D1577"/>
    <w:rsid w:val="001D40D3"/>
    <w:rsid w:val="001D6561"/>
    <w:rsid w:val="001D7F8A"/>
    <w:rsid w:val="001E059B"/>
    <w:rsid w:val="001E3A85"/>
    <w:rsid w:val="001F388D"/>
    <w:rsid w:val="001F3E0D"/>
    <w:rsid w:val="002153BB"/>
    <w:rsid w:val="00224693"/>
    <w:rsid w:val="00232F9E"/>
    <w:rsid w:val="002422F5"/>
    <w:rsid w:val="002534DD"/>
    <w:rsid w:val="0025439D"/>
    <w:rsid w:val="002563B2"/>
    <w:rsid w:val="002665C6"/>
    <w:rsid w:val="00276A4D"/>
    <w:rsid w:val="00282137"/>
    <w:rsid w:val="0028482A"/>
    <w:rsid w:val="00286BE8"/>
    <w:rsid w:val="00292AD8"/>
    <w:rsid w:val="00293638"/>
    <w:rsid w:val="002B085C"/>
    <w:rsid w:val="002B150E"/>
    <w:rsid w:val="002D042A"/>
    <w:rsid w:val="002E2D3F"/>
    <w:rsid w:val="002F1C15"/>
    <w:rsid w:val="002F3EF4"/>
    <w:rsid w:val="002F6249"/>
    <w:rsid w:val="00305B19"/>
    <w:rsid w:val="003154F4"/>
    <w:rsid w:val="0033373A"/>
    <w:rsid w:val="003439E1"/>
    <w:rsid w:val="00343AAE"/>
    <w:rsid w:val="00347988"/>
    <w:rsid w:val="0035256E"/>
    <w:rsid w:val="0035760E"/>
    <w:rsid w:val="00370E18"/>
    <w:rsid w:val="00375F45"/>
    <w:rsid w:val="00380F36"/>
    <w:rsid w:val="003810B3"/>
    <w:rsid w:val="003831BB"/>
    <w:rsid w:val="00395867"/>
    <w:rsid w:val="003A2911"/>
    <w:rsid w:val="003C0950"/>
    <w:rsid w:val="003C14C6"/>
    <w:rsid w:val="003D11DD"/>
    <w:rsid w:val="003D7472"/>
    <w:rsid w:val="003E44CB"/>
    <w:rsid w:val="003F54F5"/>
    <w:rsid w:val="00404613"/>
    <w:rsid w:val="00432C96"/>
    <w:rsid w:val="00450CAC"/>
    <w:rsid w:val="00451BF6"/>
    <w:rsid w:val="004702F4"/>
    <w:rsid w:val="004935AD"/>
    <w:rsid w:val="00497B12"/>
    <w:rsid w:val="004A1F42"/>
    <w:rsid w:val="004D479A"/>
    <w:rsid w:val="004D7FED"/>
    <w:rsid w:val="004E1D37"/>
    <w:rsid w:val="004E4BD6"/>
    <w:rsid w:val="004E58EC"/>
    <w:rsid w:val="004F3A7C"/>
    <w:rsid w:val="004F4E79"/>
    <w:rsid w:val="0053407A"/>
    <w:rsid w:val="0054483E"/>
    <w:rsid w:val="00550DAD"/>
    <w:rsid w:val="005606C3"/>
    <w:rsid w:val="00563BF8"/>
    <w:rsid w:val="00590655"/>
    <w:rsid w:val="00595732"/>
    <w:rsid w:val="00595777"/>
    <w:rsid w:val="005B755D"/>
    <w:rsid w:val="005C3854"/>
    <w:rsid w:val="005C75D2"/>
    <w:rsid w:val="005D7BE8"/>
    <w:rsid w:val="005E189A"/>
    <w:rsid w:val="005E53AB"/>
    <w:rsid w:val="005E5BCC"/>
    <w:rsid w:val="005F1347"/>
    <w:rsid w:val="00604F05"/>
    <w:rsid w:val="00621860"/>
    <w:rsid w:val="00627E31"/>
    <w:rsid w:val="00630AA1"/>
    <w:rsid w:val="0064352E"/>
    <w:rsid w:val="00665EF4"/>
    <w:rsid w:val="00672A9C"/>
    <w:rsid w:val="006B03E2"/>
    <w:rsid w:val="006B2D31"/>
    <w:rsid w:val="006B5E7C"/>
    <w:rsid w:val="006B708C"/>
    <w:rsid w:val="006C2AF7"/>
    <w:rsid w:val="006C43D1"/>
    <w:rsid w:val="006E0CE1"/>
    <w:rsid w:val="006F16C9"/>
    <w:rsid w:val="006F26BE"/>
    <w:rsid w:val="006F52F6"/>
    <w:rsid w:val="00706EEF"/>
    <w:rsid w:val="0071354A"/>
    <w:rsid w:val="00715410"/>
    <w:rsid w:val="007255EF"/>
    <w:rsid w:val="00751102"/>
    <w:rsid w:val="00783C03"/>
    <w:rsid w:val="00784CED"/>
    <w:rsid w:val="0079283C"/>
    <w:rsid w:val="00793FC3"/>
    <w:rsid w:val="00796578"/>
    <w:rsid w:val="007A4E1D"/>
    <w:rsid w:val="007B4C3F"/>
    <w:rsid w:val="007B7ECD"/>
    <w:rsid w:val="007C15BF"/>
    <w:rsid w:val="007C6474"/>
    <w:rsid w:val="007C6C0E"/>
    <w:rsid w:val="007D09E8"/>
    <w:rsid w:val="007D7955"/>
    <w:rsid w:val="007E2ADC"/>
    <w:rsid w:val="007E3A08"/>
    <w:rsid w:val="007E5FE5"/>
    <w:rsid w:val="008043D0"/>
    <w:rsid w:val="00807A33"/>
    <w:rsid w:val="00812DD3"/>
    <w:rsid w:val="00813314"/>
    <w:rsid w:val="00813929"/>
    <w:rsid w:val="008357A8"/>
    <w:rsid w:val="008359F9"/>
    <w:rsid w:val="0085229E"/>
    <w:rsid w:val="00852B19"/>
    <w:rsid w:val="00853EC2"/>
    <w:rsid w:val="008545F8"/>
    <w:rsid w:val="00862881"/>
    <w:rsid w:val="00866A08"/>
    <w:rsid w:val="00882F23"/>
    <w:rsid w:val="00891729"/>
    <w:rsid w:val="008B70B8"/>
    <w:rsid w:val="008D458D"/>
    <w:rsid w:val="008E015F"/>
    <w:rsid w:val="009002DD"/>
    <w:rsid w:val="009004A8"/>
    <w:rsid w:val="00901785"/>
    <w:rsid w:val="0090199B"/>
    <w:rsid w:val="00903243"/>
    <w:rsid w:val="00905021"/>
    <w:rsid w:val="00914979"/>
    <w:rsid w:val="009209E4"/>
    <w:rsid w:val="00926ABD"/>
    <w:rsid w:val="00927AC4"/>
    <w:rsid w:val="00931B6E"/>
    <w:rsid w:val="00931E05"/>
    <w:rsid w:val="00933DB1"/>
    <w:rsid w:val="009422E9"/>
    <w:rsid w:val="00946035"/>
    <w:rsid w:val="0094787D"/>
    <w:rsid w:val="00954377"/>
    <w:rsid w:val="00960C5C"/>
    <w:rsid w:val="00961690"/>
    <w:rsid w:val="0096283B"/>
    <w:rsid w:val="00964731"/>
    <w:rsid w:val="0096582F"/>
    <w:rsid w:val="00970687"/>
    <w:rsid w:val="009710E9"/>
    <w:rsid w:val="009718A5"/>
    <w:rsid w:val="00975A2C"/>
    <w:rsid w:val="00984538"/>
    <w:rsid w:val="009A064B"/>
    <w:rsid w:val="009A7A57"/>
    <w:rsid w:val="009B490B"/>
    <w:rsid w:val="009B68DA"/>
    <w:rsid w:val="009D786C"/>
    <w:rsid w:val="009E3AB6"/>
    <w:rsid w:val="009E7189"/>
    <w:rsid w:val="009F05B9"/>
    <w:rsid w:val="009F3EE8"/>
    <w:rsid w:val="00A11105"/>
    <w:rsid w:val="00A2218B"/>
    <w:rsid w:val="00A22ABC"/>
    <w:rsid w:val="00A25D0C"/>
    <w:rsid w:val="00A27E22"/>
    <w:rsid w:val="00A365E7"/>
    <w:rsid w:val="00A36F69"/>
    <w:rsid w:val="00A404F3"/>
    <w:rsid w:val="00A40661"/>
    <w:rsid w:val="00A422BD"/>
    <w:rsid w:val="00A432B3"/>
    <w:rsid w:val="00A44AD9"/>
    <w:rsid w:val="00A562AA"/>
    <w:rsid w:val="00A6500D"/>
    <w:rsid w:val="00A66D86"/>
    <w:rsid w:val="00A747D1"/>
    <w:rsid w:val="00A81D55"/>
    <w:rsid w:val="00A9480C"/>
    <w:rsid w:val="00A94DCF"/>
    <w:rsid w:val="00A95F7B"/>
    <w:rsid w:val="00AB2010"/>
    <w:rsid w:val="00AC0D69"/>
    <w:rsid w:val="00AD56B6"/>
    <w:rsid w:val="00AD67E9"/>
    <w:rsid w:val="00AE09C4"/>
    <w:rsid w:val="00AE4782"/>
    <w:rsid w:val="00AE4A73"/>
    <w:rsid w:val="00AF0528"/>
    <w:rsid w:val="00AF395D"/>
    <w:rsid w:val="00AF4512"/>
    <w:rsid w:val="00AF71B0"/>
    <w:rsid w:val="00B101D6"/>
    <w:rsid w:val="00B10302"/>
    <w:rsid w:val="00B12AEA"/>
    <w:rsid w:val="00B13F82"/>
    <w:rsid w:val="00B43245"/>
    <w:rsid w:val="00B54ABB"/>
    <w:rsid w:val="00B54C26"/>
    <w:rsid w:val="00B62416"/>
    <w:rsid w:val="00B661D8"/>
    <w:rsid w:val="00B7041C"/>
    <w:rsid w:val="00B73D80"/>
    <w:rsid w:val="00B742DF"/>
    <w:rsid w:val="00B82387"/>
    <w:rsid w:val="00B97E48"/>
    <w:rsid w:val="00BA0898"/>
    <w:rsid w:val="00BB608B"/>
    <w:rsid w:val="00BB7972"/>
    <w:rsid w:val="00BC0948"/>
    <w:rsid w:val="00BD1AA9"/>
    <w:rsid w:val="00BE7348"/>
    <w:rsid w:val="00BF4C14"/>
    <w:rsid w:val="00C023CE"/>
    <w:rsid w:val="00C05024"/>
    <w:rsid w:val="00C13BA2"/>
    <w:rsid w:val="00C15D29"/>
    <w:rsid w:val="00C31226"/>
    <w:rsid w:val="00C500DC"/>
    <w:rsid w:val="00C6709B"/>
    <w:rsid w:val="00C736A3"/>
    <w:rsid w:val="00C76EA9"/>
    <w:rsid w:val="00C91751"/>
    <w:rsid w:val="00C922A2"/>
    <w:rsid w:val="00CB094C"/>
    <w:rsid w:val="00CB2E74"/>
    <w:rsid w:val="00CC09BC"/>
    <w:rsid w:val="00CD3D90"/>
    <w:rsid w:val="00D24EFC"/>
    <w:rsid w:val="00D47E5C"/>
    <w:rsid w:val="00D50C66"/>
    <w:rsid w:val="00D5185E"/>
    <w:rsid w:val="00D674B9"/>
    <w:rsid w:val="00D75E6E"/>
    <w:rsid w:val="00D76D6B"/>
    <w:rsid w:val="00D826F6"/>
    <w:rsid w:val="00D85B74"/>
    <w:rsid w:val="00DA1125"/>
    <w:rsid w:val="00DA14A8"/>
    <w:rsid w:val="00DB1708"/>
    <w:rsid w:val="00DC14B9"/>
    <w:rsid w:val="00DC1A98"/>
    <w:rsid w:val="00DC5538"/>
    <w:rsid w:val="00DC7074"/>
    <w:rsid w:val="00DD0EEF"/>
    <w:rsid w:val="00DD3BAD"/>
    <w:rsid w:val="00DE6648"/>
    <w:rsid w:val="00E15801"/>
    <w:rsid w:val="00E27011"/>
    <w:rsid w:val="00E3659C"/>
    <w:rsid w:val="00E3749D"/>
    <w:rsid w:val="00E44F92"/>
    <w:rsid w:val="00E66EE0"/>
    <w:rsid w:val="00E731B3"/>
    <w:rsid w:val="00E769AC"/>
    <w:rsid w:val="00EA3586"/>
    <w:rsid w:val="00EB5A2B"/>
    <w:rsid w:val="00EC081B"/>
    <w:rsid w:val="00EC250F"/>
    <w:rsid w:val="00ED6DE1"/>
    <w:rsid w:val="00EF362D"/>
    <w:rsid w:val="00EF6254"/>
    <w:rsid w:val="00F038D8"/>
    <w:rsid w:val="00F117A6"/>
    <w:rsid w:val="00F12987"/>
    <w:rsid w:val="00F16917"/>
    <w:rsid w:val="00F26F15"/>
    <w:rsid w:val="00F30CD5"/>
    <w:rsid w:val="00F33853"/>
    <w:rsid w:val="00F472EE"/>
    <w:rsid w:val="00F5289C"/>
    <w:rsid w:val="00F62662"/>
    <w:rsid w:val="00F809AA"/>
    <w:rsid w:val="00F8182C"/>
    <w:rsid w:val="00F8261E"/>
    <w:rsid w:val="00F91C97"/>
    <w:rsid w:val="00F95B60"/>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9ACEC-6C1F-4DD0-823D-F6ED0BD20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1</Pages>
  <Words>7567</Words>
  <Characters>43137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50603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157</cp:revision>
  <cp:lastPrinted>1999-05-26T15:06:00Z</cp:lastPrinted>
  <dcterms:created xsi:type="dcterms:W3CDTF">2015-08-27T21:14:00Z</dcterms:created>
  <dcterms:modified xsi:type="dcterms:W3CDTF">2016-07-06T21:35:00Z</dcterms:modified>
</cp:coreProperties>
</file>