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F70" w:rsidRPr="00647F9E" w:rsidRDefault="00A87F70" w:rsidP="008165EA">
      <w:pPr>
        <w:pStyle w:val="ONEINCHSPACER"/>
        <w:spacing w:before="0"/>
        <w:jc w:val="center"/>
        <w:rPr>
          <w:sz w:val="36"/>
          <w:szCs w:val="36"/>
        </w:rPr>
      </w:pPr>
      <w:r w:rsidRPr="00647F9E">
        <w:rPr>
          <w:sz w:val="36"/>
          <w:szCs w:val="36"/>
        </w:rPr>
        <w:t xml:space="preserve">CHAPTER </w:t>
      </w:r>
      <w:r>
        <w:rPr>
          <w:sz w:val="36"/>
          <w:szCs w:val="36"/>
        </w:rPr>
        <w:t>6</w:t>
      </w:r>
    </w:p>
    <w:p w:rsidR="00A87F70" w:rsidRDefault="00A87F70">
      <w:pPr>
        <w:pStyle w:val="CHAPTERTITLE"/>
      </w:pPr>
      <w:bookmarkStart w:id="0" w:name="_Toc459300533"/>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A87F70" w:rsidRDefault="00A87F70" w:rsidP="009D1CCC">
      <w:pPr>
        <w:pStyle w:val="BodyText"/>
        <w:jc w:val="both"/>
      </w:pPr>
      <w:r>
        <w:t xml:space="preserve">With the success of the ALI stratospheric balloon mission, a satellite feasibility study funded by the Canadian Space Agency through Honeywell Aerospace is currently underway.  In addition, the next generation of the ALI prototype is under development at the University of Saskatchewan for a second stratospheric balloon test flight in 2017. Additionally, as previously mentioned, a similar instrument is current being developed in Belgium, called ALTIUS </w:t>
      </w:r>
      <w:r w:rsidRPr="004F6187">
        <w:t>(</w:t>
      </w:r>
      <w:r w:rsidRPr="00435FD8">
        <w:rPr>
          <w:i/>
        </w:rPr>
        <w:t>Dekemper et al.</w:t>
      </w:r>
      <w:r w:rsidRPr="004F6187">
        <w:t>, 2012)</w:t>
      </w:r>
      <w:r>
        <w:t xml:space="preserve">, which also uses an AOTF for spectral </w:t>
      </w:r>
      <w:r w:rsidRPr="00861E27">
        <w:t>filtering. However, this new method of measuring aerosol has a fundamental difference compared</w:t>
      </w:r>
      <w:r>
        <w:t xml:space="preserve"> to previous and current limb scatter instruments in that it measures linearly polarized light and not the total radiance. </w:t>
      </w:r>
    </w:p>
    <w:p w:rsidR="00A87F70" w:rsidRDefault="00A87F70" w:rsidP="00435FD8">
      <w:pPr>
        <w:pStyle w:val="BodyText"/>
        <w:jc w:val="both"/>
      </w:pPr>
      <w:r>
        <w:t>The modelling study presented in this chapter looks at the effect of polarized radiance measurements from a low earth orbit geometry, similar to that of OSIRIS (</w:t>
      </w:r>
      <w:r w:rsidRPr="00435FD8">
        <w:rPr>
          <w:i/>
        </w:rPr>
        <w:t>Llewellyn et al.</w:t>
      </w:r>
      <w:r w:rsidRPr="0005362D">
        <w:t>, 2004</w:t>
      </w:r>
      <w:r>
        <w:t>) and SCHAMACHY (</w:t>
      </w:r>
      <w:r w:rsidRPr="00435FD8">
        <w:rPr>
          <w:i/>
        </w:rPr>
        <w:t>Bovensmann et al.</w:t>
      </w:r>
      <w:r w:rsidRPr="0005362D">
        <w:t>, 1999</w:t>
      </w:r>
      <w:r>
        <w:t xml:space="preserve">), on the ability to retrieve stratospheric aerosol information. Although it has been previously shown that the retrieval of stratospheric aerosol extinction profiles from polarized scattered sunlight measurements are possible (as shown in Chapter 5 and </w:t>
      </w:r>
      <w:r>
        <w:rPr>
          <w:i/>
        </w:rPr>
        <w:t>Elash et al., 2016</w:t>
      </w:r>
      <w:r>
        <w:t xml:space="preserve">, as well as </w:t>
      </w:r>
      <w:r w:rsidRPr="00435FD8">
        <w:rPr>
          <w:i/>
        </w:rPr>
        <w:t>McLinden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  Further, we investigate which linear polarization and viewing geometries have the largest sensitivities to aerosol, and how the polarized measurements affect the accuracy and precision of the retrieved aerosol product.</w:t>
      </w:r>
    </w:p>
    <w:p w:rsidR="00A87F70" w:rsidRDefault="00A87F70" w:rsidP="00A01E4B">
      <w:pPr>
        <w:pStyle w:val="Heading1"/>
      </w:pPr>
      <w:bookmarkStart w:id="1" w:name="_Toc459300534"/>
      <w:r>
        <w:t>6.1 Background and Forward Model</w:t>
      </w:r>
      <w:bookmarkEnd w:id="1"/>
    </w:p>
    <w:p w:rsidR="00A87F70" w:rsidRDefault="00A87F70"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A87F70" w:rsidRDefault="00A87F70" w:rsidP="005479BD">
      <w:pPr>
        <w:pStyle w:val="Heading2"/>
      </w:pPr>
      <w:bookmarkStart w:id="2" w:name="_Toc459300535"/>
      <w:r>
        <w:t>6.1.1 Polarized Scattered Sunlight and Stratospheric Aerosols</w:t>
      </w:r>
      <w:bookmarkEnd w:id="2"/>
    </w:p>
    <w:p w:rsidR="00A87F70" w:rsidRDefault="00A87F70"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A87F70" w:rsidRDefault="00A87F70" w:rsidP="0077504C">
      <w:pPr>
        <w:pStyle w:val="BodyText"/>
        <w:jc w:val="both"/>
      </w:pPr>
      <w:r w:rsidRPr="00E613F8">
        <w:t>The time-averaged polarization state of partially polarized, incoherent light can be fully characterized by a Stokes vector,</w:t>
      </w:r>
    </w:p>
    <w:tbl>
      <w:tblPr>
        <w:tblStyle w:val="TableGrid"/>
        <w:tblW w:w="8050" w:type="dxa"/>
        <w:tblInd w:w="1418" w:type="dxa"/>
        <w:tblLook w:val="04A0" w:firstRow="1" w:lastRow="0" w:firstColumn="1" w:lastColumn="0" w:noHBand="0" w:noVBand="1"/>
      </w:tblPr>
      <w:tblGrid>
        <w:gridCol w:w="6804"/>
        <w:gridCol w:w="1246"/>
      </w:tblGrid>
      <w:tr w:rsidR="00A87F70" w:rsidTr="003C4539">
        <w:tc>
          <w:tcPr>
            <w:tcW w:w="6804" w:type="dxa"/>
            <w:tcBorders>
              <w:top w:val="nil"/>
              <w:left w:val="nil"/>
              <w:bottom w:val="nil"/>
              <w:right w:val="nil"/>
            </w:tcBorders>
          </w:tcPr>
          <w:p w:rsidR="00A87F70" w:rsidRDefault="00A87F70" w:rsidP="003C4539">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A87F70" w:rsidRDefault="00A87F70" w:rsidP="00842B4E">
            <w:pPr>
              <w:pStyle w:val="BodyText"/>
              <w:ind w:firstLine="0"/>
              <w:jc w:val="right"/>
            </w:pPr>
            <w:r>
              <w:t>(6.1)</w:t>
            </w:r>
          </w:p>
        </w:tc>
      </w:tr>
    </w:tbl>
    <w:p w:rsidR="00A87F70" w:rsidRDefault="00A87F70" w:rsidP="0077504C">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Pr>
          <w:vertAlign w:val="superscript"/>
        </w:rPr>
        <w:t>◦</w:t>
      </w:r>
      <w:r>
        <w:t xml:space="preserve"> diagonal polarization to -45</w:t>
      </w:r>
      <w:r>
        <w:rPr>
          <w:vertAlign w:val="superscript"/>
        </w:rPr>
        <w:t>◦</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xml:space="preserve">. </w:t>
      </w:r>
      <w:r>
        <w:rPr>
          <w:rFonts w:eastAsiaTheme="minorEastAsia"/>
        </w:rPr>
        <w:t xml:space="preserve">Scattering events modify the polarization state of scattered light. This modification is described by a scattering matrix, which is valid for Stokes vectors defined in a scattering frame. </w:t>
      </w:r>
      <w:r>
        <w:t>Using a reference frame where the x</w:t>
      </w:r>
      <w:r>
        <w:softHyphen/>
      </w:r>
      <w:r>
        <w:noBreakHyphen/>
        <w:t>axis is defined to be the horizontal polarization and where x and y axes are orthogonal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A87F70" w:rsidTr="003C4539">
        <w:tc>
          <w:tcPr>
            <w:tcW w:w="6804" w:type="dxa"/>
            <w:tcBorders>
              <w:top w:val="nil"/>
              <w:left w:val="nil"/>
              <w:bottom w:val="nil"/>
              <w:right w:val="nil"/>
            </w:tcBorders>
          </w:tcPr>
          <w:p w:rsidR="00A87F70" w:rsidRDefault="00A87F70"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A87F70" w:rsidRDefault="00A87F70" w:rsidP="00842B4E">
            <w:pPr>
              <w:pStyle w:val="BodyText"/>
              <w:ind w:firstLine="0"/>
              <w:jc w:val="right"/>
            </w:pPr>
            <w:r>
              <w:t>(6.2)</w:t>
            </w:r>
          </w:p>
        </w:tc>
      </w:tr>
    </w:tbl>
    <w:p w:rsidR="00A87F70" w:rsidRDefault="00A87F70" w:rsidP="0077504C">
      <w:pPr>
        <w:pStyle w:val="BodyText"/>
        <w:jc w:val="both"/>
      </w:pPr>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 and is represented by the following operation,</w:t>
      </w:r>
    </w:p>
    <w:tbl>
      <w:tblPr>
        <w:tblStyle w:val="TableGrid"/>
        <w:tblW w:w="8050" w:type="dxa"/>
        <w:tblInd w:w="1418" w:type="dxa"/>
        <w:tblLook w:val="04A0" w:firstRow="1" w:lastRow="0" w:firstColumn="1" w:lastColumn="0" w:noHBand="0" w:noVBand="1"/>
      </w:tblPr>
      <w:tblGrid>
        <w:gridCol w:w="6804"/>
        <w:gridCol w:w="1246"/>
      </w:tblGrid>
      <w:tr w:rsidR="00A87F70" w:rsidTr="003C4539">
        <w:tc>
          <w:tcPr>
            <w:tcW w:w="6804" w:type="dxa"/>
            <w:tcBorders>
              <w:top w:val="nil"/>
              <w:left w:val="nil"/>
              <w:bottom w:val="nil"/>
              <w:right w:val="nil"/>
            </w:tcBorders>
          </w:tcPr>
          <w:p w:rsidR="00A87F70" w:rsidRDefault="00A87F70"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A87F70" w:rsidRDefault="00A87F70" w:rsidP="00842B4E">
            <w:pPr>
              <w:pStyle w:val="BodyText"/>
              <w:ind w:firstLine="0"/>
              <w:jc w:val="right"/>
            </w:pPr>
            <w:r>
              <w:t>(6.3)</w:t>
            </w:r>
          </w:p>
        </w:tc>
      </w:tr>
    </w:tbl>
    <w:p w:rsidR="00A87F70" w:rsidRDefault="00A87F70"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denoted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scattering matrix is a 4 by 4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 </w:t>
      </w:r>
      <m:oMath>
        <m:r>
          <m:rPr>
            <m:sty m:val="p"/>
          </m:rPr>
          <w:rPr>
            <w:rFonts w:ascii="Cambria Math" w:hAnsi="Cambria Math"/>
          </w:rPr>
          <m:t>Θ</m:t>
        </m:r>
      </m:oMath>
      <w:r>
        <w:t>. It also describes the change in polarization state through the elements of the matrix.</w:t>
      </w:r>
      <w:r w:rsidRPr="00E613F8">
        <w:rPr>
          <w:rFonts w:eastAsiaTheme="minorEastAsia"/>
        </w:rPr>
        <w:t xml:space="preserve"> </w:t>
      </w:r>
      <w:r>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Pr>
          <w:rFonts w:eastAsiaTheme="minorEastAsia"/>
        </w:rPr>
        <w:t xml:space="preserve"> is sometimes referred to as the phase matrix</w:t>
      </w:r>
    </w:p>
    <w:p w:rsidR="00A87F70" w:rsidRDefault="00A87F70" w:rsidP="0077504C">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scattering matrix that is determined from the Rayleigh-Gains approximation (</w:t>
      </w:r>
      <w:r w:rsidRPr="0077504C">
        <w:rPr>
          <w:i/>
        </w:rPr>
        <w:t>Mishchenko et al</w:t>
      </w:r>
      <w:r>
        <w:t>., 2002) given by</w:t>
      </w:r>
    </w:p>
    <w:tbl>
      <w:tblPr>
        <w:tblStyle w:val="TableGrid"/>
        <w:tblW w:w="8050" w:type="dxa"/>
        <w:tblInd w:w="1418" w:type="dxa"/>
        <w:tblLook w:val="04A0" w:firstRow="1" w:lastRow="0" w:firstColumn="1" w:lastColumn="0" w:noHBand="0" w:noVBand="1"/>
      </w:tblPr>
      <w:tblGrid>
        <w:gridCol w:w="6804"/>
        <w:gridCol w:w="1246"/>
      </w:tblGrid>
      <w:tr w:rsidR="00A87F70" w:rsidTr="003C4539">
        <w:tc>
          <w:tcPr>
            <w:tcW w:w="6804" w:type="dxa"/>
            <w:tcBorders>
              <w:top w:val="nil"/>
              <w:left w:val="nil"/>
              <w:bottom w:val="nil"/>
              <w:right w:val="nil"/>
            </w:tcBorders>
          </w:tcPr>
          <w:p w:rsidR="00A87F70" w:rsidRDefault="00A87F70"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A87F70" w:rsidRDefault="00A87F70" w:rsidP="00842B4E">
            <w:pPr>
              <w:pStyle w:val="BodyText"/>
              <w:ind w:firstLine="0"/>
              <w:jc w:val="right"/>
            </w:pPr>
            <w:r>
              <w:t>(6.4)</w:t>
            </w:r>
          </w:p>
        </w:tc>
      </w:tr>
    </w:tbl>
    <w:p w:rsidR="00A87F70" w:rsidRDefault="00A87F70" w:rsidP="0077504C">
      <w:pPr>
        <w:pStyle w:val="BodyText"/>
        <w:ind w:firstLine="0"/>
        <w:jc w:val="both"/>
      </w:pPr>
      <w:r>
        <w:t xml:space="preserve">where </w:t>
      </w:r>
      <m:oMath>
        <m:r>
          <m:rPr>
            <m:sty m:val="p"/>
          </m:rPr>
          <w:rPr>
            <w:rFonts w:ascii="Cambria Math" w:hAnsi="Cambria Math"/>
          </w:rPr>
          <m:t>Θ</m:t>
        </m:r>
      </m:oMath>
      <w:r>
        <w:t xml:space="preserve"> is the scattering angle. </w:t>
      </w:r>
    </w:p>
    <w:p w:rsidR="00A87F70" w:rsidRDefault="00A87F70" w:rsidP="0077504C">
      <w:pPr>
        <w:pStyle w:val="BodyText"/>
        <w:jc w:val="both"/>
      </w:pPr>
      <w:r>
        <w:t>For randomly orientated or spherical particles, such as stratospheric aerosol, only six elements of the scattering matrix are required (</w:t>
      </w:r>
      <w:r w:rsidRPr="001F20A5">
        <w:rPr>
          <w:i/>
        </w:rPr>
        <w:t>van de Hulst</w:t>
      </w:r>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A87F70" w:rsidTr="003C4539">
        <w:tc>
          <w:tcPr>
            <w:tcW w:w="6804" w:type="dxa"/>
            <w:tcBorders>
              <w:top w:val="nil"/>
              <w:left w:val="nil"/>
              <w:bottom w:val="nil"/>
              <w:right w:val="nil"/>
            </w:tcBorders>
          </w:tcPr>
          <w:p w:rsidR="00A87F70" w:rsidRDefault="00A87F70"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A87F70" w:rsidRDefault="00A87F70" w:rsidP="00842B4E">
            <w:pPr>
              <w:pStyle w:val="BodyText"/>
              <w:ind w:firstLine="0"/>
              <w:jc w:val="right"/>
            </w:pPr>
            <w:r>
              <w:t>(6.5)</w:t>
            </w:r>
          </w:p>
        </w:tc>
      </w:tr>
    </w:tbl>
    <w:p w:rsidR="00A87F70" w:rsidRDefault="00A87F70"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r>
        <w:t xml:space="preserve">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1908), for which several standard codes have been developed to calculate scattering cross sections and scattering matrices based on the particle size distribution and index of refraction (</w:t>
      </w:r>
      <w:r>
        <w:rPr>
          <w:i/>
        </w:rPr>
        <w:t>i.e</w:t>
      </w:r>
      <w:r>
        <w:t xml:space="preserve">. </w:t>
      </w:r>
      <w:r w:rsidRPr="001F20A5">
        <w:rPr>
          <w:i/>
        </w:rPr>
        <w:t>Wiscombe</w:t>
      </w:r>
      <w:r>
        <w:t>, 1980). A more detailed discussion can be found in section 2.4.4.</w:t>
      </w:r>
    </w:p>
    <w:p w:rsidR="00A87F70" w:rsidRDefault="00A87F70" w:rsidP="0077504C">
      <w:pPr>
        <w:pStyle w:val="BodyText"/>
        <w:jc w:val="both"/>
      </w:pPr>
      <w:r>
        <w:t>The basic polarization state of the scattered light in the Earth’s atmosphere can be understood by first considering a single scattering event of the unpolarized incoming sunlight in a molecular atmosphere.  It can be easily seen from the form of the Rayleigh scattering matrix (Equation 6.4) that a single scattering event causes the sky to develop a distinct polarization at a 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unpolarized at solar scattering angles of 0 and 180 degrees. If multiple scattering events are taken into account, the degree of polarization is decreased at 90 degrees SSA, and conversely does not become completely unpolarized at SSAs of 0 and 180 degrees assuming horizontal atmospheric unity. Simulations with the SASKTRAN-HR radiative transfer model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E93584">
        <w:t>Figure 6-1</w:t>
      </w:r>
      <w:r w:rsidRPr="00FD1010">
        <w:fldChar w:fldCharType="end"/>
      </w:r>
      <w:r>
        <w:t xml:space="preserve">. The strong polarized nature can be noted around SSA of 90 degrees where the radiance is almost complete horizontally polarized. </w:t>
      </w:r>
    </w:p>
    <w:p w:rsidR="00A87F70" w:rsidRDefault="00A87F70" w:rsidP="00F67F74">
      <w:pPr>
        <w:pStyle w:val="BodyText"/>
        <w:jc w:val="both"/>
      </w:pPr>
      <w:r>
        <w:t xml:space="preserve">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the addition of aerosol causes a decrease in the degree of linear horizontal 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E93584">
        <w:t>Figure 6-1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fraction of scattering from the molecular air density and aerosol because the Rayleigh scattering cross section falls off much more quickly with wavelength than the aerosol cross section (see section 2.4.4).  The magnitude of the observed change in linear polarization from a pure Rayleigh atmosphere to that with typical background aerosol is approximately 5-10%, but it obviously varies depending on aerosol loading and the microphysical parameters of the aerosol.</w:t>
      </w:r>
    </w:p>
    <w:p w:rsidR="00A87F70" w:rsidRDefault="00A87F70" w:rsidP="00FD1010">
      <w:pPr>
        <w:pStyle w:val="BodyText"/>
        <w:ind w:firstLine="0"/>
        <w:jc w:val="center"/>
      </w:pPr>
      <w:r>
        <w:rPr>
          <w:noProof/>
          <w:lang w:val="en-US"/>
        </w:rPr>
        <w:drawing>
          <wp:inline distT="0" distB="0" distL="0" distR="0" wp14:anchorId="5849A35F" wp14:editId="1C0D4795">
            <wp:extent cx="5939790" cy="4432935"/>
            <wp:effectExtent l="0" t="0" r="3810" b="5715"/>
            <wp:docPr id="46" name="Picture 46"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A87F70" w:rsidRDefault="00A87F70" w:rsidP="00990900">
      <w:pPr>
        <w:pStyle w:val="BodyText"/>
        <w:spacing w:line="240" w:lineRule="auto"/>
        <w:ind w:firstLine="0"/>
        <w:jc w:val="both"/>
      </w:pPr>
      <w:bookmarkStart w:id="3" w:name="_Ref439681501"/>
      <w:bookmarkStart w:id="4" w:name="_Toc459300655"/>
      <w:r w:rsidRPr="005660CF">
        <w:rPr>
          <w:b/>
        </w:rPr>
        <w:t xml:space="preserve">Figure </w:t>
      </w:r>
      <w:r>
        <w:rPr>
          <w:b/>
        </w:rPr>
        <w:t>6</w:t>
      </w:r>
      <w:r w:rsidRPr="005660CF">
        <w:rPr>
          <w:b/>
        </w:rPr>
        <w:t>-</w:t>
      </w:r>
      <w:r>
        <w:rPr>
          <w:b/>
        </w:rPr>
        <w:fldChar w:fldCharType="begin"/>
      </w:r>
      <w:r>
        <w:rPr>
          <w:b/>
        </w:rPr>
        <w:instrText xml:space="preserve"> SEQ Figure \* ARABIC  \r 1 </w:instrText>
      </w:r>
      <w:r>
        <w:rPr>
          <w:b/>
        </w:rPr>
        <w:fldChar w:fldCharType="separate"/>
      </w:r>
      <w:r>
        <w:rPr>
          <w:b/>
          <w:noProof/>
        </w:rPr>
        <w:t>1</w:t>
      </w:r>
      <w:r>
        <w:rPr>
          <w:b/>
        </w:rPr>
        <w:fldChar w:fldCharType="end"/>
      </w:r>
      <w:bookmarkEnd w:id="3"/>
      <w:r w:rsidRPr="00654237">
        <w:t>:</w:t>
      </w:r>
      <w:r>
        <w:t xml:space="preserve"> (Top) The fraction of a linear polarization (left is horizontal and right is vertical) over the total radiance for molecular air density. (Bottom) </w:t>
      </w:r>
      <w:r w:rsidRPr="006C71EA">
        <w:t>The</w:t>
      </w:r>
      <w:r>
        <w:t xml:space="preserve"> change in the fraction of linear polarization between an atmosphere that contains aerosol and one with only molecular air density.</w:t>
      </w:r>
      <w:bookmarkEnd w:id="4"/>
    </w:p>
    <w:p w:rsidR="00A87F70" w:rsidRPr="00CD33DB" w:rsidRDefault="00A87F70" w:rsidP="00FD1010">
      <w:pPr>
        <w:pStyle w:val="BodyText"/>
        <w:spacing w:line="240" w:lineRule="auto"/>
        <w:ind w:firstLine="0"/>
        <w:jc w:val="center"/>
      </w:pPr>
    </w:p>
    <w:p w:rsidR="00A87F70" w:rsidRDefault="00A87F70" w:rsidP="00A01E4B">
      <w:pPr>
        <w:pStyle w:val="Heading2"/>
      </w:pPr>
      <w:bookmarkStart w:id="5" w:name="_Toc459300536"/>
      <w:r>
        <w:t>6.1.2 SASKTRAN-HR Model</w:t>
      </w:r>
      <w:bookmarkEnd w:id="5"/>
    </w:p>
    <w:p w:rsidR="00A87F70" w:rsidRDefault="00A87F70" w:rsidP="00CD33DB">
      <w:pPr>
        <w:pStyle w:val="BodyText"/>
        <w:jc w:val="both"/>
      </w:pPr>
      <w:r>
        <w:t xml:space="preserve">The model used for this work is the SASKTRAN-HR </w:t>
      </w:r>
      <w:r w:rsidRPr="004B1F64">
        <w:t>(</w:t>
      </w:r>
      <w:r w:rsidRPr="004B1F64">
        <w:rPr>
          <w:i/>
        </w:rPr>
        <w:t>Bourassa et al</w:t>
      </w:r>
      <w:r w:rsidRPr="004B1F64">
        <w:t xml:space="preserve">., 2007; </w:t>
      </w:r>
      <w:r w:rsidRPr="004B1F64">
        <w:rPr>
          <w:i/>
        </w:rPr>
        <w:t>Zawada et al</w:t>
      </w:r>
      <w:r w:rsidRPr="004B1F64">
        <w:t>., 2015)</w:t>
      </w:r>
      <w:r>
        <w:t xml:space="preserve"> radiative transfer model discussed in section 2.4.5 and a brief overview will follow. The High Resolution module of the SASKTRAN radiative transfer framework (</w:t>
      </w:r>
      <w:r w:rsidRPr="00CA5E2A">
        <w:rPr>
          <w:i/>
        </w:rPr>
        <w:t>Bourassa et al.</w:t>
      </w:r>
      <w:r>
        <w:t xml:space="preserve">, 2007; </w:t>
      </w:r>
      <w:r w:rsidRPr="00CA5E2A">
        <w:rPr>
          <w:i/>
        </w:rPr>
        <w:t>Zawada et al</w:t>
      </w:r>
      <w:r>
        <w:t>.,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configured so that for any photon trajectory the first two scatters in the atmosphere (from the Sun) and the final scatter into the instrument line of sight are treated in a fully polarized sense; any intervening scatters treat the photon as randomly polarized. For example: If a photon scatters three times to enter the line of sight, each scatter is treated in a fully polarized sense; if a photon scatters five times to enter the line of sight, the first two scatters are polarized, the photon is then depolarized and scattered twice, and finally undergoes a polarized scatter from its randomly polarized state into the line of sight. This pseudo-polarized approximation has been shown, through comparison against the highly accurate and fully polarized Monte Carlo module of the SASKTRAN-HR framework (</w:t>
      </w:r>
      <w:r w:rsidRPr="00990900">
        <w:rPr>
          <w:i/>
        </w:rPr>
        <w:t>Dueck et al</w:t>
      </w:r>
      <w:r>
        <w:t>., 2016), to approximate the full solution of the vector radiative transfer equation to sufficient accuracy for the wavelengths and geometries of interest in this work. All calculations performed with SASKTRAN-HR in this study assume randomly polarized incident sunlight, and dry air and Mie (H</w:t>
      </w:r>
      <w:r w:rsidRPr="00AA0B96">
        <w:rPr>
          <w:vertAlign w:val="subscript"/>
        </w:rPr>
        <w:t>2</w:t>
      </w:r>
      <w:r>
        <w:t>SO</w:t>
      </w:r>
      <w:r w:rsidRPr="00AA0B96">
        <w:rPr>
          <w:vertAlign w:val="subscript"/>
        </w:rPr>
        <w:t>4</w:t>
      </w:r>
      <w:r>
        <w:t xml:space="preserve">) scattering events only to model the interaction with the molecular air density and stratospheric aerosol, respectively. Scattering events from the Earth's surface are assumed to be Lambertian and fully depolarizing. </w:t>
      </w:r>
    </w:p>
    <w:p w:rsidR="00A87F70" w:rsidRDefault="00A87F70" w:rsidP="00A01E4B">
      <w:pPr>
        <w:pStyle w:val="Heading2"/>
      </w:pPr>
      <w:bookmarkStart w:id="6" w:name="_Toc459300537"/>
      <w:r>
        <w:t>6.1.3 Model Scenarios</w:t>
      </w:r>
      <w:bookmarkEnd w:id="6"/>
    </w:p>
    <w:p w:rsidR="00A87F70" w:rsidRDefault="00A87F70"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the asymmetry of the Mie scattering phase function, </w:t>
      </w:r>
      <w:r w:rsidRPr="00990900">
        <w:rPr>
          <w:i/>
        </w:rPr>
        <w:t>i.e.</w:t>
      </w:r>
      <w:r>
        <w:t xml:space="preserv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scattering matrix (</w:t>
      </w:r>
      <w:r w:rsidRPr="003C4539">
        <w:rPr>
          <w:i/>
        </w:rPr>
        <w:t>Rieger et al</w:t>
      </w:r>
      <w:r>
        <w:t xml:space="preserve">., 2014). There is strong aerosol scattering in the forward direction and so this results in a weaker relative aerosol signal in the back scatter direction. </w:t>
      </w:r>
    </w:p>
    <w:p w:rsidR="00A87F70" w:rsidRDefault="00A87F70"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2003), and a volcanically enhanced case which was taken from OSIRIS measurements two months after the Nabro eruption in 2012 (</w:t>
      </w:r>
      <w:r w:rsidRPr="003C4539">
        <w:rPr>
          <w:i/>
        </w:rPr>
        <w:t>Bourassa et al</w:t>
      </w:r>
      <w:r>
        <w:t xml:space="preserve">., 2012c). Both profiles are shown in </w:t>
      </w:r>
      <w:r w:rsidRPr="00C83A05">
        <w:fldChar w:fldCharType="begin"/>
      </w:r>
      <w:r w:rsidRPr="00C83A05">
        <w:instrText xml:space="preserve"> REF _Ref456346477 \h </w:instrText>
      </w:r>
      <w:r w:rsidRPr="006E16E1">
        <w:instrText xml:space="preserve"> \* MERGEFORMAT </w:instrText>
      </w:r>
      <w:r w:rsidRPr="00C83A05">
        <w:fldChar w:fldCharType="separate"/>
      </w:r>
      <w:r w:rsidRPr="00E93584">
        <w:t>Figure 6-2</w:t>
      </w:r>
      <w:r w:rsidRPr="00C83A05">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E93584">
        <w:t>Table 6-1</w:t>
      </w:r>
      <w:r w:rsidRPr="00C83A05">
        <w:fldChar w:fldCharType="end"/>
      </w:r>
      <w:r>
        <w:t>. These selected distributions are based on in-situ balloon particle counter measurements 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A87F70" w:rsidRDefault="00A87F70" w:rsidP="00C83A05">
      <w:pPr>
        <w:pStyle w:val="BodyText"/>
        <w:keepNext/>
        <w:ind w:firstLine="0"/>
        <w:jc w:val="center"/>
      </w:pPr>
      <w:r>
        <w:rPr>
          <w:noProof/>
          <w:lang w:val="en-US"/>
        </w:rPr>
        <w:drawing>
          <wp:inline distT="0" distB="0" distL="0" distR="0" wp14:anchorId="447FF153" wp14:editId="7B59E0F4">
            <wp:extent cx="3992335" cy="3105150"/>
            <wp:effectExtent l="0" t="0" r="8255" b="0"/>
            <wp:docPr id="48" name="Picture 48"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A87F70" w:rsidRDefault="00A87F70" w:rsidP="00C83A05">
      <w:pPr>
        <w:pStyle w:val="Caption"/>
        <w:jc w:val="both"/>
      </w:pPr>
      <w:bookmarkStart w:id="7" w:name="_Ref456346477"/>
      <w:bookmarkStart w:id="8" w:name="_Toc459300656"/>
      <w:r w:rsidRPr="007A7DCD">
        <w:rPr>
          <w:b/>
        </w:rPr>
        <w:t xml:space="preserve">Figure </w:t>
      </w:r>
      <w:r>
        <w:rPr>
          <w:b/>
        </w:rPr>
        <w:t>6</w:t>
      </w:r>
      <w:r w:rsidRPr="007A7DCD">
        <w:rPr>
          <w:b/>
        </w:rPr>
        <w:t>-</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7"/>
      <w:r w:rsidRPr="00654237">
        <w:t>:</w:t>
      </w:r>
      <w:r>
        <w:t xml:space="preserve"> The two aerosol profiles used in this study. The blue is a background aerosol extinction levels, and the red curve is a representative aerosol profile after the Nabro eruption.</w:t>
      </w:r>
      <w:bookmarkEnd w:id="8"/>
    </w:p>
    <w:p w:rsidR="00A87F70" w:rsidRPr="00842B4E" w:rsidRDefault="00A87F70" w:rsidP="00C83A05"/>
    <w:p w:rsidR="00A87F70" w:rsidRDefault="00A87F70" w:rsidP="00C83A05">
      <w:pPr>
        <w:pStyle w:val="Caption"/>
        <w:jc w:val="center"/>
      </w:pPr>
      <w:bookmarkStart w:id="9" w:name="_Ref456346529"/>
      <w:bookmarkStart w:id="10" w:name="_Toc459300187"/>
      <w:r w:rsidRPr="00D91818">
        <w:rPr>
          <w:b/>
        </w:rPr>
        <w:t xml:space="preserve">Table </w:t>
      </w:r>
      <w:r>
        <w:rPr>
          <w:b/>
        </w:rPr>
        <w:t>6</w:t>
      </w:r>
      <w:r w:rsidRPr="00D91818">
        <w:rPr>
          <w:b/>
        </w:rPr>
        <w:t>-</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9"/>
      <w:r w:rsidRPr="00654237">
        <w:t>:</w:t>
      </w:r>
      <w:r>
        <w:t xml:space="preserve"> Different particle size distributions used to test the sensitivity of the aerosol retrieval.</w:t>
      </w:r>
      <w:bookmarkEnd w:id="1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A87F70" w:rsidRPr="00D91818" w:rsidTr="001039AC">
        <w:trPr>
          <w:jc w:val="center"/>
        </w:trPr>
        <w:tc>
          <w:tcPr>
            <w:tcW w:w="1558" w:type="dxa"/>
            <w:tcBorders>
              <w:top w:val="single" w:sz="4" w:space="0" w:color="auto"/>
              <w:bottom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Percent extinction coarse mode (%)</w:t>
            </w:r>
          </w:p>
        </w:tc>
      </w:tr>
      <w:tr w:rsidR="00A87F70" w:rsidRPr="00D91818" w:rsidTr="001039AC">
        <w:trPr>
          <w:jc w:val="center"/>
        </w:trPr>
        <w:tc>
          <w:tcPr>
            <w:tcW w:w="1558" w:type="dxa"/>
            <w:tcBorders>
              <w:top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A87F70" w:rsidRPr="00D91818" w:rsidRDefault="00A87F70" w:rsidP="001039AC">
            <w:pPr>
              <w:rPr>
                <w:rFonts w:ascii="Times New Roman" w:hAnsi="Times New Roman" w:cs="Times New Roman"/>
              </w:rPr>
            </w:pPr>
            <w:r w:rsidRPr="00D91818">
              <w:rPr>
                <w:rFonts w:ascii="Times New Roman" w:hAnsi="Times New Roman" w:cs="Times New Roman"/>
              </w:rPr>
              <w:t>0</w:t>
            </w:r>
          </w:p>
        </w:tc>
      </w:tr>
      <w:tr w:rsidR="00A87F70" w:rsidRPr="00D91818" w:rsidTr="001039AC">
        <w:trPr>
          <w:jc w:val="center"/>
        </w:trPr>
        <w:tc>
          <w:tcPr>
            <w:tcW w:w="1558"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2</w:t>
            </w:r>
          </w:p>
        </w:tc>
        <w:tc>
          <w:tcPr>
            <w:tcW w:w="1272"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0.12</w:t>
            </w:r>
          </w:p>
        </w:tc>
        <w:tc>
          <w:tcPr>
            <w:tcW w:w="1276"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1.25</w:t>
            </w:r>
          </w:p>
        </w:tc>
        <w:tc>
          <w:tcPr>
            <w:tcW w:w="1418"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w:t>
            </w:r>
          </w:p>
        </w:tc>
        <w:tc>
          <w:tcPr>
            <w:tcW w:w="1417"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w:t>
            </w:r>
          </w:p>
        </w:tc>
        <w:tc>
          <w:tcPr>
            <w:tcW w:w="2409"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0</w:t>
            </w:r>
          </w:p>
        </w:tc>
      </w:tr>
      <w:tr w:rsidR="00A87F70" w:rsidRPr="00D91818" w:rsidTr="001039AC">
        <w:trPr>
          <w:jc w:val="center"/>
        </w:trPr>
        <w:tc>
          <w:tcPr>
            <w:tcW w:w="1558"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3</w:t>
            </w:r>
          </w:p>
        </w:tc>
        <w:tc>
          <w:tcPr>
            <w:tcW w:w="1272"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0.04</w:t>
            </w:r>
          </w:p>
        </w:tc>
        <w:tc>
          <w:tcPr>
            <w:tcW w:w="1276"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1.8</w:t>
            </w:r>
          </w:p>
        </w:tc>
        <w:tc>
          <w:tcPr>
            <w:tcW w:w="1418"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0.30</w:t>
            </w:r>
          </w:p>
        </w:tc>
        <w:tc>
          <w:tcPr>
            <w:tcW w:w="1417"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1.15</w:t>
            </w:r>
          </w:p>
        </w:tc>
        <w:tc>
          <w:tcPr>
            <w:tcW w:w="2409"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50</w:t>
            </w:r>
          </w:p>
        </w:tc>
      </w:tr>
      <w:tr w:rsidR="00A87F70" w:rsidRPr="00D91818" w:rsidTr="001039AC">
        <w:trPr>
          <w:jc w:val="center"/>
        </w:trPr>
        <w:tc>
          <w:tcPr>
            <w:tcW w:w="1558"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4</w:t>
            </w:r>
          </w:p>
        </w:tc>
        <w:tc>
          <w:tcPr>
            <w:tcW w:w="1272"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0.12</w:t>
            </w:r>
          </w:p>
        </w:tc>
        <w:tc>
          <w:tcPr>
            <w:tcW w:w="1276"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1.25</w:t>
            </w:r>
          </w:p>
        </w:tc>
        <w:tc>
          <w:tcPr>
            <w:tcW w:w="1418"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0.30</w:t>
            </w:r>
          </w:p>
        </w:tc>
        <w:tc>
          <w:tcPr>
            <w:tcW w:w="1417"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1.15</w:t>
            </w:r>
          </w:p>
        </w:tc>
        <w:tc>
          <w:tcPr>
            <w:tcW w:w="2409" w:type="dxa"/>
          </w:tcPr>
          <w:p w:rsidR="00A87F70" w:rsidRPr="00D91818" w:rsidRDefault="00A87F70" w:rsidP="001039AC">
            <w:pPr>
              <w:rPr>
                <w:rFonts w:ascii="Times New Roman" w:hAnsi="Times New Roman" w:cs="Times New Roman"/>
              </w:rPr>
            </w:pPr>
            <w:r w:rsidRPr="00D91818">
              <w:rPr>
                <w:rFonts w:ascii="Times New Roman" w:hAnsi="Times New Roman" w:cs="Times New Roman"/>
              </w:rPr>
              <w:t>50</w:t>
            </w:r>
          </w:p>
        </w:tc>
      </w:tr>
    </w:tbl>
    <w:p w:rsidR="00A87F70" w:rsidRDefault="00A87F70" w:rsidP="006E16E1">
      <w:pPr>
        <w:pStyle w:val="BodyText"/>
        <w:spacing w:line="240" w:lineRule="auto"/>
        <w:ind w:firstLine="0"/>
        <w:jc w:val="both"/>
      </w:pPr>
    </w:p>
    <w:p w:rsidR="00A87F70" w:rsidRDefault="00A87F70"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Pr>
          <w:vertAlign w:val="superscript"/>
        </w:rPr>
        <w:t>◦</w:t>
      </w:r>
      <w:r>
        <w:t>, 45</w:t>
      </w:r>
      <w:r>
        <w:rPr>
          <w:vertAlign w:val="superscript"/>
        </w:rPr>
        <w:t>◦</w:t>
      </w:r>
      <w:r>
        <w:t>, and 75</w:t>
      </w:r>
      <w:r>
        <w:rPr>
          <w:vertAlign w:val="superscript"/>
        </w:rPr>
        <w:t>◦</w:t>
      </w:r>
      <w:r>
        <w:t xml:space="preserve"> and for SSA of 30</w:t>
      </w:r>
      <w:r>
        <w:rPr>
          <w:vertAlign w:val="superscript"/>
        </w:rPr>
        <w:t>◦</w:t>
      </w:r>
      <w:r>
        <w:t>, 60</w:t>
      </w:r>
      <w:r>
        <w:rPr>
          <w:vertAlign w:val="superscript"/>
        </w:rPr>
        <w:t>◦</w:t>
      </w:r>
      <w:r>
        <w:t>, 90</w:t>
      </w:r>
      <w:r>
        <w:rPr>
          <w:vertAlign w:val="superscript"/>
        </w:rPr>
        <w:t>◦</w:t>
      </w:r>
      <w:r>
        <w:t>, 120</w:t>
      </w:r>
      <w:r>
        <w:rPr>
          <w:vertAlign w:val="superscript"/>
        </w:rPr>
        <w:t>◦</w:t>
      </w:r>
      <w:r>
        <w:t>, 150</w:t>
      </w:r>
      <w:r>
        <w:rPr>
          <w:vertAlign w:val="superscript"/>
        </w:rPr>
        <w:t>◦</w:t>
      </w:r>
      <w:r>
        <w:t>, and 180</w:t>
      </w:r>
      <w:r>
        <w:rPr>
          <w:vertAlign w:val="superscript"/>
        </w:rPr>
        <w:t>◦</w:t>
      </w:r>
      <w:r>
        <w:t xml:space="preserve">. </w:t>
      </w:r>
    </w:p>
    <w:p w:rsidR="00A87F70" w:rsidRDefault="00A87F70" w:rsidP="00C83A05">
      <w:pPr>
        <w:pStyle w:val="BodyText"/>
        <w:ind w:firstLine="0"/>
        <w:jc w:val="both"/>
      </w:pPr>
      <w:r>
        <w:t>Simulated measurements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r w:rsidRPr="003C4539">
        <w:rPr>
          <w:i/>
        </w:rPr>
        <w:t>Rieger et al</w:t>
      </w:r>
      <w:r>
        <w:t xml:space="preserve">., 2014) and so the 1000-1500 nm wavelength range was also included in this study. Finally, we also performed simulations for Earth surface albedo values of 0 and 1 in order to cover the full range of potential impact. </w:t>
      </w:r>
    </w:p>
    <w:p w:rsidR="00A87F70" w:rsidRDefault="00A87F70" w:rsidP="001D701F">
      <w:pPr>
        <w:pStyle w:val="Heading1"/>
      </w:pPr>
      <w:bookmarkStart w:id="11" w:name="_Toc459300538"/>
      <w:r>
        <w:t>6.2 Methodology</w:t>
      </w:r>
      <w:bookmarkEnd w:id="11"/>
    </w:p>
    <w:p w:rsidR="00A87F70" w:rsidRDefault="00A87F70"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r w:rsidRPr="003E6AEC">
        <w:rPr>
          <w:i/>
        </w:rPr>
        <w:t>Dekemper et al</w:t>
      </w:r>
      <w:r>
        <w:t xml:space="preserve">., 2012) and ALI that use an AOTF and by nature only measure one orientation of linearly polarized radiance. We want to answer the question: If the linear polarization is measured, is this an advantage or a disadvantage over a measurement of the total radiance for aerosol retrievals?  Further, is there a preferred orientation of linear polarization?  </w:t>
      </w:r>
    </w:p>
    <w:p w:rsidR="00A87F70" w:rsidRDefault="00A87F70" w:rsidP="003E6AEC">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the scalar radiance is not precisely equal to the total radiance. For the work presented here the term “total radiance” refers to the first term in the Stokes vector, which is calculated by the SASKTRAN-HR model when solving the vector radiative transfer equation.  The term “scalar radiance” refers to the radiance calculated by the SASKTRAN-HR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by </w:t>
      </w:r>
      <m:oMath>
        <m:r>
          <w:rPr>
            <w:rFonts w:ascii="Cambria Math" w:hAnsi="Cambria Math"/>
          </w:rPr>
          <m:t>0.5(I-Q)</m:t>
        </m:r>
      </m:oMath>
      <w:r>
        <w:t xml:space="preserve">, which can be easily shown from the definitions given in Equation 6.2. </w:t>
      </w:r>
    </w:p>
    <w:p w:rsidR="00A87F70" w:rsidRDefault="00A87F70" w:rsidP="003E6AEC">
      <w:pPr>
        <w:pStyle w:val="BodyText"/>
        <w:jc w:val="both"/>
      </w:pPr>
      <w:r>
        <w:t xml:space="preserve">Our study further breaks down this problem into three questions. First, how does the fraction of the limb scatter signal that is due to aerosol vary with aerosol load and viewing geometry for both scalar and polarized measurements? Secondly, does the polarized measurement increase sensitivity to assumptions in the retrieval algorithm and therefore increase potential for biased results? And finally, how does the polarized measurement affect the uncertainty estimate of the retrieved profile? </w:t>
      </w:r>
    </w:p>
    <w:p w:rsidR="00A87F70" w:rsidRDefault="00A87F70" w:rsidP="003E6AEC">
      <w:pPr>
        <w:pStyle w:val="BodyText"/>
        <w:jc w:val="both"/>
      </w:pPr>
      <w:r>
        <w:t>To explore the first question, simulated measurements were calculated with SASKTRAN</w:t>
      </w:r>
      <w:r>
        <w:noBreakHyphen/>
        <w:t>HR using the scenarios described in section 6.1.3, including various wavelengths, geometries, aerosol loading and particle size distributions. These simulated measurements are then used to determine the approximate fraction of the limb signal that is due to aerosol. In each case the model is run with a nominal atmosphere that consists of molecular air density, and climatological ozone and nitrogen dioxide profiles.</w:t>
      </w:r>
    </w:p>
    <w:p w:rsidR="00A87F70" w:rsidRDefault="00A87F70" w:rsidP="003E6AEC">
      <w:pPr>
        <w:pStyle w:val="BodyText"/>
        <w:jc w:val="both"/>
      </w:pPr>
      <w:r>
        <w:t xml:space="preserve">The fraction of the limb signal due to aerosol is determined by calculating the radiance without aerosol in the model atmosphere, </w:t>
      </w:r>
      <w:r w:rsidRPr="003E6AEC">
        <w:rPr>
          <w:i/>
        </w:rPr>
        <w:t>i.e</w:t>
      </w:r>
      <w:r>
        <w:t xml:space="preserv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To find the fraction, </w:t>
      </w:r>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A87F70" w:rsidTr="00990900">
        <w:tc>
          <w:tcPr>
            <w:tcW w:w="6804" w:type="dxa"/>
            <w:tcBorders>
              <w:top w:val="nil"/>
              <w:left w:val="nil"/>
              <w:bottom w:val="nil"/>
              <w:right w:val="nil"/>
            </w:tcBorders>
          </w:tcPr>
          <w:p w:rsidR="00A87F70" w:rsidRDefault="00A87F70" w:rsidP="003E6AEC">
            <w:pPr>
              <w:pStyle w:val="BodyText"/>
              <w:ind w:firstLine="289"/>
              <w:jc w:val="right"/>
            </w:pPr>
            <m:oMathPara>
              <m:oMath>
                <m:r>
                  <w:rPr>
                    <w:rFonts w:ascii="Cambria Math" w:hAnsi="Cambria Math"/>
                  </w:rPr>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A87F70" w:rsidRDefault="00A87F70" w:rsidP="00842B4E">
            <w:pPr>
              <w:pStyle w:val="BodyText"/>
              <w:ind w:firstLine="0"/>
              <w:jc w:val="right"/>
            </w:pPr>
            <w:r>
              <w:t>(6.6)</w:t>
            </w:r>
          </w:p>
        </w:tc>
      </w:tr>
    </w:tbl>
    <w:p w:rsidR="00A87F70" w:rsidRDefault="00A87F70" w:rsidP="003E6AEC">
      <w:pPr>
        <w:pStyle w:val="BodyText"/>
        <w:ind w:firstLine="0"/>
        <w:jc w:val="both"/>
      </w:pPr>
      <w:r>
        <w:t xml:space="preserve">Due to non-linearities from multiple scattering, it is not strictly true that this is the fraction of the signal due to aerosol; however, at most stratospheric tangent altitudes, the wavelengths under study are quite optically thin and this simple percent difference provides an intuitive approximation of the fraction of the signal due to aerosol. </w:t>
      </w:r>
    </w:p>
    <w:p w:rsidR="00A87F70" w:rsidRDefault="00A87F70" w:rsidP="003E6AEC">
      <w:pPr>
        <w:pStyle w:val="BodyText"/>
        <w:jc w:val="both"/>
      </w:pPr>
      <w:r>
        <w:t xml:space="preserve">We explore the second question about the effect of the polarized measurement on the aerosol retrieval using simulated measurements and a retrieval method that is essentially similar to that developed by </w:t>
      </w:r>
      <w:r w:rsidRPr="003E6AEC">
        <w:rPr>
          <w:i/>
        </w:rPr>
        <w:t>Bourassa et al.</w:t>
      </w:r>
      <w:r>
        <w:t xml:space="preserve"> (2012b) for OSIRIS. A minor change to the algorithm is made where the measurement vector for this study is not normalized by a shorter wavelength.  Although it is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A87F70" w:rsidRDefault="00A87F70" w:rsidP="003E6AEC">
      <w:pPr>
        <w:pStyle w:val="BodyText"/>
        <w:jc w:val="both"/>
      </w:pPr>
      <w:r>
        <w:t>The limb radiance is calculated using SASKTRAN-HR, again with climatological ozone and NO</w:t>
      </w:r>
      <w:r w:rsidRPr="003E6AEC">
        <w:rPr>
          <w:vertAlign w:val="subscript"/>
        </w:rPr>
        <w:t>2</w:t>
      </w:r>
      <w:r>
        <w:t xml:space="preserve"> profiles, for each of the scenarios listed in section 6.1.3. This is taken as a simulated measurement and is then used to retrieve aerosol extinction profiles using the </w:t>
      </w:r>
      <w:r w:rsidRPr="003E6AEC">
        <w:rPr>
          <w:i/>
        </w:rPr>
        <w:t>Bourassa et al.</w:t>
      </w:r>
      <w:r>
        <w:t> (2012b) technique.  This is done similarly for the total radiance and for each orientation of the linearly polarized radiance. Additionally, a retrieval is performed with the scalar SASKTRAN-HR model to see if there is any substantial difference between using the scalar radiance and the total radiance from the vector model. For each aerosol retrieval, the ozone, NO</w:t>
      </w:r>
      <w:r w:rsidRPr="006E16E1">
        <w:rPr>
          <w:vertAlign w:val="subscript"/>
        </w:rPr>
        <w:t>2</w:t>
      </w:r>
      <w:r>
        <w:t xml:space="preserve">, and albedo are fixed to the values used in the simulation of the measurement.  All four particle size distributions from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E93584">
        <w:t>Table 6-1</w:t>
      </w:r>
      <w:r w:rsidRPr="00C83A05">
        <w:fldChar w:fldCharType="end"/>
      </w:r>
      <w:r>
        <w:t xml:space="preserve"> are used in the simulations, but following </w:t>
      </w:r>
      <w:r w:rsidRPr="003E6AEC">
        <w:rPr>
          <w:i/>
        </w:rPr>
        <w:t>Bourassa et al</w:t>
      </w:r>
      <w:r>
        <w:t>. (2012b), the aerosol particle size is fixed in the retrieval to a single mode log-normal with 0.08 µm mode radius and mode width of 1.6.  The assumption of a fixed particle size distribution is common in limb scatter retrieval algorithms and this is used to explore sensitivity of the polarized measurements to particle size distributions, and test if the uncertainty in this assumption greatly effects the retrieved extinction.</w:t>
      </w:r>
    </w:p>
    <w:p w:rsidR="00A87F70" w:rsidRDefault="00A87F70" w:rsidP="003E6AEC">
      <w:pPr>
        <w:pStyle w:val="BodyText"/>
        <w:jc w:val="both"/>
      </w:pPr>
      <w:r>
        <w:t xml:space="preserve">Lastly, to answer the third question, an uncertainty estimate is performed on these retrievals in order to check the precision of the retrieved aerosol profile. The precision is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 </w:t>
      </w:r>
      <m:oMath>
        <m:r>
          <m:rPr>
            <m:sty m:val="bi"/>
          </m:rPr>
          <w:rPr>
            <w:rFonts w:ascii="Cambria Math" w:hAnsi="Cambria Math"/>
          </w:rPr>
          <m:t>G</m:t>
        </m:r>
      </m:oMath>
      <w:r>
        <w:t>, which describes the sensitivity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A87F70" w:rsidTr="00990900">
        <w:tc>
          <w:tcPr>
            <w:tcW w:w="6804" w:type="dxa"/>
            <w:tcBorders>
              <w:top w:val="nil"/>
              <w:left w:val="nil"/>
              <w:bottom w:val="nil"/>
              <w:right w:val="nil"/>
            </w:tcBorders>
          </w:tcPr>
          <w:p w:rsidR="00A87F70" w:rsidRDefault="00A87F70" w:rsidP="00990900">
            <w:pPr>
              <w:pStyle w:val="BodyText"/>
              <w:ind w:firstLine="289"/>
              <w:jc w:val="right"/>
            </w:pPr>
            <m:oMathPara>
              <m:oMath>
                <m:r>
                  <m:rPr>
                    <m:sty m:val="bi"/>
                  </m:rPr>
                  <w:rPr>
                    <w:rFonts w:ascii="Cambria Math" w:hAnsi="Cambria Math"/>
                  </w:rPr>
                  <m:t>E</m:t>
                </m:r>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A87F70" w:rsidRDefault="00A87F70" w:rsidP="00842B4E">
            <w:pPr>
              <w:pStyle w:val="BodyText"/>
              <w:ind w:firstLine="0"/>
              <w:jc w:val="right"/>
            </w:pPr>
            <w:r>
              <w:t>(6.7)</w:t>
            </w:r>
          </w:p>
        </w:tc>
      </w:tr>
    </w:tbl>
    <w:p w:rsidR="00A87F70" w:rsidRDefault="00A87F70" w:rsidP="00480728">
      <w:pPr>
        <w:pStyle w:val="BodyText"/>
        <w:ind w:firstLine="0"/>
        <w:jc w:val="both"/>
      </w:pPr>
      <w:r>
        <w:t xml:space="preserve">where </w:t>
      </w:r>
      <m:oMath>
        <m:r>
          <m:rPr>
            <m:sty m:val="bi"/>
          </m:rPr>
          <w:rPr>
            <w:rFonts w:ascii="Cambria Math" w:hAnsi="Cambria Math"/>
          </w:rPr>
          <m:t>E</m:t>
        </m:r>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 </w:t>
      </w:r>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A87F70" w:rsidTr="00990900">
        <w:tc>
          <w:tcPr>
            <w:tcW w:w="6804" w:type="dxa"/>
            <w:tcBorders>
              <w:top w:val="nil"/>
              <w:left w:val="nil"/>
              <w:bottom w:val="nil"/>
              <w:right w:val="nil"/>
            </w:tcBorders>
          </w:tcPr>
          <w:p w:rsidR="00A87F70" w:rsidRDefault="00A87F70" w:rsidP="00990900">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A87F70" w:rsidRDefault="00A87F70" w:rsidP="00842B4E">
            <w:pPr>
              <w:pStyle w:val="BodyText"/>
              <w:ind w:firstLine="0"/>
              <w:jc w:val="right"/>
            </w:pPr>
            <w:r>
              <w:t>(6.8)</w:t>
            </w:r>
          </w:p>
        </w:tc>
      </w:tr>
    </w:tbl>
    <w:p w:rsidR="00A87F70" w:rsidRDefault="00A87F70" w:rsidP="003E6AEC">
      <w:pPr>
        <w:pStyle w:val="BodyText"/>
        <w:jc w:val="both"/>
      </w:pPr>
      <w:r>
        <w:t xml:space="preserve">Rather than specifying an assumed measurement co-variance to study the behavior of the retrieval precision, we simply replace the measurement co-variance in Equation 6.7 with the identity matrix. Thus the resulting terms of </w:t>
      </w:r>
      <m:oMath>
        <m:r>
          <m:rPr>
            <m:sty m:val="bi"/>
          </m:rPr>
          <w:rPr>
            <w:rFonts w:ascii="Cambria Math" w:hAnsi="Cambria Math"/>
          </w:rPr>
          <m:t>E</m:t>
        </m:r>
      </m:oMath>
      <w:r>
        <w:t xml:space="preserve"> are not absolute quantities but are related to the amplification of the measurement noise when mapped to the retrieved state (</w:t>
      </w:r>
      <w:r w:rsidRPr="00480728">
        <w:rPr>
          <w:i/>
        </w:rPr>
        <w:t>i.e</w:t>
      </w:r>
      <w:r>
        <w:t xml:space="preserve">. the larger the values of </w:t>
      </w:r>
      <m:oMath>
        <m:r>
          <m:rPr>
            <m:sty m:val="bi"/>
          </m:rPr>
          <w:rPr>
            <w:rFonts w:ascii="Cambria Math" w:hAnsi="Cambria Math"/>
          </w:rPr>
          <m:t>E</m:t>
        </m:r>
      </m:oMath>
      <w:r>
        <w:t xml:space="preserve"> the larger the uncertainty for the retrieval).  The square root of the elements of the diagonal of the aerosol covariance, typically used to represent the error bars on the retrieved profile, are taken as the amplification of the measurement noise. </w:t>
      </w:r>
    </w:p>
    <w:p w:rsidR="00A87F70" w:rsidRDefault="00A87F70"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xml:space="preserve">. the instrument is not compensated to equalize the measurement co-variance when the signal drops due to the measured polarization state. In this scenario the above method must be modified by replacing the identity matrix with the matrix, </w:t>
      </w:r>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A87F70" w:rsidTr="00990900">
        <w:tc>
          <w:tcPr>
            <w:tcW w:w="6804" w:type="dxa"/>
            <w:tcBorders>
              <w:top w:val="nil"/>
              <w:left w:val="nil"/>
              <w:bottom w:val="nil"/>
              <w:right w:val="nil"/>
            </w:tcBorders>
          </w:tcPr>
          <w:p w:rsidR="00A87F70" w:rsidRDefault="00A87F70"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A87F70" w:rsidRDefault="00A87F70" w:rsidP="00842B4E">
            <w:pPr>
              <w:pStyle w:val="BodyText"/>
              <w:ind w:firstLine="0"/>
              <w:jc w:val="right"/>
            </w:pPr>
            <w:r>
              <w:t>(6.9)</w:t>
            </w:r>
          </w:p>
        </w:tc>
      </w:tr>
    </w:tbl>
    <w:p w:rsidR="00A87F70" w:rsidRDefault="00A87F70" w:rsidP="00480728">
      <w:pPr>
        <w:pStyle w:val="BodyText"/>
        <w:ind w:firstLine="0"/>
        <w:jc w:val="both"/>
      </w:pPr>
      <w:r>
        <w:t xml:space="preserve">The diagonal of the </w:t>
      </w:r>
      <m:oMath>
        <m:r>
          <m:rPr>
            <m:sty m:val="bi"/>
          </m:rPr>
          <w:rPr>
            <w:rFonts w:ascii="Cambria Math" w:hAnsi="Cambria Math"/>
          </w:rPr>
          <m:t>R</m:t>
        </m:r>
      </m:oMath>
      <w:r>
        <w:t xml:space="preserve"> matrix is effectively scaled by the inverse of the magnitude of ratio of the polarized radiance, </w:t>
      </w:r>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A87F70" w:rsidRDefault="00A87F70" w:rsidP="00A01E4B">
      <w:pPr>
        <w:pStyle w:val="Heading1"/>
      </w:pPr>
      <w:bookmarkStart w:id="12" w:name="_Toc459300539"/>
      <w:r>
        <w:t>6.3 Analysis</w:t>
      </w:r>
      <w:bookmarkEnd w:id="12"/>
    </w:p>
    <w:p w:rsidR="00A87F70" w:rsidRDefault="00A87F70" w:rsidP="004A0CEE">
      <w:pPr>
        <w:pStyle w:val="Heading2"/>
      </w:pPr>
      <w:bookmarkStart w:id="13" w:name="_Toc459300540"/>
      <w:r>
        <w:t xml:space="preserve">6.3.1 </w:t>
      </w:r>
      <w:r w:rsidRPr="004A0CEE">
        <w:t xml:space="preserve">Difference in </w:t>
      </w:r>
      <w:r>
        <w:t>Scalar Retrievals using a Scalar or Vector M</w:t>
      </w:r>
      <w:r w:rsidRPr="004A0CEE">
        <w:t>odel</w:t>
      </w:r>
      <w:bookmarkEnd w:id="13"/>
    </w:p>
    <w:p w:rsidR="00A87F70" w:rsidRDefault="00A87F70"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generally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rsidR="00A87F70" w:rsidRPr="004A0CEE" w:rsidRDefault="00A87F70" w:rsidP="00654237">
      <w:pPr>
        <w:pStyle w:val="BodyText"/>
        <w:jc w:val="both"/>
      </w:pPr>
      <w:r>
        <w:t xml:space="preserve">The total radiance was simulated with SASKTRAN-HR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E93584">
        <w:t>Figure 6-3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E93584">
        <w:t>Figure 6-3</w:t>
      </w:r>
      <w:r w:rsidRPr="00180071">
        <w:fldChar w:fldCharType="end"/>
      </w:r>
      <w:r>
        <w:t xml:space="preserve">, show that across all wavelengths, the mean percent difference is less than 2% from 15 to 37 km. It should be noted that some of the differences between the two models are removed due to the high altitude normalization in the retrieval. A small number of outlier cases occur where the difference between the retrievals is greater than 7%. All of these cases occur for back scatter geometries and short wavelengths. The reason for this discrepancy is not well understood, although it certainly arises from the differences between the scalar and total radiance due to polarization interactions from the relatively larger contribution of multiply scattered light at shorter wavelengths. These discrepancies are enhanced by the reduced sensitivity to aerosol in the back scatter geometries.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 </w:t>
      </w:r>
      <m:oMath>
        <m:r>
          <w:rPr>
            <w:rFonts w:ascii="Cambria Math" w:hAnsi="Cambria Math"/>
          </w:rPr>
          <m:t>I</m:t>
        </m:r>
      </m:oMath>
      <w:r>
        <w:t>, from the vector model.</w:t>
      </w:r>
    </w:p>
    <w:p w:rsidR="00A87F70" w:rsidRDefault="00A87F70" w:rsidP="00180071">
      <w:pPr>
        <w:pStyle w:val="BodyText"/>
        <w:keepNext/>
        <w:ind w:firstLine="0"/>
        <w:jc w:val="center"/>
      </w:pPr>
      <w:r>
        <w:rPr>
          <w:noProof/>
          <w:lang w:val="en-US"/>
        </w:rPr>
        <w:drawing>
          <wp:inline distT="0" distB="0" distL="0" distR="0" wp14:anchorId="4217EEBF" wp14:editId="2B2EE3D7">
            <wp:extent cx="4485430" cy="2523054"/>
            <wp:effectExtent l="0" t="0" r="0" b="0"/>
            <wp:docPr id="50" name="Picture 50"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2594" cy="2527084"/>
                    </a:xfrm>
                    <a:prstGeom prst="rect">
                      <a:avLst/>
                    </a:prstGeom>
                    <a:noFill/>
                    <a:ln>
                      <a:noFill/>
                    </a:ln>
                  </pic:spPr>
                </pic:pic>
              </a:graphicData>
            </a:graphic>
          </wp:inline>
        </w:drawing>
      </w:r>
    </w:p>
    <w:p w:rsidR="00A87F70" w:rsidRDefault="00A87F70" w:rsidP="00990900">
      <w:pPr>
        <w:pStyle w:val="Caption"/>
        <w:jc w:val="both"/>
      </w:pPr>
      <w:bookmarkStart w:id="14" w:name="_Ref452731251"/>
      <w:bookmarkStart w:id="15" w:name="_Toc459300657"/>
      <w:r w:rsidRPr="00180071">
        <w:rPr>
          <w:b/>
        </w:rPr>
        <w:t xml:space="preserve">Figure </w:t>
      </w:r>
      <w:r>
        <w:rPr>
          <w:b/>
        </w:rPr>
        <w:t>6</w:t>
      </w:r>
      <w:r w:rsidRPr="00180071">
        <w:rPr>
          <w:b/>
        </w:rPr>
        <w:t>-</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4"/>
      <w:r>
        <w:t xml:space="preserve">: </w:t>
      </w:r>
      <w:r w:rsidRPr="00180071">
        <w:t xml:space="preserve">Percent differences between the vector retrieved aerosol extinction profiles and the scalar retrieval from simulated total radiance measurements. Each column represents a different particle size distribution (see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E93584">
        <w:t>Table 6-1</w:t>
      </w:r>
      <w:r w:rsidRPr="00C83A05">
        <w:fldChar w:fldCharType="end"/>
      </w:r>
      <w:r w:rsidRPr="00180071">
        <w:t>).</w:t>
      </w:r>
      <w:bookmarkEnd w:id="15"/>
    </w:p>
    <w:p w:rsidR="00A87F70" w:rsidRPr="00180071" w:rsidRDefault="00A87F70" w:rsidP="00180071"/>
    <w:p w:rsidR="00A87F70" w:rsidRDefault="00A87F70" w:rsidP="00A01E4B">
      <w:pPr>
        <w:pStyle w:val="Heading2"/>
      </w:pPr>
      <w:bookmarkStart w:id="16" w:name="_Toc459300541"/>
      <w:r>
        <w:t>6.3.2 Fraction of Limb Signal due to Aerosol</w:t>
      </w:r>
      <w:bookmarkEnd w:id="16"/>
    </w:p>
    <w:p w:rsidR="00A87F70" w:rsidRDefault="00A87F70" w:rsidP="0022259B">
      <w:pPr>
        <w:pStyle w:val="BodyText"/>
        <w:jc w:val="both"/>
      </w:pPr>
      <w:r>
        <w:t xml:space="preserve">For a typical background aerosol state, the fractional contribution to the total limb radiance from aerosol was calculated from modelled radiances over a series of stratospheric tangent altitudes using the background aerosol profile and particle size distribution 1, given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E93584">
        <w:t>Table 6-1</w:t>
      </w:r>
      <w:r w:rsidRPr="00C83A05">
        <w:fldChar w:fldCharType="end"/>
      </w:r>
      <w:r>
        <w:t xml:space="preserve">. </w:t>
      </w:r>
      <w:r w:rsidRPr="00CD36AE">
        <w:fldChar w:fldCharType="begin"/>
      </w:r>
      <w:r w:rsidRPr="00CD36AE">
        <w:instrText xml:space="preserve"> REF _Ref452732145 \h  \* MERGEFORMAT </w:instrText>
      </w:r>
      <w:r w:rsidRPr="00CD36AE">
        <w:fldChar w:fldCharType="separate"/>
      </w:r>
      <w:r w:rsidRPr="00E93584">
        <w:t>Figure 6-4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Pr>
          <w:vertAlign w:val="superscript"/>
        </w:rPr>
        <w:t>◦</w:t>
      </w:r>
      <w:r>
        <w:t xml:space="preserve"> and SSA=60</w:t>
      </w:r>
      <w:r>
        <w:rPr>
          <w:vertAlign w:val="superscript"/>
        </w:rPr>
        <w:t>◦</w:t>
      </w:r>
      <w:r>
        <w:t xml:space="preserve">, and the albedo is set to 0 to remove depolarization from the Lambertian Earth.  The top of </w:t>
      </w:r>
      <w:r w:rsidRPr="00CD36AE">
        <w:fldChar w:fldCharType="begin"/>
      </w:r>
      <w:r w:rsidRPr="00CD36AE">
        <w:instrText xml:space="preserve"> REF _Ref452732145 \h  \* MERGEFORMAT </w:instrText>
      </w:r>
      <w:r w:rsidRPr="00CD36AE">
        <w:fldChar w:fldCharType="separate"/>
      </w:r>
      <w:r w:rsidRPr="00E93584">
        <w:t>Figure 6-4</w:t>
      </w:r>
      <w:r w:rsidRPr="00CD36AE">
        <w:fldChar w:fldCharType="end"/>
      </w:r>
      <w:r>
        <w:t xml:space="preserve"> shows the percentage of signal that is attributed to aerosol for both horizontal and vertical linear polarizations, </w:t>
      </w:r>
      <m:oMath>
        <m:r>
          <w:rPr>
            <w:rFonts w:ascii="Cambria Math" w:hAnsi="Cambria Math"/>
          </w:rPr>
          <m:t>δ</m:t>
        </m:r>
      </m:oMath>
      <w:r>
        <w:t xml:space="preserve">. As can be seen from the bottom of </w:t>
      </w:r>
      <w:r w:rsidRPr="00CD36AE">
        <w:fldChar w:fldCharType="begin"/>
      </w:r>
      <w:r w:rsidRPr="00CD36AE">
        <w:instrText xml:space="preserve"> REF _Ref452732145 \h  \* MERGEFORMAT </w:instrText>
      </w:r>
      <w:r w:rsidRPr="00CD36AE">
        <w:fldChar w:fldCharType="separate"/>
      </w:r>
      <w:r w:rsidRPr="00E93584">
        <w:t>Figure 6-4</w:t>
      </w:r>
      <w:r w:rsidRPr="00CD36AE">
        <w:fldChar w:fldCharType="end"/>
      </w:r>
      <w:r>
        <w:t xml:space="preserve">, most of the change in the aerosol fraction of the polarized limb signal compared to the total radiance (i.e. </w:t>
      </w:r>
      <m:oMath>
        <m:r>
          <m:rPr>
            <m:sty m:val="p"/>
          </m:rPr>
          <w:rPr>
            <w:rFonts w:ascii="Cambria Math" w:hAnsi="Cambria Math"/>
          </w:rPr>
          <m:t>Δ</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pol</m:t>
            </m:r>
          </m:sub>
        </m:sSub>
      </m:oMath>
      <w:r>
        <w:t>) occurs for wavelengths between 500-1000 nm. At these wavelengths the horizontal polarization has a smaller fraction of signal due to aerosol and the vertical polarization has a larger fraction due to aerosol.  Overall the change is small and essentially limited to less than 10%.</w:t>
      </w:r>
    </w:p>
    <w:p w:rsidR="00A87F70" w:rsidRDefault="00A87F70" w:rsidP="0022259B">
      <w:pPr>
        <w:pStyle w:val="BodyText"/>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E93584">
        <w:t>Figure 6-5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by </w:t>
      </w:r>
      <m:oMath>
        <m:r>
          <w:rPr>
            <w:rFonts w:ascii="Cambria Math" w:hAnsi="Cambria Math"/>
          </w:rPr>
          <m:t>0.5(I+Q)</m:t>
        </m:r>
      </m:oMath>
      <w:r>
        <w:t xml:space="preserve">, the total and horizontal polarization cases have a similar dependence on viewing geometry, with the strongest aerosol signal from long wavelengths in the forward scatter direction. The vertical polarization, given by </w:t>
      </w:r>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E93584">
        <w:t>Figure 6-5</w:t>
      </w:r>
      <w:r w:rsidRPr="005A21B0">
        <w:fldChar w:fldCharType="end"/>
      </w:r>
      <w:r w:rsidRPr="005A21B0">
        <w:t xml:space="preserve"> </w:t>
      </w:r>
      <w:r>
        <w:t>taking note that the high end of the scale is saturated to emphasize the smaller values.  It is important to note that the vertical polarization has a very low magnitude at scattering angles near 90 degrees, making vertically polarized measurements in this geometry particularly susceptible to signal-to-noise problems.</w:t>
      </w:r>
    </w:p>
    <w:p w:rsidR="00A87F70" w:rsidRDefault="00A87F70" w:rsidP="00CD36AE">
      <w:pPr>
        <w:pStyle w:val="BodyText"/>
        <w:keepNext/>
        <w:ind w:firstLine="0"/>
        <w:jc w:val="both"/>
      </w:pPr>
      <w:r>
        <w:rPr>
          <w:noProof/>
          <w:lang w:val="en-US"/>
        </w:rPr>
        <w:drawing>
          <wp:inline distT="0" distB="0" distL="0" distR="0" wp14:anchorId="40E76966" wp14:editId="08C35409">
            <wp:extent cx="5939790" cy="4432935"/>
            <wp:effectExtent l="0" t="0" r="3810" b="5715"/>
            <wp:docPr id="57" name="Picture 57"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A87F70" w:rsidRDefault="00A87F70" w:rsidP="00990900">
      <w:pPr>
        <w:pStyle w:val="Caption"/>
        <w:jc w:val="both"/>
      </w:pPr>
      <w:bookmarkStart w:id="17" w:name="_Ref452732145"/>
      <w:bookmarkStart w:id="18" w:name="_Toc459300658"/>
      <w:r w:rsidRPr="00CD36AE">
        <w:rPr>
          <w:b/>
        </w:rPr>
        <w:t xml:space="preserve">Figure </w:t>
      </w:r>
      <w:r>
        <w:rPr>
          <w:b/>
        </w:rPr>
        <w:t>6</w:t>
      </w:r>
      <w:r w:rsidRPr="00CD36AE">
        <w:rPr>
          <w:b/>
        </w:rPr>
        <w:t>-</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17"/>
      <w:r>
        <w:t xml:space="preserve">: (Top) For a horizontal (left) or vertical (right) linear polarization the percent of the signal that is attributed to aerosol, </w:t>
      </w:r>
      <m:oMath>
        <m:r>
          <w:rPr>
            <w:rFonts w:ascii="Cambria Math" w:hAnsi="Cambria Math"/>
          </w:rPr>
          <m:t>δ</m:t>
        </m:r>
      </m:oMath>
      <w:r>
        <w:t>. (Bottom) The change in the fraction of the limb signal due to aerosol when compared to the total radiance for the horizontal (left) and vertical (right) polarization (</w:t>
      </w:r>
      <m:oMath>
        <m:r>
          <m:rPr>
            <m:sty m:val="p"/>
          </m:rPr>
          <w:rPr>
            <w:rFonts w:ascii="Cambria Math" w:hAnsi="Cambria Math"/>
          </w:rPr>
          <m:t>Δ</m:t>
        </m:r>
        <m:r>
          <w:rPr>
            <w:rFonts w:ascii="Cambria Math" w:hAnsi="Cambria Math"/>
          </w:rPr>
          <m:t>δ</m:t>
        </m:r>
      </m:oMath>
      <w:r>
        <w:t>).  The simulation uses a geometry of SZA=45</w:t>
      </w:r>
      <w:r>
        <w:rPr>
          <w:vertAlign w:val="superscript"/>
        </w:rPr>
        <w:t>◦</w:t>
      </w:r>
      <w:r>
        <w:t xml:space="preserve"> and SSA=60</w:t>
      </w:r>
      <w:r>
        <w:rPr>
          <w:vertAlign w:val="superscript"/>
        </w:rPr>
        <w:t>◦</w:t>
      </w:r>
      <w:r>
        <w:t>, with the albedo being 0 and the aerosol state the background profile with particle size distribution 1. Take note the red-blue scale is non-symmetric.</w:t>
      </w:r>
      <w:bookmarkEnd w:id="18"/>
    </w:p>
    <w:p w:rsidR="00A87F70" w:rsidRPr="00CD36AE" w:rsidRDefault="00A87F70" w:rsidP="00CD36AE"/>
    <w:p w:rsidR="00A87F70" w:rsidRDefault="00A87F70" w:rsidP="005A21B0">
      <w:pPr>
        <w:pStyle w:val="BodyText"/>
        <w:keepNext/>
        <w:ind w:firstLine="0"/>
        <w:jc w:val="both"/>
      </w:pPr>
      <w:r>
        <w:rPr>
          <w:noProof/>
          <w:lang w:val="en-US"/>
        </w:rPr>
        <w:drawing>
          <wp:inline distT="0" distB="0" distL="0" distR="0" wp14:anchorId="487B98EA" wp14:editId="48A612F6">
            <wp:extent cx="5943600" cy="5095875"/>
            <wp:effectExtent l="0" t="0" r="0" b="9525"/>
            <wp:docPr id="59" name="Picture 59"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A87F70" w:rsidRDefault="00A87F70" w:rsidP="00654237">
      <w:pPr>
        <w:pStyle w:val="Caption"/>
        <w:jc w:val="both"/>
      </w:pPr>
      <w:bookmarkStart w:id="19" w:name="_Ref452732357"/>
      <w:bookmarkStart w:id="20" w:name="_Toc459300659"/>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19"/>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0"/>
    </w:p>
    <w:p w:rsidR="00A87F70" w:rsidRPr="00654237" w:rsidRDefault="00A87F70" w:rsidP="00654237"/>
    <w:p w:rsidR="00A87F70" w:rsidRDefault="00A87F70" w:rsidP="0022259B">
      <w:pPr>
        <w:pStyle w:val="BodyText"/>
        <w:jc w:val="both"/>
      </w:pPr>
      <w:r>
        <w:t>These same calculations were performed for the full range of SZAs and found that the SZA affects the fraction of the signal due to aerosol by only 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polarized BRDF model may change the sensitivity to aerosol with higher albedo.</w:t>
      </w:r>
    </w:p>
    <w:p w:rsidR="00A87F70" w:rsidRDefault="00A87F70" w:rsidP="0022259B">
      <w:pPr>
        <w:pStyle w:val="BodyText"/>
        <w:jc w:val="both"/>
      </w:pPr>
      <w:r>
        <w:t>This same analysis was also performed for two other additional polarization orientations, the +45 degree and -45 degree linear polarizations (</w:t>
      </w:r>
      <w:r w:rsidRPr="0022259B">
        <w:rPr>
          <w:i/>
        </w:rPr>
        <w:t>i.e</w:t>
      </w:r>
      <w:r>
        <w:t xml:space="preserve"> </w:t>
      </w:r>
      <m:oMath>
        <m:r>
          <w:rPr>
            <w:rFonts w:ascii="Cambria Math" w:hAnsi="Cambria Math"/>
          </w:rPr>
          <m:t>0.5(I+U)</m:t>
        </m:r>
      </m:oMath>
      <w:r>
        <w:t xml:space="preserve"> and </w:t>
      </w:r>
      <m:oMath>
        <m:r>
          <w:rPr>
            <w:rFonts w:ascii="Cambria Math" w:hAnsi="Cambria Math"/>
          </w:rPr>
          <m:t>0.5(I-U)</m:t>
        </m:r>
      </m:oMath>
      <w:r>
        <w:t>) to investigate sensitivity to aerosol. It was found that these two polarization orientations had similar aerosol contribution to the total radiance case with approximately two thirds of the overall signal when compared to the total radiance case.</w:t>
      </w:r>
    </w:p>
    <w:p w:rsidR="00A87F70" w:rsidRDefault="00A87F70"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near 90 degrees scattering angle. Given that essentially all low earth orbit scenarios will cover forward and backward scattering angles, including 90 degrees scattering angle, it is clear that the horizontal orientation overall shows a more favorable response to aerosol.   This is particularly true for a terminator orbit such as that for OSIRIS. </w:t>
      </w:r>
    </w:p>
    <w:p w:rsidR="00A87F70" w:rsidRDefault="00A87F70" w:rsidP="005A21B0">
      <w:pPr>
        <w:pStyle w:val="BodyText"/>
        <w:keepNext/>
        <w:ind w:firstLine="0"/>
        <w:jc w:val="both"/>
      </w:pPr>
      <w:r>
        <w:rPr>
          <w:noProof/>
          <w:lang w:val="en-US"/>
        </w:rPr>
        <w:drawing>
          <wp:inline distT="0" distB="0" distL="0" distR="0" wp14:anchorId="26324BEC" wp14:editId="72976D6E">
            <wp:extent cx="5943600" cy="2819400"/>
            <wp:effectExtent l="0" t="0" r="0" b="0"/>
            <wp:docPr id="60" name="Picture 60" descr="C:\Users\bje035\Documents\GitHub\Thesis\Figures\4-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GitHub\Thesis\Figures\4-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A87F70" w:rsidRDefault="00A87F70" w:rsidP="00990900">
      <w:pPr>
        <w:pStyle w:val="Caption"/>
        <w:jc w:val="both"/>
      </w:pPr>
      <w:bookmarkStart w:id="21" w:name="_Ref452732605"/>
      <w:bookmarkStart w:id="22" w:name="_Toc459300660"/>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1"/>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2"/>
    </w:p>
    <w:p w:rsidR="00A87F70" w:rsidRPr="005A21B0" w:rsidRDefault="00A87F70" w:rsidP="005A21B0"/>
    <w:p w:rsidR="00A87F70" w:rsidRDefault="00A87F70"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E93584">
        <w:t>Figure 6-6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Pr>
          <w:vertAlign w:val="superscript"/>
        </w:rPr>
        <w:t>◦</w:t>
      </w:r>
      <w:r>
        <w:t xml:space="preserve">, the horizontal polarization encompasses a large fraction of the total radiance resulting in signals of 80-95% of the total. Across the full parameter space of viewing geometries, wavelengths, and aerosol loading scenarios, the magnitude of the horizontal polarization is on average 60-70% of the total radiance.  </w:t>
      </w:r>
    </w:p>
    <w:p w:rsidR="00A87F70" w:rsidRDefault="00A87F70"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Pr>
          <w:vertAlign w:val="superscript"/>
        </w:rPr>
        <w:t>◦</w:t>
      </w:r>
      <w:r>
        <w:t xml:space="preserve"> the limb radiance is almost fully horizontally polarized and the vertically polarized signal is only 5-20% of the total. On average across the entire parameter space, the vertical polarization component typically accounts for 30-40% of the total signal.</w:t>
      </w:r>
    </w:p>
    <w:p w:rsidR="00A87F70" w:rsidRDefault="00A87F70" w:rsidP="005A21B0">
      <w:pPr>
        <w:pStyle w:val="BodyText"/>
        <w:jc w:val="both"/>
      </w:pPr>
      <w:r>
        <w:t xml:space="preserve">It is clear from this relatively simplistic analysis of the aerosol signal in polarized limb radiance that there are trade-offs between viewing geometries and instrument polarization sensitivity,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A87F70" w:rsidRDefault="00A87F70" w:rsidP="00A01E4B">
      <w:pPr>
        <w:pStyle w:val="Heading2"/>
      </w:pPr>
      <w:bookmarkStart w:id="23" w:name="_Toc459300542"/>
      <w:r>
        <w:t>6.3.3 Potential for Retrieval Bias</w:t>
      </w:r>
      <w:bookmarkEnd w:id="23"/>
    </w:p>
    <w:p w:rsidR="00A87F70" w:rsidRDefault="00A87F70" w:rsidP="00B36051">
      <w:pPr>
        <w:pStyle w:val="BodyText"/>
        <w:jc w:val="both"/>
      </w:pPr>
      <w:r>
        <w:t xml:space="preserve">In this section we directly explore the effect of the polarized measurement on the results of a typical retrieval algorithm through application of the algorithm to simulated measurements across the full parameter space.  </w:t>
      </w:r>
    </w:p>
    <w:p w:rsidR="00A87F70" w:rsidRDefault="00A87F70" w:rsidP="00B36051">
      <w:pPr>
        <w:pStyle w:val="BodyText"/>
        <w:jc w:val="both"/>
      </w:pPr>
      <w:r>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r w:rsidRPr="00B36051">
        <w:rPr>
          <w:i/>
        </w:rPr>
        <w:t>Rieger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E93584">
        <w:t>Figure 6-7</w:t>
      </w:r>
      <w:r w:rsidRPr="00B36051">
        <w:fldChar w:fldCharType="end"/>
      </w:r>
      <w:r w:rsidRPr="008F5428">
        <w:t xml:space="preserve"> and is simi</w:t>
      </w:r>
      <w:r>
        <w:t>lar for altitudes from 17 to 35 </w:t>
      </w:r>
      <w:r w:rsidRPr="008F5428">
        <w:t>km</w:t>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 of 90</w:t>
      </w:r>
      <w:r>
        <w:rPr>
          <w:vertAlign w:val="superscript"/>
        </w:rPr>
        <w:t>◦</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Pr>
          <w:vertAlign w:val="superscript"/>
        </w:rPr>
        <w:t>◦</w:t>
      </w:r>
      <w:r>
        <w:t xml:space="preserve"> or 95</w:t>
      </w:r>
      <w:r>
        <w:rPr>
          <w:vertAlign w:val="superscript"/>
        </w:rPr>
        <w:t>◦</w:t>
      </w:r>
      <w:r>
        <w:t>.</w:t>
      </w:r>
    </w:p>
    <w:p w:rsidR="00A87F70" w:rsidRDefault="00A87F70" w:rsidP="00B36051">
      <w:pPr>
        <w:pStyle w:val="BodyText"/>
        <w:keepNext/>
        <w:ind w:firstLine="0"/>
        <w:jc w:val="center"/>
      </w:pPr>
      <w:r>
        <w:rPr>
          <w:noProof/>
          <w:lang w:val="en-US"/>
        </w:rPr>
        <w:drawing>
          <wp:inline distT="0" distB="0" distL="0" distR="0" wp14:anchorId="364E06DA" wp14:editId="6A69B6A1">
            <wp:extent cx="4762500" cy="3810000"/>
            <wp:effectExtent l="0" t="0" r="0" b="0"/>
            <wp:docPr id="61" name="Picture 61"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A87F70" w:rsidRDefault="00A87F70" w:rsidP="00990900">
      <w:pPr>
        <w:pStyle w:val="Caption"/>
        <w:jc w:val="both"/>
      </w:pPr>
      <w:bookmarkStart w:id="24" w:name="_Ref452733156"/>
      <w:bookmarkStart w:id="25" w:name="_Toc459300661"/>
      <w:r w:rsidRPr="00B36051">
        <w:rPr>
          <w:b/>
        </w:rPr>
        <w:t xml:space="preserve">Figure </w:t>
      </w:r>
      <w:r>
        <w:rPr>
          <w:b/>
        </w:rPr>
        <w:t>6</w:t>
      </w:r>
      <w:r w:rsidRPr="00B36051">
        <w:rPr>
          <w:b/>
        </w:rPr>
        <w:t>-</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4"/>
      <w:r>
        <w:t xml:space="preserve">: The mean percent difference between the retrieved aerosol extinction profile with an assumed particle size distribution and the true state corresponding to the indicated particle size distribution (see </w:t>
      </w:r>
      <w:r w:rsidRPr="006E16E1">
        <w:fldChar w:fldCharType="begin"/>
      </w:r>
      <w:r w:rsidRPr="00C83A05">
        <w:instrText xml:space="preserve"> REF _Ref456346529 \h </w:instrText>
      </w:r>
      <w:r w:rsidRPr="006E16E1">
        <w:instrText xml:space="preserve"> \* MERGEFORMAT </w:instrText>
      </w:r>
      <w:r w:rsidRPr="006E16E1">
        <w:fldChar w:fldCharType="separate"/>
      </w:r>
      <w:r w:rsidRPr="00E93584">
        <w:t>Table 6-1</w:t>
      </w:r>
      <w:r w:rsidRPr="006E16E1">
        <w:fldChar w:fldCharType="end"/>
      </w:r>
      <w:r>
        <w:t>). Error bars represent one standard deviation of the variability across all viewing geometries.  Results shown are for 750 nm and 20 km altitude.</w:t>
      </w:r>
      <w:bookmarkEnd w:id="25"/>
    </w:p>
    <w:p w:rsidR="00A87F70" w:rsidRPr="00B36051" w:rsidRDefault="00A87F70" w:rsidP="00B36051"/>
    <w:p w:rsidR="00A87F70" w:rsidRDefault="00A87F70"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A87F70" w:rsidRDefault="00A87F70" w:rsidP="00A01E4B">
      <w:pPr>
        <w:pStyle w:val="Heading2"/>
      </w:pPr>
      <w:bookmarkStart w:id="26" w:name="_Toc459300543"/>
      <w:r>
        <w:t>6.3.4 Precision Analysis</w:t>
      </w:r>
      <w:bookmarkEnd w:id="26"/>
    </w:p>
    <w:p w:rsidR="00A87F70" w:rsidRDefault="00A87F70" w:rsidP="0046040A">
      <w:pPr>
        <w:pStyle w:val="BodyText"/>
        <w:jc w:val="both"/>
      </w:pPr>
      <w:r>
        <w:t xml:space="preserve">Finally, we study the effect of the polarized measurement on the performance of the retrieval in terms of the precision of the results. We again use simulated measurements across the full range of input parameters as input to the standard retrieval algorithm.  Following the methodology outlined in section 6.2, using SASKTRAN-HR the Jacobian matrices were calculated for each retrieved state and used determine the gain matrices, which were then applied as in Equation 6.7 to determine the retrieval precision. It should be noted that not all of the Jacobian matrices could be inverted due to small sensitivity of the lower tangent altitudes (see discussion in </w:t>
      </w:r>
      <w:r w:rsidRPr="0046040A">
        <w:rPr>
          <w:i/>
        </w:rPr>
        <w:t>Bourassa et al.</w:t>
      </w:r>
      <w:r>
        <w:t xml:space="preserve">, 2007) and these were removed from the data set (approximately 9% of total cases). This affected a large fraction of the 500 nm cases, so this wavelength was removed from this section of the analysis. As discussed in section 6.2,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A87F70" w:rsidRDefault="00A87F70" w:rsidP="0046040A">
      <w:pPr>
        <w:pStyle w:val="BodyText"/>
        <w:jc w:val="both"/>
      </w:pPr>
      <w:r>
        <w:t>For the first case, where the signal to noise ratio is compensated such that it is equal for all cases, the measurement co-variance matrix in Equation 6.7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A87F70" w:rsidRDefault="00A87F70" w:rsidP="00C15F1B">
      <w:pPr>
        <w:pStyle w:val="BodyText"/>
        <w:keepNext/>
        <w:ind w:firstLine="0"/>
        <w:jc w:val="center"/>
      </w:pPr>
      <w:r>
        <w:rPr>
          <w:noProof/>
          <w:lang w:val="en-US"/>
        </w:rPr>
        <w:drawing>
          <wp:inline distT="0" distB="0" distL="0" distR="0" wp14:anchorId="74902BBB" wp14:editId="59EA9EB1">
            <wp:extent cx="4286250" cy="5238750"/>
            <wp:effectExtent l="0" t="0" r="0" b="0"/>
            <wp:docPr id="62" name="Picture 62"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A87F70" w:rsidRDefault="00A87F70" w:rsidP="00C15F1B">
      <w:pPr>
        <w:pStyle w:val="Caption"/>
        <w:jc w:val="both"/>
      </w:pPr>
      <w:bookmarkStart w:id="27" w:name="_Ref452970794"/>
      <w:bookmarkStart w:id="28" w:name="_Toc459300662"/>
      <w:r w:rsidRPr="00C15F1B">
        <w:rPr>
          <w:b/>
        </w:rPr>
        <w:t xml:space="preserve">Figure </w:t>
      </w:r>
      <w:r>
        <w:rPr>
          <w:b/>
        </w:rPr>
        <w:t>6</w:t>
      </w:r>
      <w:r w:rsidRPr="00C15F1B">
        <w:rPr>
          <w:b/>
        </w:rPr>
        <w:t>-</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27"/>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28"/>
    </w:p>
    <w:p w:rsidR="00A87F70" w:rsidRPr="00C15F1B" w:rsidRDefault="00A87F70" w:rsidP="00C15F1B"/>
    <w:p w:rsidR="00A87F70" w:rsidRDefault="00A87F70"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E93584">
        <w:t>Figure 6-8</w:t>
      </w:r>
      <w:r w:rsidRPr="00C15F1B">
        <w:fldChar w:fldCharType="end"/>
      </w:r>
      <w:r>
        <w:t xml:space="preserve"> the normalized co-variances cases were sorted by wavelength using all geometries and atmospheric states. These bins were then averaged for each wavelength shown by the red and blue points for the horizontal and vertical polarization respectively. The fainted colours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E93584">
        <w:t>Figure 6-8</w:t>
      </w:r>
      <w:r w:rsidRPr="00C15F1B">
        <w:fldChar w:fldCharType="end"/>
      </w:r>
      <w:r>
        <w:t xml:space="preserve"> contains between 186 to 229 unique data points and values less than one represent co-variance better than the total radiance case and the opposite for values larger than one. </w:t>
      </w:r>
    </w:p>
    <w:p w:rsidR="00A87F70" w:rsidRDefault="00A87F70"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E93584">
        <w:t>Figure 6-8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A87F70" w:rsidRPr="00C15F1B" w:rsidRDefault="00A87F70" w:rsidP="00C15F1B">
      <w:pPr>
        <w:pStyle w:val="Caption"/>
        <w:jc w:val="both"/>
      </w:pPr>
      <w:bookmarkStart w:id="29" w:name="_Ref452971042"/>
      <w:bookmarkStart w:id="30" w:name="_Toc459300188"/>
      <w:r w:rsidRPr="00C15F1B">
        <w:rPr>
          <w:b/>
        </w:rPr>
        <w:t xml:space="preserve">Table </w:t>
      </w:r>
      <w:r>
        <w:rPr>
          <w:b/>
        </w:rPr>
        <w:t>6</w:t>
      </w:r>
      <w:r w:rsidRPr="00C15F1B">
        <w:rPr>
          <w:b/>
        </w:rPr>
        <w:t>-</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29"/>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Pr>
          <w:vertAlign w:val="superscript"/>
        </w:rPr>
        <w:t>◦</w:t>
      </w:r>
      <w:r w:rsidRPr="00C15F1B">
        <w:t xml:space="preserve"> for the vertical polarization has been removed due to the poor signal in this region.</w:t>
      </w:r>
      <w:bookmarkEnd w:id="30"/>
    </w:p>
    <w:tbl>
      <w:tblPr>
        <w:tblStyle w:val="TableGrid"/>
        <w:tblW w:w="93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4"/>
        <w:gridCol w:w="1428"/>
        <w:gridCol w:w="1428"/>
        <w:gridCol w:w="1428"/>
        <w:gridCol w:w="1460"/>
        <w:gridCol w:w="1428"/>
      </w:tblGrid>
      <w:tr w:rsidR="00A87F70" w:rsidRPr="00C15F1B" w:rsidTr="006E16E1">
        <w:tc>
          <w:tcPr>
            <w:tcW w:w="2627" w:type="dxa"/>
            <w:tcBorders>
              <w:top w:val="single" w:sz="4" w:space="0" w:color="auto"/>
              <w:bottom w:val="single" w:sz="4" w:space="0" w:color="auto"/>
            </w:tcBorders>
          </w:tcPr>
          <w:p w:rsidR="00A87F70" w:rsidRPr="00C15F1B" w:rsidRDefault="00A87F70" w:rsidP="00990900">
            <w:pPr>
              <w:rPr>
                <w:rFonts w:ascii="Times New Roman" w:hAnsi="Times New Roman" w:cs="Times New Roman"/>
              </w:rPr>
            </w:pPr>
            <w:r w:rsidRPr="00C15F1B">
              <w:rPr>
                <w:rFonts w:ascii="Times New Roman" w:hAnsi="Times New Roman" w:cs="Times New Roman"/>
              </w:rPr>
              <w:t>Polarization</w:t>
            </w:r>
          </w:p>
        </w:tc>
        <w:tc>
          <w:tcPr>
            <w:tcW w:w="1428" w:type="dxa"/>
            <w:tcBorders>
              <w:top w:val="single" w:sz="4" w:space="0" w:color="auto"/>
              <w:bottom w:val="single" w:sz="4" w:space="0" w:color="auto"/>
            </w:tcBorders>
          </w:tcPr>
          <w:p w:rsidR="00A87F70" w:rsidRPr="00C15F1B" w:rsidRDefault="00A87F70" w:rsidP="00990900">
            <w:pPr>
              <w:rPr>
                <w:rFonts w:ascii="Times New Roman" w:hAnsi="Times New Roman" w:cs="Times New Roman"/>
              </w:rPr>
            </w:pPr>
            <w:r w:rsidRPr="00C15F1B">
              <w:rPr>
                <w:rFonts w:ascii="Times New Roman" w:hAnsi="Times New Roman" w:cs="Times New Roman"/>
              </w:rPr>
              <w:t xml:space="preserve"> 60</w:t>
            </w:r>
            <w:r>
              <w:rPr>
                <w:rFonts w:ascii="Times New Roman" w:hAnsi="Times New Roman" w:cs="Times New Roman"/>
                <w:vertAlign w:val="superscript"/>
              </w:rPr>
              <w:t>◦</w:t>
            </w:r>
          </w:p>
        </w:tc>
        <w:tc>
          <w:tcPr>
            <w:tcW w:w="1428" w:type="dxa"/>
            <w:tcBorders>
              <w:top w:val="single" w:sz="4" w:space="0" w:color="auto"/>
              <w:bottom w:val="single" w:sz="4" w:space="0" w:color="auto"/>
            </w:tcBorders>
          </w:tcPr>
          <w:p w:rsidR="00A87F70" w:rsidRPr="00C15F1B" w:rsidRDefault="00A87F70" w:rsidP="00990900">
            <w:pPr>
              <w:rPr>
                <w:rFonts w:ascii="Times New Roman" w:hAnsi="Times New Roman" w:cs="Times New Roman"/>
                <w:vertAlign w:val="superscript"/>
              </w:rPr>
            </w:pPr>
            <w:r w:rsidRPr="00C15F1B">
              <w:rPr>
                <w:rFonts w:ascii="Times New Roman" w:hAnsi="Times New Roman" w:cs="Times New Roman"/>
              </w:rPr>
              <w:t>90</w:t>
            </w:r>
            <w:r>
              <w:rPr>
                <w:rFonts w:ascii="Times New Roman" w:hAnsi="Times New Roman" w:cs="Times New Roman"/>
                <w:vertAlign w:val="superscript"/>
              </w:rPr>
              <w:t>◦</w:t>
            </w:r>
          </w:p>
        </w:tc>
        <w:tc>
          <w:tcPr>
            <w:tcW w:w="1428" w:type="dxa"/>
            <w:tcBorders>
              <w:top w:val="single" w:sz="4" w:space="0" w:color="auto"/>
              <w:bottom w:val="single" w:sz="4" w:space="0" w:color="auto"/>
            </w:tcBorders>
          </w:tcPr>
          <w:p w:rsidR="00A87F70" w:rsidRPr="00C15F1B" w:rsidRDefault="00A87F70" w:rsidP="00990900">
            <w:pPr>
              <w:rPr>
                <w:rFonts w:ascii="Times New Roman" w:hAnsi="Times New Roman" w:cs="Times New Roman"/>
                <w:vertAlign w:val="superscript"/>
              </w:rPr>
            </w:pPr>
            <w:r w:rsidRPr="00C15F1B">
              <w:rPr>
                <w:rFonts w:ascii="Times New Roman" w:hAnsi="Times New Roman" w:cs="Times New Roman"/>
              </w:rPr>
              <w:t>120</w:t>
            </w:r>
            <w:r>
              <w:rPr>
                <w:rFonts w:ascii="Times New Roman" w:hAnsi="Times New Roman" w:cs="Times New Roman"/>
                <w:vertAlign w:val="superscript"/>
              </w:rPr>
              <w:t>◦</w:t>
            </w:r>
          </w:p>
        </w:tc>
        <w:tc>
          <w:tcPr>
            <w:tcW w:w="1513" w:type="dxa"/>
            <w:tcBorders>
              <w:top w:val="single" w:sz="4" w:space="0" w:color="auto"/>
              <w:bottom w:val="single" w:sz="4" w:space="0" w:color="auto"/>
            </w:tcBorders>
          </w:tcPr>
          <w:p w:rsidR="00A87F70" w:rsidRPr="00C15F1B" w:rsidRDefault="00A87F70" w:rsidP="00990900">
            <w:pPr>
              <w:rPr>
                <w:rFonts w:ascii="Times New Roman" w:hAnsi="Times New Roman" w:cs="Times New Roman"/>
                <w:vertAlign w:val="superscript"/>
              </w:rPr>
            </w:pPr>
            <w:r w:rsidRPr="00C15F1B">
              <w:rPr>
                <w:rFonts w:ascii="Times New Roman" w:hAnsi="Times New Roman" w:cs="Times New Roman"/>
              </w:rPr>
              <w:t>150</w:t>
            </w:r>
            <w:r>
              <w:rPr>
                <w:rFonts w:ascii="Times New Roman" w:hAnsi="Times New Roman" w:cs="Times New Roman"/>
                <w:vertAlign w:val="superscript"/>
              </w:rPr>
              <w:t>◦</w:t>
            </w:r>
          </w:p>
        </w:tc>
        <w:tc>
          <w:tcPr>
            <w:tcW w:w="932" w:type="dxa"/>
            <w:tcBorders>
              <w:top w:val="single" w:sz="4" w:space="0" w:color="auto"/>
              <w:bottom w:val="single" w:sz="4" w:space="0" w:color="auto"/>
            </w:tcBorders>
          </w:tcPr>
          <w:p w:rsidR="00A87F70" w:rsidRPr="00C15F1B" w:rsidRDefault="00A87F70" w:rsidP="00990900">
            <w:pPr>
              <w:rPr>
                <w:rFonts w:ascii="Times New Roman" w:hAnsi="Times New Roman" w:cs="Times New Roman"/>
                <w:vertAlign w:val="superscript"/>
              </w:rPr>
            </w:pPr>
            <w:r w:rsidRPr="00C15F1B">
              <w:rPr>
                <w:rFonts w:ascii="Times New Roman" w:hAnsi="Times New Roman" w:cs="Times New Roman"/>
              </w:rPr>
              <w:t>180</w:t>
            </w:r>
            <w:r>
              <w:rPr>
                <w:rFonts w:ascii="Times New Roman" w:hAnsi="Times New Roman" w:cs="Times New Roman"/>
                <w:vertAlign w:val="superscript"/>
              </w:rPr>
              <w:t>◦</w:t>
            </w:r>
          </w:p>
        </w:tc>
      </w:tr>
      <w:tr w:rsidR="00A87F70" w:rsidRPr="00C15F1B" w:rsidTr="006E16E1">
        <w:tc>
          <w:tcPr>
            <w:tcW w:w="2627" w:type="dxa"/>
            <w:tcBorders>
              <w:top w:val="single" w:sz="4" w:space="0" w:color="auto"/>
            </w:tcBorders>
          </w:tcPr>
          <w:p w:rsidR="00A87F70" w:rsidRPr="00C15F1B" w:rsidRDefault="00A87F70" w:rsidP="00990900">
            <w:pPr>
              <w:rPr>
                <w:rFonts w:ascii="Times New Roman" w:hAnsi="Times New Roman" w:cs="Times New Roman"/>
              </w:rPr>
            </w:pPr>
            <w:r w:rsidRPr="00C15F1B">
              <w:rPr>
                <w:rFonts w:ascii="Times New Roman" w:hAnsi="Times New Roman" w:cs="Times New Roman"/>
              </w:rPr>
              <w:t>Horizontal (Compensated)</w:t>
            </w:r>
          </w:p>
        </w:tc>
        <w:tc>
          <w:tcPr>
            <w:tcW w:w="1428" w:type="dxa"/>
            <w:tcBorders>
              <w:top w:val="single" w:sz="4" w:space="0" w:color="auto"/>
            </w:tcBorders>
          </w:tcPr>
          <w:p w:rsidR="00A87F70" w:rsidRPr="00C15F1B" w:rsidRDefault="00A87F70" w:rsidP="00990900">
            <w:pPr>
              <w:rPr>
                <w:rFonts w:ascii="Times New Roman" w:hAnsi="Times New Roman" w:cs="Times New Roman"/>
              </w:rPr>
            </w:pPr>
            <w:r w:rsidRPr="00C15F1B">
              <w:rPr>
                <w:rFonts w:ascii="Times New Roman" w:hAnsi="Times New Roman" w:cs="Times New Roman"/>
              </w:rPr>
              <w:t>1.072±0.051</w:t>
            </w:r>
          </w:p>
        </w:tc>
        <w:tc>
          <w:tcPr>
            <w:tcW w:w="1428" w:type="dxa"/>
            <w:tcBorders>
              <w:top w:val="single" w:sz="4" w:space="0" w:color="auto"/>
            </w:tcBorders>
          </w:tcPr>
          <w:p w:rsidR="00A87F70" w:rsidRPr="00C15F1B" w:rsidRDefault="00A87F70" w:rsidP="00990900">
            <w:pPr>
              <w:rPr>
                <w:rFonts w:ascii="Times New Roman" w:hAnsi="Times New Roman" w:cs="Times New Roman"/>
              </w:rPr>
            </w:pPr>
            <w:r w:rsidRPr="00C15F1B">
              <w:rPr>
                <w:rFonts w:ascii="Times New Roman" w:hAnsi="Times New Roman" w:cs="Times New Roman"/>
              </w:rPr>
              <w:t>1.090±0.082</w:t>
            </w:r>
          </w:p>
        </w:tc>
        <w:tc>
          <w:tcPr>
            <w:tcW w:w="1428" w:type="dxa"/>
            <w:tcBorders>
              <w:top w:val="single" w:sz="4" w:space="0" w:color="auto"/>
            </w:tcBorders>
          </w:tcPr>
          <w:p w:rsidR="00A87F70" w:rsidRPr="00C15F1B" w:rsidRDefault="00A87F70" w:rsidP="00990900">
            <w:pPr>
              <w:rPr>
                <w:rFonts w:ascii="Times New Roman" w:hAnsi="Times New Roman" w:cs="Times New Roman"/>
              </w:rPr>
            </w:pPr>
            <w:r w:rsidRPr="00C15F1B">
              <w:rPr>
                <w:rFonts w:ascii="Times New Roman" w:hAnsi="Times New Roman" w:cs="Times New Roman"/>
              </w:rPr>
              <w:t>1.047±0.078</w:t>
            </w:r>
          </w:p>
        </w:tc>
        <w:tc>
          <w:tcPr>
            <w:tcW w:w="1513" w:type="dxa"/>
            <w:tcBorders>
              <w:top w:val="single" w:sz="4" w:space="0" w:color="auto"/>
            </w:tcBorders>
          </w:tcPr>
          <w:p w:rsidR="00A87F70" w:rsidRPr="00C15F1B" w:rsidRDefault="00A87F70" w:rsidP="00990900">
            <w:pPr>
              <w:rPr>
                <w:rFonts w:ascii="Times New Roman" w:hAnsi="Times New Roman" w:cs="Times New Roman"/>
              </w:rPr>
            </w:pPr>
            <w:r w:rsidRPr="00C15F1B">
              <w:rPr>
                <w:rFonts w:ascii="Times New Roman" w:hAnsi="Times New Roman" w:cs="Times New Roman"/>
              </w:rPr>
              <w:t>1.027±0.048</w:t>
            </w:r>
          </w:p>
        </w:tc>
        <w:tc>
          <w:tcPr>
            <w:tcW w:w="932" w:type="dxa"/>
            <w:tcBorders>
              <w:top w:val="single" w:sz="4" w:space="0" w:color="auto"/>
            </w:tcBorders>
          </w:tcPr>
          <w:p w:rsidR="00A87F70" w:rsidRPr="00C15F1B" w:rsidRDefault="00A87F70" w:rsidP="00990900">
            <w:pPr>
              <w:rPr>
                <w:rFonts w:ascii="Times New Roman" w:hAnsi="Times New Roman" w:cs="Times New Roman"/>
              </w:rPr>
            </w:pPr>
            <w:r w:rsidRPr="00C15F1B">
              <w:rPr>
                <w:rFonts w:ascii="Times New Roman" w:hAnsi="Times New Roman" w:cs="Times New Roman"/>
              </w:rPr>
              <w:t>1.023±0.042</w:t>
            </w:r>
          </w:p>
        </w:tc>
      </w:tr>
      <w:tr w:rsidR="00A87F70" w:rsidRPr="00C15F1B" w:rsidTr="006E16E1">
        <w:tc>
          <w:tcPr>
            <w:tcW w:w="2627"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Vertical (Compensated)</w:t>
            </w:r>
          </w:p>
        </w:tc>
        <w:tc>
          <w:tcPr>
            <w:tcW w:w="1428"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0.861±0.084</w:t>
            </w:r>
          </w:p>
        </w:tc>
        <w:tc>
          <w:tcPr>
            <w:tcW w:w="1428"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w:t>
            </w:r>
          </w:p>
        </w:tc>
        <w:tc>
          <w:tcPr>
            <w:tcW w:w="1428"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0.968±0.157</w:t>
            </w:r>
          </w:p>
        </w:tc>
        <w:tc>
          <w:tcPr>
            <w:tcW w:w="1513"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0.977±0.063</w:t>
            </w:r>
          </w:p>
        </w:tc>
        <w:tc>
          <w:tcPr>
            <w:tcW w:w="932"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0.980±0.051</w:t>
            </w:r>
          </w:p>
        </w:tc>
      </w:tr>
      <w:tr w:rsidR="00A87F70" w:rsidRPr="00C15F1B" w:rsidTr="006E16E1">
        <w:tc>
          <w:tcPr>
            <w:tcW w:w="2627"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Horizontal (Uncompensated)</w:t>
            </w:r>
          </w:p>
        </w:tc>
        <w:tc>
          <w:tcPr>
            <w:tcW w:w="1428"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1.289±0.075</w:t>
            </w:r>
          </w:p>
        </w:tc>
        <w:tc>
          <w:tcPr>
            <w:tcW w:w="1428"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1.225±0.158</w:t>
            </w:r>
          </w:p>
        </w:tc>
        <w:tc>
          <w:tcPr>
            <w:tcW w:w="1428"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1.261±0.165</w:t>
            </w:r>
          </w:p>
        </w:tc>
        <w:tc>
          <w:tcPr>
            <w:tcW w:w="1513"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1.341±0.098</w:t>
            </w:r>
          </w:p>
        </w:tc>
        <w:tc>
          <w:tcPr>
            <w:tcW w:w="932"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1.360±0.085</w:t>
            </w:r>
          </w:p>
        </w:tc>
      </w:tr>
      <w:tr w:rsidR="00A87F70" w:rsidRPr="00C15F1B" w:rsidTr="006E16E1">
        <w:tc>
          <w:tcPr>
            <w:tcW w:w="2627"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Vertical (Uncompensated)</w:t>
            </w:r>
          </w:p>
        </w:tc>
        <w:tc>
          <w:tcPr>
            <w:tcW w:w="1428"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1.576±0.167</w:t>
            </w:r>
          </w:p>
        </w:tc>
        <w:tc>
          <w:tcPr>
            <w:tcW w:w="1428"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w:t>
            </w:r>
          </w:p>
        </w:tc>
        <w:tc>
          <w:tcPr>
            <w:tcW w:w="1428"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1.852±0.559</w:t>
            </w:r>
          </w:p>
        </w:tc>
        <w:tc>
          <w:tcPr>
            <w:tcW w:w="1513"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1.527±0.170</w:t>
            </w:r>
          </w:p>
        </w:tc>
        <w:tc>
          <w:tcPr>
            <w:tcW w:w="932" w:type="dxa"/>
          </w:tcPr>
          <w:p w:rsidR="00A87F70" w:rsidRPr="00C15F1B" w:rsidRDefault="00A87F70" w:rsidP="00990900">
            <w:pPr>
              <w:rPr>
                <w:rFonts w:ascii="Times New Roman" w:hAnsi="Times New Roman" w:cs="Times New Roman"/>
              </w:rPr>
            </w:pPr>
            <w:r w:rsidRPr="00C15F1B">
              <w:rPr>
                <w:rFonts w:ascii="Times New Roman" w:hAnsi="Times New Roman" w:cs="Times New Roman"/>
              </w:rPr>
              <w:t>1.490±0.130</w:t>
            </w:r>
          </w:p>
        </w:tc>
      </w:tr>
    </w:tbl>
    <w:p w:rsidR="00A87F70" w:rsidRDefault="00A87F70" w:rsidP="00C15F1B">
      <w:pPr>
        <w:pStyle w:val="BodyText"/>
        <w:spacing w:line="240" w:lineRule="auto"/>
        <w:jc w:val="both"/>
      </w:pPr>
    </w:p>
    <w:p w:rsidR="00A87F70" w:rsidRDefault="00A87F70"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E93584">
        <w:t>Table 6-2</w:t>
      </w:r>
      <w:r w:rsidRPr="00C15F1B">
        <w:fldChar w:fldCharType="end"/>
      </w:r>
      <w:r>
        <w:t xml:space="preserve"> shows the calculated means and standard deviations across SSA for the horizontal and vertical polarizations, note the SSA of 90</w:t>
      </w:r>
      <w:r>
        <w:rPr>
          <w:vertAlign w:val="superscript"/>
        </w:rPr>
        <w:t>◦</w:t>
      </w:r>
      <w:r>
        <w:t xml:space="preserve"> is missing due to the poor signal, and retrieval quality noted in previous sections which results in poor co-variances for this 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A87F70" w:rsidRDefault="00A87F70" w:rsidP="0046040A">
      <w:pPr>
        <w:pStyle w:val="BodyText"/>
        <w:jc w:val="both"/>
      </w:pPr>
      <w:r>
        <w:t xml:space="preserve">In the case of an uncompensated instrument, for example where a linear polarizer is added to the optical chain with no other changes in observation, the scaling of the diagonal of the measurement co-variance is used as outlined in section 6.2.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E93584">
        <w:t>Figure 6-8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A87F70" w:rsidRDefault="00A87F70" w:rsidP="00C15F1B">
      <w:pPr>
        <w:pStyle w:val="BodyText"/>
        <w:jc w:val="both"/>
      </w:pPr>
      <w:r>
        <w:t>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spatial resolution observations, both vertically and horizontally along, and across, the satellite 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A87F70" w:rsidRDefault="00A87F70" w:rsidP="00A01E4B">
      <w:pPr>
        <w:pStyle w:val="Heading1"/>
      </w:pPr>
      <w:bookmarkStart w:id="31" w:name="_Toc459300544"/>
      <w:r>
        <w:t>6.4 Conclusions of the modelling study</w:t>
      </w:r>
      <w:bookmarkEnd w:id="31"/>
    </w:p>
    <w:p w:rsidR="00A87F70" w:rsidRDefault="00A87F70"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and the most likely orbit orientation for an ALI satellite mission.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A87F70" w:rsidRDefault="00A87F70" w:rsidP="00C15F1B">
      <w:pPr>
        <w:pStyle w:val="BodyText"/>
        <w:jc w:val="both"/>
      </w:pPr>
      <w:r>
        <w:t>One critical bias in limb scatter retrievals of stratospheric aerosol is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So, with respect to this bias in stratospheric aerosol retrievals, the linearly-polarized measurement can be used to achieve approximately equal results with only minor advantages and disadvantages between the polarization states.</w:t>
      </w:r>
    </w:p>
    <w:p w:rsidR="00A87F70" w:rsidRDefault="00A87F70"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A87F70" w:rsidRDefault="00A87F70"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A87F70" w:rsidRDefault="00A87F70" w:rsidP="007B3D36">
      <w:pPr>
        <w:pStyle w:val="BodyText"/>
        <w:keepNext/>
        <w:ind w:firstLine="0"/>
        <w:jc w:val="center"/>
      </w:pPr>
    </w:p>
    <w:p w:rsidR="00A87F70" w:rsidRDefault="00A87F70" w:rsidP="0050378E">
      <w:pPr>
        <w:pStyle w:val="Caption"/>
      </w:pPr>
    </w:p>
    <w:p w:rsidR="00A87F70" w:rsidRDefault="00A87F70" w:rsidP="0050378E">
      <w:pPr>
        <w:pStyle w:val="BodyText"/>
        <w:jc w:val="both"/>
        <w:sectPr w:rsidR="00A87F70" w:rsidSect="00A278F7">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5EE" w:rsidRDefault="008655EE">
      <w:r>
        <w:separator/>
      </w:r>
    </w:p>
  </w:endnote>
  <w:endnote w:type="continuationSeparator" w:id="0">
    <w:p w:rsidR="008655EE" w:rsidRDefault="0086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F70" w:rsidRDefault="00A87F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F70" w:rsidRDefault="00A87F7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133</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1A1" w:rsidRDefault="00DC31A1">
    <w:pPr>
      <w:pStyle w:val="Footer"/>
    </w:pPr>
    <w:r>
      <w:rPr>
        <w:rStyle w:val="PageNumber"/>
      </w:rPr>
      <w:fldChar w:fldCharType="begin"/>
    </w:r>
    <w:r>
      <w:rPr>
        <w:rStyle w:val="PageNumber"/>
      </w:rPr>
      <w:instrText xml:space="preserve"> PAGE </w:instrText>
    </w:r>
    <w:r>
      <w:rPr>
        <w:rStyle w:val="PageNumber"/>
      </w:rPr>
      <w:fldChar w:fldCharType="separate"/>
    </w:r>
    <w:r w:rsidR="00654237">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5EE" w:rsidRDefault="008655EE">
      <w:r>
        <w:separator/>
      </w:r>
    </w:p>
  </w:footnote>
  <w:footnote w:type="continuationSeparator" w:id="0">
    <w:p w:rsidR="008655EE" w:rsidRDefault="008655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F70" w:rsidRDefault="00A87F70">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160</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F70" w:rsidRDefault="00A87F7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1A1" w:rsidRDefault="00DC31A1">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B211B"/>
    <w:rsid w:val="000D6910"/>
    <w:rsid w:val="001119DB"/>
    <w:rsid w:val="00134D97"/>
    <w:rsid w:val="001508F7"/>
    <w:rsid w:val="00180071"/>
    <w:rsid w:val="001A37B1"/>
    <w:rsid w:val="001D41B4"/>
    <w:rsid w:val="001D4781"/>
    <w:rsid w:val="001D701F"/>
    <w:rsid w:val="001F20A5"/>
    <w:rsid w:val="001F6D49"/>
    <w:rsid w:val="00205876"/>
    <w:rsid w:val="0022259B"/>
    <w:rsid w:val="00253D49"/>
    <w:rsid w:val="00255706"/>
    <w:rsid w:val="0028098A"/>
    <w:rsid w:val="00290AF2"/>
    <w:rsid w:val="002A2722"/>
    <w:rsid w:val="002D08F6"/>
    <w:rsid w:val="002D5953"/>
    <w:rsid w:val="002E6B13"/>
    <w:rsid w:val="002F51E1"/>
    <w:rsid w:val="002F7E5B"/>
    <w:rsid w:val="00304A02"/>
    <w:rsid w:val="00320BFF"/>
    <w:rsid w:val="003274CA"/>
    <w:rsid w:val="003442E3"/>
    <w:rsid w:val="00367EC2"/>
    <w:rsid w:val="00371EBD"/>
    <w:rsid w:val="003749AF"/>
    <w:rsid w:val="00377A6C"/>
    <w:rsid w:val="00382257"/>
    <w:rsid w:val="00387742"/>
    <w:rsid w:val="003B1C95"/>
    <w:rsid w:val="003C2412"/>
    <w:rsid w:val="003C4539"/>
    <w:rsid w:val="003D6889"/>
    <w:rsid w:val="003E6AEC"/>
    <w:rsid w:val="003F1CCB"/>
    <w:rsid w:val="003F24BB"/>
    <w:rsid w:val="004155F1"/>
    <w:rsid w:val="00430837"/>
    <w:rsid w:val="00435FD8"/>
    <w:rsid w:val="0046040A"/>
    <w:rsid w:val="00467E17"/>
    <w:rsid w:val="00480728"/>
    <w:rsid w:val="00490110"/>
    <w:rsid w:val="004913C9"/>
    <w:rsid w:val="00496549"/>
    <w:rsid w:val="004A0CEE"/>
    <w:rsid w:val="004B1F64"/>
    <w:rsid w:val="004B3D57"/>
    <w:rsid w:val="004C3FE0"/>
    <w:rsid w:val="004E3B22"/>
    <w:rsid w:val="004E524E"/>
    <w:rsid w:val="0050378E"/>
    <w:rsid w:val="005141EC"/>
    <w:rsid w:val="005258D5"/>
    <w:rsid w:val="005265CC"/>
    <w:rsid w:val="0053000B"/>
    <w:rsid w:val="00533770"/>
    <w:rsid w:val="005479BD"/>
    <w:rsid w:val="005660CF"/>
    <w:rsid w:val="0056689C"/>
    <w:rsid w:val="00575E36"/>
    <w:rsid w:val="00586E65"/>
    <w:rsid w:val="005A21B0"/>
    <w:rsid w:val="005A2B27"/>
    <w:rsid w:val="005A5485"/>
    <w:rsid w:val="005C0726"/>
    <w:rsid w:val="005E6247"/>
    <w:rsid w:val="005E6F66"/>
    <w:rsid w:val="00603163"/>
    <w:rsid w:val="00623F60"/>
    <w:rsid w:val="00630886"/>
    <w:rsid w:val="00646051"/>
    <w:rsid w:val="00654237"/>
    <w:rsid w:val="0066246E"/>
    <w:rsid w:val="006746D4"/>
    <w:rsid w:val="00680FFE"/>
    <w:rsid w:val="0068118E"/>
    <w:rsid w:val="006A0E72"/>
    <w:rsid w:val="006A19D2"/>
    <w:rsid w:val="006A77B5"/>
    <w:rsid w:val="006C08C0"/>
    <w:rsid w:val="006C2E7D"/>
    <w:rsid w:val="006C6AED"/>
    <w:rsid w:val="006D2546"/>
    <w:rsid w:val="006D41ED"/>
    <w:rsid w:val="006E16E1"/>
    <w:rsid w:val="007014F8"/>
    <w:rsid w:val="00703830"/>
    <w:rsid w:val="007077E2"/>
    <w:rsid w:val="007337C7"/>
    <w:rsid w:val="00740C78"/>
    <w:rsid w:val="007573FB"/>
    <w:rsid w:val="00773584"/>
    <w:rsid w:val="00774EF0"/>
    <w:rsid w:val="0077504C"/>
    <w:rsid w:val="00775272"/>
    <w:rsid w:val="007878E7"/>
    <w:rsid w:val="00790E66"/>
    <w:rsid w:val="00795D6D"/>
    <w:rsid w:val="007A7DCD"/>
    <w:rsid w:val="007B3B1F"/>
    <w:rsid w:val="007B3D36"/>
    <w:rsid w:val="007C03A5"/>
    <w:rsid w:val="007C29E1"/>
    <w:rsid w:val="007D0720"/>
    <w:rsid w:val="008165EA"/>
    <w:rsid w:val="00824945"/>
    <w:rsid w:val="00826C64"/>
    <w:rsid w:val="008277BF"/>
    <w:rsid w:val="00833375"/>
    <w:rsid w:val="00833C67"/>
    <w:rsid w:val="008363D3"/>
    <w:rsid w:val="008404EC"/>
    <w:rsid w:val="008422A4"/>
    <w:rsid w:val="00842B4E"/>
    <w:rsid w:val="00861E27"/>
    <w:rsid w:val="008655EE"/>
    <w:rsid w:val="00870396"/>
    <w:rsid w:val="00876C4D"/>
    <w:rsid w:val="008803E4"/>
    <w:rsid w:val="0088578A"/>
    <w:rsid w:val="008B161A"/>
    <w:rsid w:val="008B23E9"/>
    <w:rsid w:val="008C3A75"/>
    <w:rsid w:val="008D6501"/>
    <w:rsid w:val="008F2ECF"/>
    <w:rsid w:val="008F5428"/>
    <w:rsid w:val="008F603F"/>
    <w:rsid w:val="00910A35"/>
    <w:rsid w:val="00941808"/>
    <w:rsid w:val="009479F2"/>
    <w:rsid w:val="00957148"/>
    <w:rsid w:val="009656DD"/>
    <w:rsid w:val="0099042F"/>
    <w:rsid w:val="00990900"/>
    <w:rsid w:val="009A03B4"/>
    <w:rsid w:val="009B0CDF"/>
    <w:rsid w:val="009B22F4"/>
    <w:rsid w:val="009C06D0"/>
    <w:rsid w:val="009D1CCC"/>
    <w:rsid w:val="009D3E75"/>
    <w:rsid w:val="009F5DB4"/>
    <w:rsid w:val="00A00D70"/>
    <w:rsid w:val="00A01E4B"/>
    <w:rsid w:val="00A06565"/>
    <w:rsid w:val="00A16A9F"/>
    <w:rsid w:val="00A278F7"/>
    <w:rsid w:val="00A348CA"/>
    <w:rsid w:val="00A7232C"/>
    <w:rsid w:val="00A80DD0"/>
    <w:rsid w:val="00A87F70"/>
    <w:rsid w:val="00AA1565"/>
    <w:rsid w:val="00AA5E0D"/>
    <w:rsid w:val="00AB2FE9"/>
    <w:rsid w:val="00AC1B8D"/>
    <w:rsid w:val="00AC5E6A"/>
    <w:rsid w:val="00AF2CD8"/>
    <w:rsid w:val="00AF3FC8"/>
    <w:rsid w:val="00B068F3"/>
    <w:rsid w:val="00B07883"/>
    <w:rsid w:val="00B23FB8"/>
    <w:rsid w:val="00B32722"/>
    <w:rsid w:val="00B33322"/>
    <w:rsid w:val="00B333DF"/>
    <w:rsid w:val="00B3437E"/>
    <w:rsid w:val="00B36051"/>
    <w:rsid w:val="00B5681F"/>
    <w:rsid w:val="00B70E94"/>
    <w:rsid w:val="00B72A5F"/>
    <w:rsid w:val="00B82116"/>
    <w:rsid w:val="00B94AD8"/>
    <w:rsid w:val="00BA4C46"/>
    <w:rsid w:val="00BB3F35"/>
    <w:rsid w:val="00BB4B38"/>
    <w:rsid w:val="00BE2379"/>
    <w:rsid w:val="00BE690A"/>
    <w:rsid w:val="00BF5C6D"/>
    <w:rsid w:val="00BF7EBF"/>
    <w:rsid w:val="00C03F7E"/>
    <w:rsid w:val="00C051CF"/>
    <w:rsid w:val="00C07EBA"/>
    <w:rsid w:val="00C15F1B"/>
    <w:rsid w:val="00C44F58"/>
    <w:rsid w:val="00C818A0"/>
    <w:rsid w:val="00C83A05"/>
    <w:rsid w:val="00CA5E2A"/>
    <w:rsid w:val="00CA6C10"/>
    <w:rsid w:val="00CC7466"/>
    <w:rsid w:val="00CD0CBC"/>
    <w:rsid w:val="00CD33DB"/>
    <w:rsid w:val="00CD36AE"/>
    <w:rsid w:val="00CD40F3"/>
    <w:rsid w:val="00CD5CB5"/>
    <w:rsid w:val="00D01541"/>
    <w:rsid w:val="00D138BA"/>
    <w:rsid w:val="00D20D74"/>
    <w:rsid w:val="00D23F30"/>
    <w:rsid w:val="00D24A42"/>
    <w:rsid w:val="00D413AD"/>
    <w:rsid w:val="00D4689C"/>
    <w:rsid w:val="00D567CA"/>
    <w:rsid w:val="00D56D29"/>
    <w:rsid w:val="00D75868"/>
    <w:rsid w:val="00D91818"/>
    <w:rsid w:val="00DB2A58"/>
    <w:rsid w:val="00DC0714"/>
    <w:rsid w:val="00DC31A1"/>
    <w:rsid w:val="00DD6630"/>
    <w:rsid w:val="00DE550C"/>
    <w:rsid w:val="00E25125"/>
    <w:rsid w:val="00E613F8"/>
    <w:rsid w:val="00E74E43"/>
    <w:rsid w:val="00E76CAD"/>
    <w:rsid w:val="00E81553"/>
    <w:rsid w:val="00E909B6"/>
    <w:rsid w:val="00EC59C4"/>
    <w:rsid w:val="00EF6FF7"/>
    <w:rsid w:val="00F04827"/>
    <w:rsid w:val="00F21AAC"/>
    <w:rsid w:val="00F335A3"/>
    <w:rsid w:val="00F60010"/>
    <w:rsid w:val="00F676A7"/>
    <w:rsid w:val="00F67F74"/>
    <w:rsid w:val="00F721BA"/>
    <w:rsid w:val="00F870C5"/>
    <w:rsid w:val="00F92299"/>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uiPriority w:val="99"/>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uiPriority w:val="99"/>
    <w:semiHidden/>
    <w:rsid w:val="00910A35"/>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6C116-B1A0-440B-958E-2C2B8A16E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6361</TotalTime>
  <Pages>1</Pages>
  <Words>7541</Words>
  <Characters>42987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50428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102</cp:revision>
  <cp:lastPrinted>1999-05-26T15:02:00Z</cp:lastPrinted>
  <dcterms:created xsi:type="dcterms:W3CDTF">2015-08-27T21:14:00Z</dcterms:created>
  <dcterms:modified xsi:type="dcterms:W3CDTF">2016-08-18T22:54:00Z</dcterms:modified>
</cp:coreProperties>
</file>